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FA91" w14:textId="00A0934E" w:rsidR="008E7A10" w:rsidRDefault="00E047B2">
      <w:pPr>
        <w:rPr>
          <w:vanish/>
        </w:rPr>
      </w:pPr>
      <w:r>
        <w:rPr>
          <w:rFonts w:ascii="宋体" w:eastAsia="宋体" w:hAnsi="宋体" w:cs="宋体"/>
        </w:rPr>
        <w:t xml:space="preserve"> </w:t>
      </w:r>
      <w:r>
        <w:rPr>
          <w:rFonts w:ascii="宋体" w:eastAsia="宋体" w:hAnsi="宋体" w:cs="宋体"/>
          <w:vanish/>
        </w:rPr>
        <w:t xml:space="preserve">false2021Q20000320187May </w:t>
      </w:r>
      <w:r>
        <w:rPr>
          <w:rFonts w:ascii="宋体" w:eastAsia="宋体" w:hAnsi="宋体" w:cs="宋体"/>
          <w:vanish/>
        </w:rPr>
        <w:t>31YesYes00003201872020-06-012020-11-30xbrli:shares0000320187us-gaap:CommonClassAMember2020-12-280000320187us-gaap:CommonClassBMember2020-12-28iso4217:USD00003201872020-09-012020-11-3000003201872019-09-012019-11-3000003201872019-06-012019-11-30iso4217:USDxb</w:t>
      </w:r>
      <w:r>
        <w:rPr>
          <w:rFonts w:ascii="宋体" w:eastAsia="宋体" w:hAnsi="宋体" w:cs="宋体"/>
          <w:vanish/>
        </w:rPr>
        <w:t>rli:shares00003201872020-11-3000003201872020-05-310000320187us-gaap:CommonClassAMember2020-11-300000320187us-gaap:CommonClassAMember2020-05-310000320187us-gaap:CommonClassBMember2020-11-300000320187us-gaap:CommonClassBMember2020-05-3100003201872019-05-3100</w:t>
      </w:r>
      <w:r>
        <w:rPr>
          <w:rFonts w:ascii="宋体" w:eastAsia="宋体" w:hAnsi="宋体" w:cs="宋体"/>
          <w:vanish/>
        </w:rPr>
        <w:t>003201872019-11-300000320187us-gaap:CommonStockMemberus-gaap:CommonClassAMember2020-08-310000320187us-gaap:CommonClassBMemberus-gaap:CommonStockMember2020-08-310000320187us-gaap:AdditionalPaidInCapitalMember2020-08-310000320187us-gaap:AccumulatedOtherCompr</w:t>
      </w:r>
      <w:r>
        <w:rPr>
          <w:rFonts w:ascii="宋体" w:eastAsia="宋体" w:hAnsi="宋体" w:cs="宋体"/>
          <w:vanish/>
        </w:rPr>
        <w:t>ehensiveIncomeMember2020-08-310000320187us-gaap:RetainedEarningsMember2020-08-3100003201872020-08-310000320187us-gaap:CommonClassBMemberus-gaap:CommonStockMember2020-09-012020-11-300000320187us-gaap:AdditionalPaidInCapitalMember2020-09-012020-11-3000003201</w:t>
      </w:r>
      <w:r>
        <w:rPr>
          <w:rFonts w:ascii="宋体" w:eastAsia="宋体" w:hAnsi="宋体" w:cs="宋体"/>
          <w:vanish/>
        </w:rPr>
        <w:t>87us-gaap:CommonStockMemberus-gaap:CommonClassAMember2020-09-012020-11-300000320187us-gaap:RetainedEarningsMember2020-09-012020-11-300000320187us-gaap:AccumulatedOtherComprehensiveIncomeMember2020-09-012020-11-300000320187us-gaap:CommonStockMemberus-gaap:C</w:t>
      </w:r>
      <w:r>
        <w:rPr>
          <w:rFonts w:ascii="宋体" w:eastAsia="宋体" w:hAnsi="宋体" w:cs="宋体"/>
          <w:vanish/>
        </w:rPr>
        <w:t>ommonClassAMember2020-11-300000320187us-gaap:CommonClassBMemberus-gaap:CommonStockMember2020-11-300000320187us-gaap:AdditionalPaidInCapitalMember2020-11-300000320187us-gaap:AccumulatedOtherComprehensiveIncomeMember2020-11-300000320187us-gaap:RetainedEarnin</w:t>
      </w:r>
      <w:r>
        <w:rPr>
          <w:rFonts w:ascii="宋体" w:eastAsia="宋体" w:hAnsi="宋体" w:cs="宋体"/>
          <w:vanish/>
        </w:rPr>
        <w:t>gsMember2020-11-300000320187us-gaap:CommonStockMemberus-gaap:CommonClassAMember2019-08-310000320187us-gaap:CommonClassBMemberus-gaap:CommonStockMember2019-08-310000320187us-gaap:AdditionalPaidInCapitalMember2019-08-310000320187us-gaap:AccumulatedOtherCompr</w:t>
      </w:r>
      <w:r>
        <w:rPr>
          <w:rFonts w:ascii="宋体" w:eastAsia="宋体" w:hAnsi="宋体" w:cs="宋体"/>
          <w:vanish/>
        </w:rPr>
        <w:t>ehensiveIncomeMember2019-08-310000320187us-gaap:RetainedEarningsMember2019-08-3100003201872019-08-310000320187us-gaap:CommonClassBMemberus-gaap:CommonStockMember2019-09-012019-11-300000320187us-gaap:AdditionalPaidInCapitalMember2019-09-012019-11-3000003201</w:t>
      </w:r>
      <w:r>
        <w:rPr>
          <w:rFonts w:ascii="宋体" w:eastAsia="宋体" w:hAnsi="宋体" w:cs="宋体"/>
          <w:vanish/>
        </w:rPr>
        <w:t>87us-gaap:RetainedEarningsMember2019-09-012019-11-300000320187us-gaap:AccumulatedOtherComprehensiveIncomeMember2019-09-012019-11-300000320187us-gaap:CommonStockMemberus-gaap:CommonClassAMember2019-11-300000320187us-gaap:CommonClassBMemberus-gaap:CommonStoc</w:t>
      </w:r>
      <w:r>
        <w:rPr>
          <w:rFonts w:ascii="宋体" w:eastAsia="宋体" w:hAnsi="宋体" w:cs="宋体"/>
          <w:vanish/>
        </w:rPr>
        <w:t>kMember2019-11-300000320187us-gaap:AdditionalPaidInCapitalMember2019-11-300000320187us-gaap:AccumulatedOtherComprehensiveIncomeMember2019-11-300000320187us-gaap:RetainedEarningsMember2019-11-300000320187us-gaap:CommonStockMemberus-gaap:CommonClassAMember20</w:t>
      </w:r>
      <w:r>
        <w:rPr>
          <w:rFonts w:ascii="宋体" w:eastAsia="宋体" w:hAnsi="宋体" w:cs="宋体"/>
          <w:vanish/>
        </w:rPr>
        <w:t>20-05-310000320187us-gaap:CommonClassBMemberus-gaap:CommonStockMember2020-05-310000320187us-gaap:AdditionalPaidInCapitalMember2020-05-310000320187us-gaap:AccumulatedOtherComprehensiveIncomeMember2020-05-310000320187us-gaap:RetainedEarningsMember2020-05-310</w:t>
      </w:r>
      <w:r>
        <w:rPr>
          <w:rFonts w:ascii="宋体" w:eastAsia="宋体" w:hAnsi="宋体" w:cs="宋体"/>
          <w:vanish/>
        </w:rPr>
        <w:t>000320187us-gaap:CommonClassBMemberus-gaap:CommonStockMember2020-06-012020-11-300000320187us-gaap:AdditionalPaidInCapitalMember2020-06-012020-11-300000320187us-gaap:CommonStockMemberus-gaap:CommonClassAMember2020-06-012020-11-300000320187us-gaap:RetainedEa</w:t>
      </w:r>
      <w:r>
        <w:rPr>
          <w:rFonts w:ascii="宋体" w:eastAsia="宋体" w:hAnsi="宋体" w:cs="宋体"/>
          <w:vanish/>
        </w:rPr>
        <w:t>rningsMember2020-06-012020-11-300000320187us-gaap:AccumulatedOtherComprehensiveIncomeMember2020-06-012020-11-300000320187us-gaap:CommonStockMemberus-gaap:CommonClassAMember2019-05-310000320187us-gaap:CommonClassBMemberus-gaap:CommonStockMember2019-05-31000</w:t>
      </w:r>
      <w:r>
        <w:rPr>
          <w:rFonts w:ascii="宋体" w:eastAsia="宋体" w:hAnsi="宋体" w:cs="宋体"/>
          <w:vanish/>
        </w:rPr>
        <w:t>0320187us-gaap:AdditionalPaidInCapitalMember2019-05-310000320187us-gaap:AccumulatedOtherComprehensiveIncomeMember2019-05-310000320187us-gaap:RetainedEarningsMember2019-05-310000320187us-gaap:CommonClassBMemberus-gaap:CommonStockMember2019-06-012019-11-3000</w:t>
      </w:r>
      <w:r>
        <w:rPr>
          <w:rFonts w:ascii="宋体" w:eastAsia="宋体" w:hAnsi="宋体" w:cs="宋体"/>
          <w:vanish/>
        </w:rPr>
        <w:t>00320187us-gaap:AdditionalPaidInCapitalMember2019-06-012019-11-300000320187us-gaap:RetainedEarningsMember2019-06-012019-11-300000320187us-gaap:AccumulatedOtherComprehensiveIncomeMember2019-06-012019-11-300000320187us-gaap:AccountingStandardsUpdate201820Mem</w:t>
      </w:r>
      <w:r>
        <w:rPr>
          <w:rFonts w:ascii="宋体" w:eastAsia="宋体" w:hAnsi="宋体" w:cs="宋体"/>
          <w:vanish/>
        </w:rPr>
        <w:t>berus-gaap:RetainedEarningsMember2019-06-010000320187us-gaap:AccountingStandardsUpdate201820Member2019-06-010000320187us-gaap:FairValueMeasurementsRecurringMember2020-11-300000320187us-gaap:USTreasurySecuritiesMemberus-gaap:FairValueMeasurementsRecurringMe</w:t>
      </w:r>
      <w:r>
        <w:rPr>
          <w:rFonts w:ascii="宋体" w:eastAsia="宋体" w:hAnsi="宋体" w:cs="宋体"/>
          <w:vanish/>
        </w:rPr>
        <w:t>mberus-gaap:FairValueInputsLevel1Member2020-11-300000320187nke:CommercialPaperandBondsMemberus-gaap:FairValueInputsLevel2Memberus-gaap:FairValueMeasurementsRecurringMember2020-11-300000320187us-gaap:MoneyMarketFundsMemberus-gaap:FairValueInputsLevel2Member</w:t>
      </w:r>
      <w:r>
        <w:rPr>
          <w:rFonts w:ascii="宋体" w:eastAsia="宋体" w:hAnsi="宋体" w:cs="宋体"/>
          <w:vanish/>
        </w:rPr>
        <w:t>us-gaap:FairValueMeasurementsRecurringMember2020-11-300000320187us-gaap:FairValueInputsLevel2Memberus-gaap:BankTimeDepositsMemberus-gaap:FairValueMeasurementsRecurringMember2020-11-300000320187us-gaap:USGovernmentAgenciesDebtSecuritiesMemberus-gaap:FairVal</w:t>
      </w:r>
      <w:r>
        <w:rPr>
          <w:rFonts w:ascii="宋体" w:eastAsia="宋体" w:hAnsi="宋体" w:cs="宋体"/>
          <w:vanish/>
        </w:rPr>
        <w:t>ueInputsLevel2Memberus-gaap:FairValueMeasurementsRecurringMember2020-11-300000320187us-gaap:FairValueInputsLevel2Memberus-gaap:FairValueMeasurementsRecurringMember2020-11-300000320187us-gaap:FairValueMeasurementsRecurringMember2020-05-310000320187us-gaap:U</w:t>
      </w:r>
      <w:r>
        <w:rPr>
          <w:rFonts w:ascii="宋体" w:eastAsia="宋体" w:hAnsi="宋体" w:cs="宋体"/>
          <w:vanish/>
        </w:rPr>
        <w:t>STreasurySecuritiesMemberus-gaap:FairValueMeasurementsRecurringMemberus-gaap:FairValueInputsLevel1Member2020-05-310000320187nke:CommercialPaperandBondsMemberus-gaap:FairValueInputsLevel2Memberus-gaap:FairValueMeasurementsRecurringMember2020-05-310000320187</w:t>
      </w:r>
      <w:r>
        <w:rPr>
          <w:rFonts w:ascii="宋体" w:eastAsia="宋体" w:hAnsi="宋体" w:cs="宋体"/>
          <w:vanish/>
        </w:rPr>
        <w:t>us-gaap:MoneyMarketFundsMemberus-gaap:FairValueInputsLevel2Memberus-gaap:FairValueMeasurementsRecurringMember2020-05-310000320187us-gaap:FairValueInputsLevel2Memberus-gaap:BankTimeDepositsMemberus-gaap:FairValueMeasurementsRecurringMember2020-05-3100003201</w:t>
      </w:r>
      <w:r>
        <w:rPr>
          <w:rFonts w:ascii="宋体" w:eastAsia="宋体" w:hAnsi="宋体" w:cs="宋体"/>
          <w:vanish/>
        </w:rPr>
        <w:t>87us-gaap:USGovernmentAgenciesDebtSecuritiesMemberus-gaap:FairValueInputsLevel2Memberus-gaap:FairValueMeasurementsRecurringMember2020-05-310000320187us-gaap:FairValueInputsLevel2Memberus-gaap:FairValueMeasurementsRecurringMember2020-05-310000320187us-gaap:</w:t>
      </w:r>
      <w:r>
        <w:rPr>
          <w:rFonts w:ascii="宋体" w:eastAsia="宋体" w:hAnsi="宋体" w:cs="宋体"/>
          <w:vanish/>
        </w:rPr>
        <w:t>AvailableforsaleSecuritiesMember2020-11-300000320187nke:InterestIncomeExpenseNetMember2020-09-012020-11-300000320187nke:InterestIncomeExpenseNetMember2019-09-012019-11-300000320187nke:InterestIncomeExpenseNetMember2020-06-012020-11-300000320187nke:Interest</w:t>
      </w:r>
      <w:r>
        <w:rPr>
          <w:rFonts w:ascii="宋体" w:eastAsia="宋体" w:hAnsi="宋体" w:cs="宋体"/>
          <w:vanish/>
        </w:rPr>
        <w:t>IncomeExpenseNetMember2019-06-012019-11-300000320187us-gaap:ForeignExchangeContractMemberus-gaap:FairValueInputsLevel2Memberus-gaap:FairValueMeasurementsRecurringMember2020-11-300000320187us-gaap:EmbeddedDerivativeFinancialInstrumentsMemberus-gaap:FairValu</w:t>
      </w:r>
      <w:r>
        <w:rPr>
          <w:rFonts w:ascii="宋体" w:eastAsia="宋体" w:hAnsi="宋体" w:cs="宋体"/>
          <w:vanish/>
        </w:rPr>
        <w:t>eInputsLevel2Memberus-gaap:FairValueMeasurementsRecurringMember2020-11-300000320187us-gaap:ForeignExchangeContractMemberus-gaap:FairValueMeasurementsRecurringMember2020-11-300000320187us-gaap:ForeignExchangeContractMemberus-gaap:CashAndCashEquivalentsMembe</w:t>
      </w:r>
      <w:r>
        <w:rPr>
          <w:rFonts w:ascii="宋体" w:eastAsia="宋体" w:hAnsi="宋体" w:cs="宋体"/>
          <w:vanish/>
        </w:rPr>
        <w:t>r2020-11-300000320187us-gaap:ForeignExchangeContractMemberus-gaap:FairValueInputsLevel2Memberus-gaap:FairValueMeasurementsRecurringMember2020-05-310000320187us-gaap:EmbeddedDerivativeFinancialInstrumentsMemberus-gaap:FairValueInputsLevel2Memberus-gaap:Fair</w:t>
      </w:r>
      <w:r>
        <w:rPr>
          <w:rFonts w:ascii="宋体" w:eastAsia="宋体" w:hAnsi="宋体" w:cs="宋体"/>
          <w:vanish/>
        </w:rPr>
        <w:t>ValueMeasurementsRecurringMember2020-05-310000320187us-gaap:ForeignExchangeContractMemberus-gaap:FairValueMeasurementsRecurringMember2020-05-310000320187us-gaap:ForeignExchangeContractMemberus-gaap:CashAndCashEquivalentsMember2020-05-310000320187us-gaap:Co</w:t>
      </w:r>
      <w:r>
        <w:rPr>
          <w:rFonts w:ascii="宋体" w:eastAsia="宋体" w:hAnsi="宋体" w:cs="宋体"/>
          <w:vanish/>
        </w:rPr>
        <w:t>mmercialPaperMember2020-11-300000320187us-gaap:CommercialPaperMember2020-05-31xbrli:pure0000320187nke:AlteraCorpVCommissionerMember2020-09-012020-11-300000320187nke:StockIncentivePlanMemberus-gaap:CommonClassBMember2020-11-300000320187us-gaap:EmployeeStock</w:t>
      </w:r>
      <w:r>
        <w:rPr>
          <w:rFonts w:ascii="宋体" w:eastAsia="宋体" w:hAnsi="宋体" w:cs="宋体"/>
          <w:vanish/>
        </w:rPr>
        <w:t>OptionMemberus-gaap:CommonClassBMember2020-09-012020-11-300000320187us-gaap:EmployeeStockOptionMemberus-gaap:CommonClassBMember2019-09-012019-11-300000320187us-gaap:EmployeeStockOptionMemberus-gaap:CommonClassBMember2020-06-012020-11-300000320187us-gaap:Em</w:t>
      </w:r>
      <w:r>
        <w:rPr>
          <w:rFonts w:ascii="宋体" w:eastAsia="宋体" w:hAnsi="宋体" w:cs="宋体"/>
          <w:vanish/>
        </w:rPr>
        <w:t>ployeeStockOptionMemberus-gaap:CommonClassBMember2019-06-012019-11-300000320187us-gaap:EmployeeStockMemberus-gaap:CommonClassBMember2020-09-012020-11-300000320187us-gaap:EmployeeStockMemberus-gaap:CommonClassBMember2019-09-012019-11-300000320187us-gaap:Emp</w:t>
      </w:r>
      <w:r>
        <w:rPr>
          <w:rFonts w:ascii="宋体" w:eastAsia="宋体" w:hAnsi="宋体" w:cs="宋体"/>
          <w:vanish/>
        </w:rPr>
        <w:t>loyeeStockMemberus-gaap:CommonClassBMember2020-06-012020-11-300000320187us-gaap:EmployeeStockMemberus-gaap:CommonClassBMember2019-06-012019-11-300000320187us-gaap:RestrictedStockMemberus-gaap:CommonClassBMember2020-09-012020-11-300000320187us-gaap:Restrict</w:t>
      </w:r>
      <w:r>
        <w:rPr>
          <w:rFonts w:ascii="宋体" w:eastAsia="宋体" w:hAnsi="宋体" w:cs="宋体"/>
          <w:vanish/>
        </w:rPr>
        <w:t>edStockMemberus-gaap:CommonClassBMember2019-09-012019-11-300000320187us-gaap:RestrictedStockMemberus-gaap:CommonClassBMember2020-06-012020-11-300000320187us-gaap:RestrictedStockMemberus-gaap:CommonClassBMember2019-06-012019-11-300000320187us-gaap:CommonCla</w:t>
      </w:r>
      <w:r>
        <w:rPr>
          <w:rFonts w:ascii="宋体" w:eastAsia="宋体" w:hAnsi="宋体" w:cs="宋体"/>
          <w:vanish/>
        </w:rPr>
        <w:t>ssBMember2020-09-012020-11-300000320187us-gaap:CommonClassBMember2019-09-012019-11-300000320187us-gaap:CommonClassBMember2020-06-012020-11-300000320187us-gaap:CommonClassBMember2019-06-012019-11-300000320187us-gaap:EmployeeStockOptionMember2020-06-012020-1</w:t>
      </w:r>
      <w:r>
        <w:rPr>
          <w:rFonts w:ascii="宋体" w:eastAsia="宋体" w:hAnsi="宋体" w:cs="宋体"/>
          <w:vanish/>
        </w:rPr>
        <w:t>1-300000320187us-gaap:EmployeeStockOptionMember2019-06-012019-11-300000320187nke:StockIncentivePlanMemberus-gaap:CommonClassBMember2020-06-012020-11-300000320187us-gaap:EmployeeStockOptionMembernke:StockIncentivePlanMember2020-11-300000320187us-gaap:Employ</w:t>
      </w:r>
      <w:r>
        <w:rPr>
          <w:rFonts w:ascii="宋体" w:eastAsia="宋体" w:hAnsi="宋体" w:cs="宋体"/>
          <w:vanish/>
        </w:rPr>
        <w:t>eeStockOptionMembernke:StockIncentivePlanMember2020-06-012020-11-300000320187nke:RestrictedStockAndRestrictedStockUnitsMember2020-06-012020-11-300000320187nke:RestrictedStockAndRestrictedStockUnitsMember2019-06-012019-11-300000320187nke:RestrictedStockAndR</w:t>
      </w:r>
      <w:r>
        <w:rPr>
          <w:rFonts w:ascii="宋体" w:eastAsia="宋体" w:hAnsi="宋体" w:cs="宋体"/>
          <w:vanish/>
        </w:rPr>
        <w:t>estrictedStockUnitsMember2020-11-300000320187us-gaap:EmployeeStockOptionMember2020-09-012020-11-300000320187us-gaap:EmployeeStockOptionMember2019-09-012019-11-300000320187us-gaap:EmployeeStockOptionMember2020-06-012020-11-300000320187us-gaap:EmployeeStockO</w:t>
      </w:r>
      <w:r>
        <w:rPr>
          <w:rFonts w:ascii="宋体" w:eastAsia="宋体" w:hAnsi="宋体" w:cs="宋体"/>
          <w:vanish/>
        </w:rPr>
        <w:t>ptionMember2019-06-012019-11-300000320187us-gaap:ForeignExchangeContractMemberus-gaap:PrepaidExpensesAndOtherCurrentAssetsMemberus-gaap:DesignatedAsHedgingInstrumentMember2020-11-300000320187us-gaap:ForeignExchangeContractMemberus-gaap:PrepaidExpensesAndOt</w:t>
      </w:r>
      <w:r>
        <w:rPr>
          <w:rFonts w:ascii="宋体" w:eastAsia="宋体" w:hAnsi="宋体" w:cs="宋体"/>
          <w:vanish/>
        </w:rPr>
        <w:t>herCurrentAssetsMemberus-gaap:DesignatedAsHedgingInstrumentMember2020-05-310000320187us-gaap:ForeignExchangeContractMembernke:DeferredIncomeTaxesAndOtherLongTermAssetsMemberus-gaap:DesignatedAsHedgingInstrumentMember2020-11-300000320187us-gaap:ForeignExcha</w:t>
      </w:r>
      <w:r>
        <w:rPr>
          <w:rFonts w:ascii="宋体" w:eastAsia="宋体" w:hAnsi="宋体" w:cs="宋体"/>
          <w:vanish/>
        </w:rPr>
        <w:t>ngeContractMembernke:DeferredIncomeTaxesAndOtherLongTermAssetsMemberus-gaap:DesignatedAsHedgingInstrumentMember2020-05-310000320187us-gaap:DesignatedAsHedgingInstrumentMember2020-11-300000320187us-gaap:DesignatedAsHedgingInstrumentMember2020-05-31000032018</w:t>
      </w:r>
      <w:r>
        <w:rPr>
          <w:rFonts w:ascii="宋体" w:eastAsia="宋体" w:hAnsi="宋体" w:cs="宋体"/>
          <w:vanish/>
        </w:rPr>
        <w:t>7us-gaap:NondesignatedMemberus-gaap:ForeignExchangeContractMemberus-gaap:PrepaidExpensesAndOtherCurrentAssetsMember2020-11-300000320187us-gaap:NondesignatedMemberus-gaap:ForeignExchangeContractMemberus-gaap:PrepaidExpensesAndOtherCurrentAssetsMember2020-05</w:t>
      </w:r>
      <w:r>
        <w:rPr>
          <w:rFonts w:ascii="宋体" w:eastAsia="宋体" w:hAnsi="宋体" w:cs="宋体"/>
          <w:vanish/>
        </w:rPr>
        <w:t>-310000320187us-gaap:NondesignatedMemberus-gaap:EmbeddedDerivativeFinancialInstrumentsMemberus-gaap:PrepaidExpensesAndOtherCurrentAssetsMember2020-11-300000320187us-gaap:NondesignatedMemberus-gaap:EmbeddedDerivativeFinancialInstrumentsMemberus-gaap:Prepaid</w:t>
      </w:r>
      <w:r>
        <w:rPr>
          <w:rFonts w:ascii="宋体" w:eastAsia="宋体" w:hAnsi="宋体" w:cs="宋体"/>
          <w:vanish/>
        </w:rPr>
        <w:t>ExpensesAndOtherCurrentAssetsMember2020-05-310000320187us-gaap:NondesignatedMemberus-gaap:ForeignExchangeContractMembernke:DeferredIncomeTaxesAndOtherLongTermAssetsMember2020-11-300000320187us-gaap:NondesignatedMemberus-gaap:ForeignExchangeContractMembernk</w:t>
      </w:r>
      <w:r>
        <w:rPr>
          <w:rFonts w:ascii="宋体" w:eastAsia="宋体" w:hAnsi="宋体" w:cs="宋体"/>
          <w:vanish/>
        </w:rPr>
        <w:t>e:DeferredIncomeTaxesAndOtherLongTermAssetsMember2020-05-310000320187us-gaap:NondesignatedMember2020-11-300000320187us-gaap:NondesignatedMember2020-05-310000320187us-gaap:AccruedLiabilitiesMemberus-gaap:ForeignExchangeContractMemberus-gaap:DesignatedAsHedg</w:t>
      </w:r>
      <w:r>
        <w:rPr>
          <w:rFonts w:ascii="宋体" w:eastAsia="宋体" w:hAnsi="宋体" w:cs="宋体"/>
          <w:vanish/>
        </w:rPr>
        <w:t>ingInstrumentMember2020-11-300000320187us-gaap:AccruedLiabilitiesMemberus-gaap:ForeignExchangeContractMemberus-gaap:DesignatedAsHedgingInstrumentMember2020-05-310000320187us-gaap:ForeignExchangeContractMembernke:DeferredIncomeTaxesAndOtherLongTermLiabiliti</w:t>
      </w:r>
      <w:r>
        <w:rPr>
          <w:rFonts w:ascii="宋体" w:eastAsia="宋体" w:hAnsi="宋体" w:cs="宋体"/>
          <w:vanish/>
        </w:rPr>
        <w:t>esMemberus-gaap:DesignatedAsHedgingInstrumentMember2020-11-300000320187us-gaap:ForeignExchangeContractMembernke:DeferredIncomeTaxesAndOtherLongTermLiabilitiesMemberus-gaap:DesignatedAsHedgingInstrumentMember2020-05-310000320187us-gaap:NondesignatedMemberus</w:t>
      </w:r>
      <w:r>
        <w:rPr>
          <w:rFonts w:ascii="宋体" w:eastAsia="宋体" w:hAnsi="宋体" w:cs="宋体"/>
          <w:vanish/>
        </w:rPr>
        <w:t>-gaap:AccruedLiabilitiesMemberus-gaap:ForeignExchangeContractMember2020-11-300000320187us-gaap:NondesignatedMemberus-gaap:AccruedLiabilitiesMemberus-gaap:ForeignExchangeContractMember2020-05-310000320187us-gaap:NondesignatedMemberus-gaap:AccruedLiabilities</w:t>
      </w:r>
      <w:r>
        <w:rPr>
          <w:rFonts w:ascii="宋体" w:eastAsia="宋体" w:hAnsi="宋体" w:cs="宋体"/>
          <w:vanish/>
        </w:rPr>
        <w:t>Memberus-gaap:EmbeddedDerivativeFinancialInstrumentsMember2020-11-300000320187us-gaap:NondesignatedMemberus-gaap:AccruedLiabilitiesMemberus-gaap:EmbeddedDerivativeFinancialInstrumentsMember2020-05-310000320187us-gaap:ForeignExchangeContractMemberus-gaap:Sa</w:t>
      </w:r>
      <w:r>
        <w:rPr>
          <w:rFonts w:ascii="宋体" w:eastAsia="宋体" w:hAnsi="宋体" w:cs="宋体"/>
          <w:vanish/>
        </w:rPr>
        <w:t>lesMemberus-gaap:CashFlowHedgingMember2020-09-012020-11-300000320187us-gaap:ForeignExchangeContractMemberus-gaap:SalesMemberus-gaap:CashFlowHedgingMember2019-09-012019-11-300000320187us-gaap:ForeignExchangeContractMemberus-gaap:CostOfSalesMemberus-gaap:Cas</w:t>
      </w:r>
      <w:r>
        <w:rPr>
          <w:rFonts w:ascii="宋体" w:eastAsia="宋体" w:hAnsi="宋体" w:cs="宋体"/>
          <w:vanish/>
        </w:rPr>
        <w:t>hFlowHedgingMember2020-09-012020-11-300000320187us-gaap:ForeignExchangeContractMemberus-gaap:CostOfSalesMemberus-gaap:CashFlowHedgingMember2019-09-012019-11-300000320187us-gaap:ForeignExchangeContractMembernke:DemandCreationExpenseMemberus-gaap:CashFlowHed</w:t>
      </w:r>
      <w:r>
        <w:rPr>
          <w:rFonts w:ascii="宋体" w:eastAsia="宋体" w:hAnsi="宋体" w:cs="宋体"/>
          <w:vanish/>
        </w:rPr>
        <w:t>gingMember2020-09-012020-11-300000320187us-gaap:ForeignExchangeContractMembernke:DemandCreationExpenseMemberus-gaap:CashFlowHedgingMember2019-09-012019-11-300000320187us-gaap:ForeignExchangeContractMembernke:OtherIncomeAndExpenseMemberus-gaap:CashFlowHedgi</w:t>
      </w:r>
      <w:r>
        <w:rPr>
          <w:rFonts w:ascii="宋体" w:eastAsia="宋体" w:hAnsi="宋体" w:cs="宋体"/>
          <w:vanish/>
        </w:rPr>
        <w:t>ngMember2020-09-012020-11-300000320187us-gaap:ForeignExchangeContractMembernke:OtherIncomeAndExpenseMemberus-gaap:CashFlowHedgingMember2019-09-012019-11-300000320187nke:InterestIncomeExpenseNetMemberus-gaap:InterestRateSwapMemberus-gaap:CashFlowHedgingMemb</w:t>
      </w:r>
      <w:r>
        <w:rPr>
          <w:rFonts w:ascii="宋体" w:eastAsia="宋体" w:hAnsi="宋体" w:cs="宋体"/>
          <w:vanish/>
        </w:rPr>
        <w:t>er2020-09-012020-11-300000320187nke:InterestIncomeExpenseNetMemberus-gaap:InterestRateSwapMemberus-gaap:CashFlowHedgingMember2019-09-012019-11-300000320187us-gaap:ForeignExchangeContractMemberus-gaap:SalesMemberus-gaap:CashFlowHedgingMember2020-06-012020-1</w:t>
      </w:r>
      <w:r>
        <w:rPr>
          <w:rFonts w:ascii="宋体" w:eastAsia="宋体" w:hAnsi="宋体" w:cs="宋体"/>
          <w:vanish/>
        </w:rPr>
        <w:t>1-300000320187us-gaap:ForeignExchangeContractMemberus-gaap:SalesMemberus-gaap:CashFlowHedgingMember2019-06-012019-11-300000320187us-gaap:ForeignExchangeContractMemberus-gaap:CostOfSalesMemberus-gaap:CashFlowHedgingMember2020-06-012020-11-300000320187us-gaa</w:t>
      </w:r>
      <w:r>
        <w:rPr>
          <w:rFonts w:ascii="宋体" w:eastAsia="宋体" w:hAnsi="宋体" w:cs="宋体"/>
          <w:vanish/>
        </w:rPr>
        <w:t>p:ForeignExchangeContractMemberus-gaap:CostOfSalesMemberus-gaap:CashFlowHedgingMember2019-06-012019-11-300000320187us-gaap:ForeignExchangeContractMembernke:DemandCreationExpenseMemberus-gaap:CashFlowHedgingMember2020-06-012020-11-300000320187us-gaap:Foreig</w:t>
      </w:r>
      <w:r>
        <w:rPr>
          <w:rFonts w:ascii="宋体" w:eastAsia="宋体" w:hAnsi="宋体" w:cs="宋体"/>
          <w:vanish/>
        </w:rPr>
        <w:t>nExchangeContractMembernke:DemandCreationExpenseMemberus-gaap:CashFlowHedgingMember2019-06-012019-11-300000320187us-gaap:ForeignExchangeContractMembernke:OtherIncomeAndExpenseMemberus-gaap:CashFlowHedgingMember2020-06-012020-11-300000320187us-gaap:ForeignE</w:t>
      </w:r>
      <w:r>
        <w:rPr>
          <w:rFonts w:ascii="宋体" w:eastAsia="宋体" w:hAnsi="宋体" w:cs="宋体"/>
          <w:vanish/>
        </w:rPr>
        <w:t>xchangeContractMembernke:OtherIncomeAndExpenseMemberus-gaap:CashFlowHedgingMember2019-06-012019-11-300000320187nke:InterestIncomeExpenseNetMemberus-gaap:InterestRateSwapMemberus-gaap:CashFlowHedgingMember2020-06-012020-11-300000320187nke:InterestIncomeExpe</w:t>
      </w:r>
      <w:r>
        <w:rPr>
          <w:rFonts w:ascii="宋体" w:eastAsia="宋体" w:hAnsi="宋体" w:cs="宋体"/>
          <w:vanish/>
        </w:rPr>
        <w:t>nseNetMemberus-gaap:InterestRateSwapMemberus-gaap:CashFlowHedgingMember2019-06-012019-11-300000320187us-gaap:CashFlowHedgingMember2020-09-012020-11-300000320187us-gaap:CashFlowHedgingMember2019-09-012019-11-300000320187us-gaap:CashFlowHedgingMember2020-06-</w:t>
      </w:r>
      <w:r>
        <w:rPr>
          <w:rFonts w:ascii="宋体" w:eastAsia="宋体" w:hAnsi="宋体" w:cs="宋体"/>
          <w:vanish/>
        </w:rPr>
        <w:t>012020-11-300000320187us-gaap:CashFlowHedgingMember2019-06-012019-11-300000320187us-gaap:NondesignatedMemberus-gaap:ForeignExchangeContractMembernke:OtherIncomeAndExpenseMember2020-09-012020-11-300000320187us-gaap:NondesignatedMemberus-gaap:ForeignExchange</w:t>
      </w:r>
      <w:r>
        <w:rPr>
          <w:rFonts w:ascii="宋体" w:eastAsia="宋体" w:hAnsi="宋体" w:cs="宋体"/>
          <w:vanish/>
        </w:rPr>
        <w:t>ContractMembernke:OtherIncomeAndExpenseMember2019-09-012019-11-300000320187us-gaap:NondesignatedMemberus-gaap:ForeignExchangeContractMembernke:OtherIncomeAndExpenseMember2020-06-012020-11-300000320187us-gaap:NondesignatedMemberus-gaap:ForeignExchangeContra</w:t>
      </w:r>
      <w:r>
        <w:rPr>
          <w:rFonts w:ascii="宋体" w:eastAsia="宋体" w:hAnsi="宋体" w:cs="宋体"/>
          <w:vanish/>
        </w:rPr>
        <w:t>ctMembernke:OtherIncomeAndExpenseMember2019-06-012019-11-300000320187us-gaap:NondesignatedMemberus-gaap:EmbeddedDerivativeFinancialInstrumentsMembernke:OtherIncomeAndExpenseMember2020-09-012020-11-300000320187us-gaap:NondesignatedMemberus-gaap:EmbeddedDeri</w:t>
      </w:r>
      <w:r>
        <w:rPr>
          <w:rFonts w:ascii="宋体" w:eastAsia="宋体" w:hAnsi="宋体" w:cs="宋体"/>
          <w:vanish/>
        </w:rPr>
        <w:t>vativeFinancialInstrumentsMembernke:OtherIncomeAndExpenseMember2019-09-012019-11-300000320187us-gaap:NondesignatedMemberus-gaap:EmbeddedDerivativeFinancialInstrumentsMembernke:OtherIncomeAndExpenseMember2020-06-012020-11-300000320187us-gaap:NondesignatedMe</w:t>
      </w:r>
      <w:r>
        <w:rPr>
          <w:rFonts w:ascii="宋体" w:eastAsia="宋体" w:hAnsi="宋体" w:cs="宋体"/>
          <w:vanish/>
        </w:rPr>
        <w:t>mberus-gaap:EmbeddedDerivativeFinancialInstrumentsMembernke:OtherIncomeAndExpenseMember2019-06-012019-11-300000320187us-gaap:CashFlowHedgingMember2020-11-300000320187nke:NotDesignatedasDerivativeInstrumentMember2020-11-300000320187us-gaap:EmbeddedDerivativ</w:t>
      </w:r>
      <w:r>
        <w:rPr>
          <w:rFonts w:ascii="宋体" w:eastAsia="宋体" w:hAnsi="宋体" w:cs="宋体"/>
          <w:vanish/>
        </w:rPr>
        <w:t>eFinancialInstrumentsMember2020-11-300000320187us-gaap:CashAndCashEquivalentsMember2020-11-300000320187us-gaap:AccumulatedTranslationAdjustmentMember2020-08-310000320187us-gaap:AccumulatedGainLossNetCashFlowHedgeParentMember2020-08-310000320187us-gaap:Accu</w:t>
      </w:r>
      <w:r>
        <w:rPr>
          <w:rFonts w:ascii="宋体" w:eastAsia="宋体" w:hAnsi="宋体" w:cs="宋体"/>
          <w:vanish/>
        </w:rPr>
        <w:t>mulatedNetUnrealizedInvestmentGainLossMember2020-08-310000320187nke:AccumulatedOtherAdjustmentsMember2020-08-310000320187us-gaap:ParentMember2020-08-310000320187us-gaap:AccumulatedTranslationAdjustmentMember2020-09-012020-11-300000320187us-gaap:Accumulated</w:t>
      </w:r>
      <w:r>
        <w:rPr>
          <w:rFonts w:ascii="宋体" w:eastAsia="宋体" w:hAnsi="宋体" w:cs="宋体"/>
          <w:vanish/>
        </w:rPr>
        <w:t>GainLossNetCashFlowHedgeParentMember2020-09-012020-11-300000320187us-gaap:AccumulatedNetUnrealizedInvestmentGainLossMember2020-09-012020-11-300000320187nke:AccumulatedOtherAdjustmentsMember2020-09-012020-11-300000320187us-gaap:AccumulatedTranslationAdjustm</w:t>
      </w:r>
      <w:r>
        <w:rPr>
          <w:rFonts w:ascii="宋体" w:eastAsia="宋体" w:hAnsi="宋体" w:cs="宋体"/>
          <w:vanish/>
        </w:rPr>
        <w:t>entMember2020-11-300000320187us-gaap:AccumulatedGainLossNetCashFlowHedgeParentMember2020-11-300000320187us-gaap:AccumulatedNetUnrealizedInvestmentGainLossMember2020-11-300000320187nke:AccumulatedOtherAdjustmentsMember2020-11-300000320187us-gaap:ParentMembe</w:t>
      </w:r>
      <w:r>
        <w:rPr>
          <w:rFonts w:ascii="宋体" w:eastAsia="宋体" w:hAnsi="宋体" w:cs="宋体"/>
          <w:vanish/>
        </w:rPr>
        <w:t>r2020-11-300000320187us-gaap:AccumulatedTranslationAdjustmentMember2019-08-310000320187us-gaap:AccumulatedGainLossNetCashFlowHedgeParentMember2019-08-310000320187us-gaap:AccumulatedNetUnrealizedInvestmentGainLossMember2019-08-310000320187nke:AccumulatedOth</w:t>
      </w:r>
      <w:r>
        <w:rPr>
          <w:rFonts w:ascii="宋体" w:eastAsia="宋体" w:hAnsi="宋体" w:cs="宋体"/>
          <w:vanish/>
        </w:rPr>
        <w:t>erAdjustmentsMember2019-08-310000320187us-gaap:ParentMember2019-08-310000320187us-gaap:AccumulatedTranslationAdjustmentMember2019-09-012019-11-300000320187us-gaap:AccumulatedGainLossNetCashFlowHedgeParentMember2019-09-012019-11-300000320187us-gaap:Accumula</w:t>
      </w:r>
      <w:r>
        <w:rPr>
          <w:rFonts w:ascii="宋体" w:eastAsia="宋体" w:hAnsi="宋体" w:cs="宋体"/>
          <w:vanish/>
        </w:rPr>
        <w:t>tedNetUnrealizedInvestmentGainLossMember2019-09-012019-11-300000320187nke:AccumulatedOtherAdjustmentsMember2019-09-012019-11-300000320187us-gaap:AccumulatedTranslationAdjustmentMember2019-11-300000320187us-gaap:AccumulatedGainLossNetCashFlowHedgeParentMemb</w:t>
      </w:r>
      <w:r>
        <w:rPr>
          <w:rFonts w:ascii="宋体" w:eastAsia="宋体" w:hAnsi="宋体" w:cs="宋体"/>
          <w:vanish/>
        </w:rPr>
        <w:t>er2019-11-300000320187us-gaap:AccumulatedNetUnrealizedInvestmentGainLossMember2019-11-300000320187nke:AccumulatedOtherAdjustmentsMember2019-11-300000320187us-gaap:ParentMember2019-11-300000320187us-gaap:AccumulatedTranslationAdjustmentMember2019-06-012019-</w:t>
      </w:r>
      <w:r>
        <w:rPr>
          <w:rFonts w:ascii="宋体" w:eastAsia="宋体" w:hAnsi="宋体" w:cs="宋体"/>
          <w:vanish/>
        </w:rPr>
        <w:t>11-300000320187us-gaap:AccumulatedGainLossNetCashFlowHedgeParentMember2019-06-012019-11-300000320187us-gaap:AccumulatedNetUnrealizedInvestmentGainLossMember2019-06-012019-11-300000320187nke:AccumulatedOtherAdjustmentsMember2019-06-012019-11-300000320187us-</w:t>
      </w:r>
      <w:r>
        <w:rPr>
          <w:rFonts w:ascii="宋体" w:eastAsia="宋体" w:hAnsi="宋体" w:cs="宋体"/>
          <w:vanish/>
        </w:rPr>
        <w:t>gaap:AccumulatedTranslationAdjustmentMember2020-05-310000320187us-gaap:AccumulatedGainLossNetCashFlowHedgeParentMember2020-05-310000320187us-gaap:AccumulatedNetUnrealizedInvestmentGainLossMember2020-05-310000320187nke:AccumulatedOtherAdjustmentsMember2020-</w:t>
      </w:r>
      <w:r>
        <w:rPr>
          <w:rFonts w:ascii="宋体" w:eastAsia="宋体" w:hAnsi="宋体" w:cs="宋体"/>
          <w:vanish/>
        </w:rPr>
        <w:t>05-310000320187us-gaap:ParentMember2020-05-310000320187us-gaap:AccumulatedTranslationAdjustmentMember2020-06-012020-11-300000320187us-gaap:AccumulatedGainLossNetCashFlowHedgeParentMember2020-06-012020-11-300000320187nke:AccumulatedOtherAdjustmentsMember202</w:t>
      </w:r>
      <w:r>
        <w:rPr>
          <w:rFonts w:ascii="宋体" w:eastAsia="宋体" w:hAnsi="宋体" w:cs="宋体"/>
          <w:vanish/>
        </w:rPr>
        <w:t>0-06-012020-11-300000320187us-gaap:AccumulatedTranslationAdjustmentMember2019-05-310000320187us-gaap:AccumulatedGainLossNetCashFlowHedgeParentMember2019-05-310000320187us-gaap:AccumulatedNetUnrealizedInvestmentGainLossMember2019-05-310000320187nke:Accumula</w:t>
      </w:r>
      <w:r>
        <w:rPr>
          <w:rFonts w:ascii="宋体" w:eastAsia="宋体" w:hAnsi="宋体" w:cs="宋体"/>
          <w:vanish/>
        </w:rPr>
        <w:t>tedOtherAdjustmentsMember2019-05-310000320187us-gaap:ParentMember2019-05-310000320187us-gaap:ReclassificationOutOfAccumulatedOtherComprehensiveIncomeMemberus-gaap:AccumulatedTranslationAdjustmentMember2020-09-012020-11-300000320187us-gaap:ReclassificationO</w:t>
      </w:r>
      <w:r>
        <w:rPr>
          <w:rFonts w:ascii="宋体" w:eastAsia="宋体" w:hAnsi="宋体" w:cs="宋体"/>
          <w:vanish/>
        </w:rPr>
        <w:t>utOfAccumulatedOtherComprehensiveIncomeMemberus-gaap:AccumulatedTranslationAdjustmentMember2019-09-012019-11-300000320187us-gaap:ReclassificationOutOfAccumulatedOtherComprehensiveIncomeMemberus-gaap:AccumulatedTranslationAdjustmentMember2020-06-012020-11-3</w:t>
      </w:r>
      <w:r>
        <w:rPr>
          <w:rFonts w:ascii="宋体" w:eastAsia="宋体" w:hAnsi="宋体" w:cs="宋体"/>
          <w:vanish/>
        </w:rPr>
        <w:t>00000320187us-gaap:ReclassificationOutOfAccumulatedOtherComprehensiveIncomeMemberus-gaap:AccumulatedTranslationAdjustmentMember2019-06-012019-11-300000320187nke:ForeignExchangeForwardandOptionMemberus-gaap:AccumulatedNetGainLossFromDesignatedOrQualifyingCa</w:t>
      </w:r>
      <w:r>
        <w:rPr>
          <w:rFonts w:ascii="宋体" w:eastAsia="宋体" w:hAnsi="宋体" w:cs="宋体"/>
          <w:vanish/>
        </w:rPr>
        <w:t>shFlowHedgesMemberus-gaap:ReclassificationOutOfAccumulatedOtherComprehensiveIncomeMember2020-09-012020-11-300000320187nke:ForeignExchangeForwardandOptionMemberus-gaap:AccumulatedNetGainLossFromDesignatedOrQualifyingCashFlowHedgesMemberus-gaap:Reclassificat</w:t>
      </w:r>
      <w:r>
        <w:rPr>
          <w:rFonts w:ascii="宋体" w:eastAsia="宋体" w:hAnsi="宋体" w:cs="宋体"/>
          <w:vanish/>
        </w:rPr>
        <w:t>ionOutOfAccumulatedOtherComprehensiveIncomeMember2019-09-012019-11-300000320187nke:ForeignExchangeForwardandOptionMemberus-gaap:AccumulatedNetGainLossFromDesignatedOrQualifyingCashFlowHedgesMemberus-gaap:ReclassificationOutOfAccumulatedOtherComprehensiveIn</w:t>
      </w:r>
      <w:r>
        <w:rPr>
          <w:rFonts w:ascii="宋体" w:eastAsia="宋体" w:hAnsi="宋体" w:cs="宋体"/>
          <w:vanish/>
        </w:rPr>
        <w:t>comeMember2020-06-012020-11-300000320187nke:ForeignExchangeForwardandOptionMemberus-gaap:AccumulatedNetGainLossFromDesignatedOrQualifyingCashFlowHedgesMemberus-gaap:ReclassificationOutOfAccumulatedOtherComprehensiveIncomeMember2019-06-012019-11-30000032018</w:t>
      </w:r>
      <w:r>
        <w:rPr>
          <w:rFonts w:ascii="宋体" w:eastAsia="宋体" w:hAnsi="宋体" w:cs="宋体"/>
          <w:vanish/>
        </w:rPr>
        <w:t>7us-gaap:InterestRateSwapMemberus-gaap:AccumulatedNetGainLossFromDesignatedOrQualifyingCashFlowHedgesMemberus-gaap:ReclassificationOutOfAccumulatedOtherComprehensiveIncomeMember2020-09-012020-11-300000320187us-gaap:InterestRateSwapMemberus-gaap:Accumulated</w:t>
      </w:r>
      <w:r>
        <w:rPr>
          <w:rFonts w:ascii="宋体" w:eastAsia="宋体" w:hAnsi="宋体" w:cs="宋体"/>
          <w:vanish/>
        </w:rPr>
        <w:t>NetGainLossFromDesignatedOrQualifyingCashFlowHedgesMemberus-gaap:ReclassificationOutOfAccumulatedOtherComprehensiveIncomeMember2019-09-012019-11-300000320187us-gaap:InterestRateSwapMemberus-gaap:AccumulatedNetGainLossFromDesignatedOrQualifyingCashFlowHedge</w:t>
      </w:r>
      <w:r>
        <w:rPr>
          <w:rFonts w:ascii="宋体" w:eastAsia="宋体" w:hAnsi="宋体" w:cs="宋体"/>
          <w:vanish/>
        </w:rPr>
        <w:t>sMemberus-gaap:ReclassificationOutOfAccumulatedOtherComprehensiveIncomeMember2020-06-012020-11-300000320187us-gaap:InterestRateSwapMemberus-gaap:AccumulatedNetGainLossFromDesignatedOrQualifyingCashFlowHedgesMemberus-gaap:ReclassificationOutOfAccumulatedOth</w:t>
      </w:r>
      <w:r>
        <w:rPr>
          <w:rFonts w:ascii="宋体" w:eastAsia="宋体" w:hAnsi="宋体" w:cs="宋体"/>
          <w:vanish/>
        </w:rPr>
        <w:t>erComprehensiveIncomeMember2019-06-012019-11-300000320187us-gaap:ReclassificationOutOfAccumulatedOtherComprehensiveIncomeMemberus-gaap:AccumulatedNetGainLossFromDesignatedOrQualifyingCashFlowHedgesMember2020-09-012020-11-300000320187us-gaap:Reclassificatio</w:t>
      </w:r>
      <w:r>
        <w:rPr>
          <w:rFonts w:ascii="宋体" w:eastAsia="宋体" w:hAnsi="宋体" w:cs="宋体"/>
          <w:vanish/>
        </w:rPr>
        <w:t>nOutOfAccumulatedOtherComprehensiveIncomeMemberus-gaap:AccumulatedNetGainLossFromDesignatedOrQualifyingCashFlowHedgesMember2019-09-012019-11-300000320187us-gaap:ReclassificationOutOfAccumulatedOtherComprehensiveIncomeMemberus-gaap:AccumulatedNetGainLossFro</w:t>
      </w:r>
      <w:r>
        <w:rPr>
          <w:rFonts w:ascii="宋体" w:eastAsia="宋体" w:hAnsi="宋体" w:cs="宋体"/>
          <w:vanish/>
        </w:rPr>
        <w:t>mDesignatedOrQualifyingCashFlowHedgesMember2020-06-012020-11-300000320187us-gaap:ReclassificationOutOfAccumulatedOtherComprehensiveIncomeMemberus-gaap:AccumulatedNetGainLossFromDesignatedOrQualifyingCashFlowHedgesMember2019-06-012019-11-300000320187us-gaap</w:t>
      </w:r>
      <w:r>
        <w:rPr>
          <w:rFonts w:ascii="宋体" w:eastAsia="宋体" w:hAnsi="宋体" w:cs="宋体"/>
          <w:vanish/>
        </w:rPr>
        <w:t>:ReclassificationOutOfAccumulatedOtherComprehensiveIncomeMembernke:AccumulatedOtherAdjustmentsMember2020-09-012020-11-300000320187us-gaap:ReclassificationOutOfAccumulatedOtherComprehensiveIncomeMembernke:AccumulatedOtherAdjustmentsMember2019-09-012019-11-3</w:t>
      </w:r>
      <w:r>
        <w:rPr>
          <w:rFonts w:ascii="宋体" w:eastAsia="宋体" w:hAnsi="宋体" w:cs="宋体"/>
          <w:vanish/>
        </w:rPr>
        <w:t>00000320187us-gaap:ReclassificationOutOfAccumulatedOtherComprehensiveIncomeMembernke:AccumulatedOtherAdjustmentsMember2020-06-012020-11-300000320187us-gaap:ReclassificationOutOfAccumulatedOtherComprehensiveIncomeMembernke:AccumulatedOtherAdjustmentsMember2</w:t>
      </w:r>
      <w:r>
        <w:rPr>
          <w:rFonts w:ascii="宋体" w:eastAsia="宋体" w:hAnsi="宋体" w:cs="宋体"/>
          <w:vanish/>
        </w:rPr>
        <w:t>019-06-012019-11-300000320187us-gaap:ReclassificationOutOfAccumulatedOtherComprehensiveIncomeMember2020-09-012020-11-300000320187us-gaap:ReclassificationOutOfAccumulatedOtherComprehensiveIncomeMember2019-09-012019-11-300000320187us-gaap:ReclassificationOut</w:t>
      </w:r>
      <w:r>
        <w:rPr>
          <w:rFonts w:ascii="宋体" w:eastAsia="宋体" w:hAnsi="宋体" w:cs="宋体"/>
          <w:vanish/>
        </w:rPr>
        <w:t>OfAccumulatedOtherComprehensiveIncomeMember2020-06-012020-11-300000320187us-gaap:ReclassificationOutOfAccumulatedOtherComprehensiveIncomeMember2019-06-012019-11-300000320187nke:NorthAmericaSegmentMemberus-gaap:OperatingSegmentsMembernke:FootwearMembernke:N</w:t>
      </w:r>
      <w:r>
        <w:rPr>
          <w:rFonts w:ascii="宋体" w:eastAsia="宋体" w:hAnsi="宋体" w:cs="宋体"/>
          <w:vanish/>
        </w:rPr>
        <w:t>IKEBrandMember2020-09-012020-11-300000320187nke:EuropeMiddleEastAndAfricaSegmentMemberus-gaap:OperatingSegmentsMembernke:FootwearMembernke:NIKEBrandMember2020-09-012020-11-300000320187nke:GreaterChinaSegmentMemberus-gaap:OperatingSegmentsMembernke:Footwear</w:t>
      </w:r>
      <w:r>
        <w:rPr>
          <w:rFonts w:ascii="宋体" w:eastAsia="宋体" w:hAnsi="宋体" w:cs="宋体"/>
          <w:vanish/>
        </w:rPr>
        <w:t>Membernke:NIKEBrandMember2020-09-012020-11-300000320187nke:AsiaPacificAndLatinAmericaSegmentMemberus-gaap:OperatingSegmentsMembernke:FootwearMembernke:NIKEBrandMember2020-09-012020-11-300000320187us-gaap:MaterialReconcilingItemsMembernke:FootwearMember2020</w:t>
      </w:r>
      <w:r>
        <w:rPr>
          <w:rFonts w:ascii="宋体" w:eastAsia="宋体" w:hAnsi="宋体" w:cs="宋体"/>
          <w:vanish/>
        </w:rPr>
        <w:t>-09-012020-11-300000320187us-gaap:OperatingSegmentsMembernke:FootwearMembernke:NIKEBrandMember2020-09-012020-11-300000320187us-gaap:OperatingSegmentsMembernke:FootwearMembernke:ConverseSegmentMember2020-09-012020-11-300000320187us-gaap:CorporateNonSegmentM</w:t>
      </w:r>
      <w:r>
        <w:rPr>
          <w:rFonts w:ascii="宋体" w:eastAsia="宋体" w:hAnsi="宋体" w:cs="宋体"/>
          <w:vanish/>
        </w:rPr>
        <w:t>embernke:FootwearMember2020-09-012020-11-300000320187nke:FootwearMember2020-09-012020-11-300000320187nke:NorthAmericaSegmentMemberus-gaap:OperatingSegmentsMembernke:NIKEBrandMembernke:ApparelMember2020-09-012020-11-300000320187nke:EuropeMiddleEastAndAfrica</w:t>
      </w:r>
      <w:r>
        <w:rPr>
          <w:rFonts w:ascii="宋体" w:eastAsia="宋体" w:hAnsi="宋体" w:cs="宋体"/>
          <w:vanish/>
        </w:rPr>
        <w:t>SegmentMemberus-gaap:OperatingSegmentsMembernke:NIKEBrandMembernke:ApparelMember2020-09-012020-11-300000320187nke:GreaterChinaSegmentMemberus-gaap:OperatingSegmentsMembernke:NIKEBrandMembernke:ApparelMember2020-09-012020-11-300000320187nke:AsiaPacificAndLa</w:t>
      </w:r>
      <w:r>
        <w:rPr>
          <w:rFonts w:ascii="宋体" w:eastAsia="宋体" w:hAnsi="宋体" w:cs="宋体"/>
          <w:vanish/>
        </w:rPr>
        <w:t>tinAmericaSegmentMemberus-gaap:OperatingSegmentsMembernke:NIKEBrandMembernke:ApparelMember2020-09-012020-11-300000320187us-gaap:MaterialReconcilingItemsMembernke:ApparelMember2020-09-012020-11-300000320187us-gaap:OperatingSegmentsMembernke:NIKEBrandMembern</w:t>
      </w:r>
      <w:r>
        <w:rPr>
          <w:rFonts w:ascii="宋体" w:eastAsia="宋体" w:hAnsi="宋体" w:cs="宋体"/>
          <w:vanish/>
        </w:rPr>
        <w:t>ke:ApparelMember2020-09-012020-11-300000320187us-gaap:OperatingSegmentsMembernke:ConverseSegmentMembernke:ApparelMember2020-09-012020-11-300000320187us-gaap:CorporateNonSegmentMembernke:ApparelMember2020-09-012020-11-300000320187nke:ApparelMember2020-09-01</w:t>
      </w:r>
      <w:r>
        <w:rPr>
          <w:rFonts w:ascii="宋体" w:eastAsia="宋体" w:hAnsi="宋体" w:cs="宋体"/>
          <w:vanish/>
        </w:rPr>
        <w:t>2020-11-300000320187nke:NorthAmericaSegmentMembernke:SportingEquipmentMemberus-gaap:OperatingSegmentsMembernke:NIKEBrandMember2020-09-012020-11-300000320187nke:EuropeMiddleEastAndAfricaSegmentMembernke:SportingEquipmentMemberus-gaap:OperatingSegmentsMember</w:t>
      </w:r>
      <w:r>
        <w:rPr>
          <w:rFonts w:ascii="宋体" w:eastAsia="宋体" w:hAnsi="宋体" w:cs="宋体"/>
          <w:vanish/>
        </w:rPr>
        <w:t>nke:NIKEBrandMember2020-09-012020-11-300000320187nke:GreaterChinaSegmentMembernke:SportingEquipmentMemberus-gaap:OperatingSegmentsMembernke:NIKEBrandMember2020-09-012020-11-300000320187nke:AsiaPacificAndLatinAmericaSegmentMembernke:SportingEquipmentMemberu</w:t>
      </w:r>
      <w:r>
        <w:rPr>
          <w:rFonts w:ascii="宋体" w:eastAsia="宋体" w:hAnsi="宋体" w:cs="宋体"/>
          <w:vanish/>
        </w:rPr>
        <w:t>s-gaap:OperatingSegmentsMembernke:NIKEBrandMember2020-09-012020-11-300000320187us-gaap:MaterialReconcilingItemsMembernke:SportingEquipmentMember2020-09-012020-11-300000320187nke:SportingEquipmentMemberus-gaap:OperatingSegmentsMembernke:NIKEBrandMember2020-</w:t>
      </w:r>
      <w:r>
        <w:rPr>
          <w:rFonts w:ascii="宋体" w:eastAsia="宋体" w:hAnsi="宋体" w:cs="宋体"/>
          <w:vanish/>
        </w:rPr>
        <w:t>09-012020-11-300000320187nke:SportingEquipmentMemberus-gaap:OperatingSegmentsMembernke:ConverseSegmentMember2020-09-012020-11-300000320187us-gaap:CorporateNonSegmentMembernke:SportingEquipmentMember2020-09-012020-11-300000320187nke:SportingEquipmentMember2</w:t>
      </w:r>
      <w:r>
        <w:rPr>
          <w:rFonts w:ascii="宋体" w:eastAsia="宋体" w:hAnsi="宋体" w:cs="宋体"/>
          <w:vanish/>
        </w:rPr>
        <w:t>020-09-012020-11-300000320187nke:NorthAmericaSegmentMemberus-gaap:OperatingSegmentsMembernke:OtherProductLinesMembernke:NIKEBrandMember2020-09-012020-11-300000320187nke:EuropeMiddleEastAndAfricaSegmentMemberus-gaap:OperatingSegmentsMembernke:OtherProductLi</w:t>
      </w:r>
      <w:r>
        <w:rPr>
          <w:rFonts w:ascii="宋体" w:eastAsia="宋体" w:hAnsi="宋体" w:cs="宋体"/>
          <w:vanish/>
        </w:rPr>
        <w:t>nesMembernke:NIKEBrandMember2020-09-012020-11-300000320187nke:GreaterChinaSegmentMemberus-gaap:OperatingSegmentsMembernke:OtherProductLinesMembernke:NIKEBrandMember2020-09-012020-11-300000320187nke:AsiaPacificAndLatinAmericaSegmentMemberus-gaap:OperatingSe</w:t>
      </w:r>
      <w:r>
        <w:rPr>
          <w:rFonts w:ascii="宋体" w:eastAsia="宋体" w:hAnsi="宋体" w:cs="宋体"/>
          <w:vanish/>
        </w:rPr>
        <w:t>gmentsMembernke:OtherProductLinesMembernke:NIKEBrandMember2020-09-012020-11-300000320187us-gaap:MaterialReconcilingItemsMembernke:OtherProductLinesMember2020-09-012020-11-300000320187us-gaap:OperatingSegmentsMembernke:OtherProductLinesMembernke:NIKEBrandMe</w:t>
      </w:r>
      <w:r>
        <w:rPr>
          <w:rFonts w:ascii="宋体" w:eastAsia="宋体" w:hAnsi="宋体" w:cs="宋体"/>
          <w:vanish/>
        </w:rPr>
        <w:t>mber2020-09-012020-11-300000320187us-gaap:OperatingSegmentsMembernke:OtherProductLinesMembernke:ConverseSegmentMember2020-09-012020-11-300000320187us-gaap:CorporateNonSegmentMembernke:OtherProductLinesMember2020-09-012020-11-300000320187nke:OtherProductLin</w:t>
      </w:r>
      <w:r>
        <w:rPr>
          <w:rFonts w:ascii="宋体" w:eastAsia="宋体" w:hAnsi="宋体" w:cs="宋体"/>
          <w:vanish/>
        </w:rPr>
        <w:t>esMember2020-09-012020-11-300000320187nke:NorthAmericaSegmentMemberus-gaap:OperatingSegmentsMembernke:NIKEBrandMember2020-09-012020-11-300000320187nke:EuropeMiddleEastAndAfricaSegmentMemberus-gaap:OperatingSegmentsMembernke:NIKEBrandMember2020-09-012020-11</w:t>
      </w:r>
      <w:r>
        <w:rPr>
          <w:rFonts w:ascii="宋体" w:eastAsia="宋体" w:hAnsi="宋体" w:cs="宋体"/>
          <w:vanish/>
        </w:rPr>
        <w:t>-300000320187nke:GreaterChinaSegmentMemberus-gaap:OperatingSegmentsMembernke:NIKEBrandMember2020-09-012020-11-300000320187nke:AsiaPacificAndLatinAmericaSegmentMemberus-gaap:OperatingSegmentsMembernke:NIKEBrandMember2020-09-012020-11-300000320187us-gaap:Mat</w:t>
      </w:r>
      <w:r>
        <w:rPr>
          <w:rFonts w:ascii="宋体" w:eastAsia="宋体" w:hAnsi="宋体" w:cs="宋体"/>
          <w:vanish/>
        </w:rPr>
        <w:t>erialReconcilingItemsMember2020-09-012020-11-300000320187us-gaap:OperatingSegmentsMembernke:NIKEBrandMember2020-09-012020-11-300000320187us-gaap:OperatingSegmentsMembernke:ConverseSegmentMember2020-09-012020-11-300000320187us-gaap:CorporateNonSegmentMember</w:t>
      </w:r>
      <w:r>
        <w:rPr>
          <w:rFonts w:ascii="宋体" w:eastAsia="宋体" w:hAnsi="宋体" w:cs="宋体"/>
          <w:vanish/>
        </w:rPr>
        <w:t>2020-09-012020-11-300000320187nke:NorthAmericaSegmentMembernke:SalesChannelWholesaleMemberus-gaap:OperatingSegmentsMembernke:NIKEBrandMember2020-09-012020-11-300000320187nke:EuropeMiddleEastAndAfricaSegmentMembernke:SalesChannelWholesaleMemberus-gaap:Opera</w:t>
      </w:r>
      <w:r>
        <w:rPr>
          <w:rFonts w:ascii="宋体" w:eastAsia="宋体" w:hAnsi="宋体" w:cs="宋体"/>
          <w:vanish/>
        </w:rPr>
        <w:t>tingSegmentsMembernke:NIKEBrandMember2020-09-012020-11-300000320187nke:GreaterChinaSegmentMembernke:SalesChannelWholesaleMemberus-gaap:OperatingSegmentsMembernke:NIKEBrandMember2020-09-012020-11-300000320187nke:AsiaPacificAndLatinAmericaSegmentMembernke:Sa</w:t>
      </w:r>
      <w:r>
        <w:rPr>
          <w:rFonts w:ascii="宋体" w:eastAsia="宋体" w:hAnsi="宋体" w:cs="宋体"/>
          <w:vanish/>
        </w:rPr>
        <w:t>lesChannelWholesaleMemberus-gaap:OperatingSegmentsMembernke:NIKEBrandMember2020-09-012020-11-300000320187nke:SalesChannelWholesaleMemberus-gaap:MaterialReconcilingItemsMember2020-09-012020-11-300000320187nke:SalesChannelWholesaleMemberus-gaap:OperatingSegm</w:t>
      </w:r>
      <w:r>
        <w:rPr>
          <w:rFonts w:ascii="宋体" w:eastAsia="宋体" w:hAnsi="宋体" w:cs="宋体"/>
          <w:vanish/>
        </w:rPr>
        <w:t>entsMembernke:NIKEBrandMember2020-09-012020-11-300000320187nke:SalesChannelWholesaleMemberus-gaap:OperatingSegmentsMembernke:ConverseSegmentMember2020-09-012020-11-300000320187us-gaap:CorporateNonSegmentMembernke:SalesChannelWholesaleMember2020-09-012020-1</w:t>
      </w:r>
      <w:r>
        <w:rPr>
          <w:rFonts w:ascii="宋体" w:eastAsia="宋体" w:hAnsi="宋体" w:cs="宋体"/>
          <w:vanish/>
        </w:rPr>
        <w:t>1-300000320187nke:SalesChannelWholesaleMember2020-09-012020-11-300000320187nke:NorthAmericaSegmentMemberus-gaap:OperatingSegmentsMembernke:NIKEBrandMemberus-gaap:SalesChannelDirectlyToConsumerMember2020-09-012020-11-300000320187nke:EuropeMiddleEastAndAfric</w:t>
      </w:r>
      <w:r>
        <w:rPr>
          <w:rFonts w:ascii="宋体" w:eastAsia="宋体" w:hAnsi="宋体" w:cs="宋体"/>
          <w:vanish/>
        </w:rPr>
        <w:t>aSegmentMemberus-gaap:OperatingSegmentsMembernke:NIKEBrandMemberus-gaap:SalesChannelDirectlyToConsumerMember2020-09-012020-11-300000320187nke:GreaterChinaSegmentMemberus-gaap:OperatingSegmentsMembernke:NIKEBrandMemberus-gaap:SalesChannelDirectlyToConsumerM</w:t>
      </w:r>
      <w:r>
        <w:rPr>
          <w:rFonts w:ascii="宋体" w:eastAsia="宋体" w:hAnsi="宋体" w:cs="宋体"/>
          <w:vanish/>
        </w:rPr>
        <w:t>ember2020-09-012020-11-300000320187nke:AsiaPacificAndLatinAmericaSegmentMemberus-gaap:OperatingSegmentsMembernke:NIKEBrandMemberus-gaap:SalesChannelDirectlyToConsumerMember2020-09-012020-11-300000320187us-gaap:MaterialReconcilingItemsMemberus-gaap:SalesCha</w:t>
      </w:r>
      <w:r>
        <w:rPr>
          <w:rFonts w:ascii="宋体" w:eastAsia="宋体" w:hAnsi="宋体" w:cs="宋体"/>
          <w:vanish/>
        </w:rPr>
        <w:t>nnelDirectlyToConsumerMember2020-09-012020-11-300000320187us-gaap:OperatingSegmentsMembernke:NIKEBrandMemberus-gaap:SalesChannelDirectlyToConsumerMember2020-09-012020-11-300000320187us-gaap:OperatingSegmentsMembernke:ConverseSegmentMemberus-gaap:SalesChann</w:t>
      </w:r>
      <w:r>
        <w:rPr>
          <w:rFonts w:ascii="宋体" w:eastAsia="宋体" w:hAnsi="宋体" w:cs="宋体"/>
          <w:vanish/>
        </w:rPr>
        <w:t>elDirectlyToConsumerMember2020-09-012020-11-300000320187us-gaap:CorporateNonSegmentMemberus-gaap:SalesChannelDirectlyToConsumerMember2020-09-012020-11-300000320187us-gaap:SalesChannelDirectlyToConsumerMember2020-09-012020-11-300000320187nke:NorthAmericaSeg</w:t>
      </w:r>
      <w:r>
        <w:rPr>
          <w:rFonts w:ascii="宋体" w:eastAsia="宋体" w:hAnsi="宋体" w:cs="宋体"/>
          <w:vanish/>
        </w:rPr>
        <w:t>mentMemberus-gaap:OperatingSegmentsMembernke:SalesChannelOtherMembernke:NIKEBrandMember2020-09-012020-11-300000320187nke:EuropeMiddleEastAndAfricaSegmentMemberus-gaap:OperatingSegmentsMembernke:SalesChannelOtherMembernke:NIKEBrandMember2020-09-012020-11-30</w:t>
      </w:r>
      <w:r>
        <w:rPr>
          <w:rFonts w:ascii="宋体" w:eastAsia="宋体" w:hAnsi="宋体" w:cs="宋体"/>
          <w:vanish/>
        </w:rPr>
        <w:t>0000320187nke:GreaterChinaSegmentMemberus-gaap:OperatingSegmentsMembernke:SalesChannelOtherMembernke:NIKEBrandMember2020-09-012020-11-300000320187nke:AsiaPacificAndLatinAmericaSegmentMemberus-gaap:OperatingSegmentsMembernke:SalesChannelOtherMembernke:NIKEB</w:t>
      </w:r>
      <w:r>
        <w:rPr>
          <w:rFonts w:ascii="宋体" w:eastAsia="宋体" w:hAnsi="宋体" w:cs="宋体"/>
          <w:vanish/>
        </w:rPr>
        <w:t>randMember2020-09-012020-11-300000320187us-gaap:MaterialReconcilingItemsMembernke:SalesChannelOtherMember2020-09-012020-11-300000320187us-gaap:OperatingSegmentsMembernke:SalesChannelOtherMembernke:NIKEBrandMember2020-09-012020-11-300000320187us-gaap:Operat</w:t>
      </w:r>
      <w:r>
        <w:rPr>
          <w:rFonts w:ascii="宋体" w:eastAsia="宋体" w:hAnsi="宋体" w:cs="宋体"/>
          <w:vanish/>
        </w:rPr>
        <w:t>ingSegmentsMembernke:SalesChannelOtherMembernke:ConverseSegmentMember2020-09-012020-11-300000320187us-gaap:CorporateNonSegmentMembernke:SalesChannelOtherMember2020-09-012020-11-300000320187nke:SalesChannelOtherMember2020-09-012020-11-300000320187nke:NorthA</w:t>
      </w:r>
      <w:r>
        <w:rPr>
          <w:rFonts w:ascii="宋体" w:eastAsia="宋体" w:hAnsi="宋体" w:cs="宋体"/>
          <w:vanish/>
        </w:rPr>
        <w:t>mericaSegmentMemberus-gaap:OperatingSegmentsMembernke:FootwearMembernke:NIKEBrandMember2019-09-012019-11-300000320187nke:EuropeMiddleEastAndAfricaSegmentMemberus-gaap:OperatingSegmentsMembernke:FootwearMembernke:NIKEBrandMember2019-09-012019-11-30000032018</w:t>
      </w:r>
      <w:r>
        <w:rPr>
          <w:rFonts w:ascii="宋体" w:eastAsia="宋体" w:hAnsi="宋体" w:cs="宋体"/>
          <w:vanish/>
        </w:rPr>
        <w:t>7nke:GreaterChinaSegmentMemberus-gaap:OperatingSegmentsMembernke:FootwearMembernke:NIKEBrandMember2019-09-012019-11-300000320187nke:AsiaPacificAndLatinAmericaSegmentMemberus-gaap:OperatingSegmentsMembernke:FootwearMembernke:NIKEBrandMember2019-09-012019-11</w:t>
      </w:r>
      <w:r>
        <w:rPr>
          <w:rFonts w:ascii="宋体" w:eastAsia="宋体" w:hAnsi="宋体" w:cs="宋体"/>
          <w:vanish/>
        </w:rPr>
        <w:t>-300000320187us-gaap:MaterialReconcilingItemsMembernke:FootwearMember2019-09-012019-11-300000320187us-gaap:OperatingSegmentsMembernke:FootwearMembernke:NIKEBrandMember2019-09-012019-11-300000320187us-gaap:OperatingSegmentsMembernke:FootwearMembernke:Conver</w:t>
      </w:r>
      <w:r>
        <w:rPr>
          <w:rFonts w:ascii="宋体" w:eastAsia="宋体" w:hAnsi="宋体" w:cs="宋体"/>
          <w:vanish/>
        </w:rPr>
        <w:t>seSegmentMember2019-09-012019-11-300000320187us-gaap:CorporateNonSegmentMembernke:FootwearMember2019-09-012019-11-300000320187nke:FootwearMember2019-09-012019-11-300000320187nke:NorthAmericaSegmentMemberus-gaap:OperatingSegmentsMembernke:NIKEBrandMembernke</w:t>
      </w:r>
      <w:r>
        <w:rPr>
          <w:rFonts w:ascii="宋体" w:eastAsia="宋体" w:hAnsi="宋体" w:cs="宋体"/>
          <w:vanish/>
        </w:rPr>
        <w:t>:ApparelMember2019-09-012019-11-300000320187nke:EuropeMiddleEastAndAfricaSegmentMemberus-gaap:OperatingSegmentsMembernke:NIKEBrandMembernke:ApparelMember2019-09-012019-11-300000320187nke:GreaterChinaSegmentMemberus-gaap:OperatingSegmentsMembernke:NIKEBrand</w:t>
      </w:r>
      <w:r>
        <w:rPr>
          <w:rFonts w:ascii="宋体" w:eastAsia="宋体" w:hAnsi="宋体" w:cs="宋体"/>
          <w:vanish/>
        </w:rPr>
        <w:t>Membernke:ApparelMember2019-09-012019-11-300000320187nke:AsiaPacificAndLatinAmericaSegmentMemberus-gaap:OperatingSegmentsMembernke:NIKEBrandMembernke:ApparelMember2019-09-012019-11-300000320187us-gaap:MaterialReconcilingItemsMembernke:ApparelMember2019-09-</w:t>
      </w:r>
      <w:r>
        <w:rPr>
          <w:rFonts w:ascii="宋体" w:eastAsia="宋体" w:hAnsi="宋体" w:cs="宋体"/>
          <w:vanish/>
        </w:rPr>
        <w:t>012019-11-300000320187us-gaap:OperatingSegmentsMembernke:NIKEBrandMembernke:ApparelMember2019-09-012019-11-300000320187us-gaap:OperatingSegmentsMembernke:ConverseSegmentMembernke:ApparelMember2019-09-012019-11-300000320187us-gaap:CorporateNonSegmentMembern</w:t>
      </w:r>
      <w:r>
        <w:rPr>
          <w:rFonts w:ascii="宋体" w:eastAsia="宋体" w:hAnsi="宋体" w:cs="宋体"/>
          <w:vanish/>
        </w:rPr>
        <w:t>ke:ApparelMember2019-09-012019-11-300000320187nke:ApparelMember2019-09-012019-11-300000320187nke:NorthAmericaSegmentMembernke:SportingEquipmentMemberus-gaap:OperatingSegmentsMembernke:NIKEBrandMember2019-09-012019-11-300000320187nke:EuropeMiddleEastAndAfri</w:t>
      </w:r>
      <w:r>
        <w:rPr>
          <w:rFonts w:ascii="宋体" w:eastAsia="宋体" w:hAnsi="宋体" w:cs="宋体"/>
          <w:vanish/>
        </w:rPr>
        <w:t>caSegmentMembernke:SportingEquipmentMemberus-gaap:OperatingSegmentsMembernke:NIKEBrandMember2019-09-012019-11-300000320187nke:GreaterChinaSegmentMembernke:SportingEquipmentMemberus-gaap:OperatingSegmentsMembernke:NIKEBrandMember2019-09-012019-11-3000003201</w:t>
      </w:r>
      <w:r>
        <w:rPr>
          <w:rFonts w:ascii="宋体" w:eastAsia="宋体" w:hAnsi="宋体" w:cs="宋体"/>
          <w:vanish/>
        </w:rPr>
        <w:t>87nke:AsiaPacificAndLatinAmericaSegmentMembernke:SportingEquipmentMemberus-gaap:OperatingSegmentsMembernke:NIKEBrandMember2019-09-012019-11-300000320187us-gaap:MaterialReconcilingItemsMembernke:SportingEquipmentMember2019-09-012019-11-300000320187nke:Sport</w:t>
      </w:r>
      <w:r>
        <w:rPr>
          <w:rFonts w:ascii="宋体" w:eastAsia="宋体" w:hAnsi="宋体" w:cs="宋体"/>
          <w:vanish/>
        </w:rPr>
        <w:t>ingEquipmentMemberus-gaap:OperatingSegmentsMembernke:NIKEBrandMember2019-09-012019-11-300000320187nke:SportingEquipmentMemberus-gaap:OperatingSegmentsMembernke:ConverseSegmentMember2019-09-012019-11-300000320187us-gaap:CorporateNonSegmentMembernke:Sporting</w:t>
      </w:r>
      <w:r>
        <w:rPr>
          <w:rFonts w:ascii="宋体" w:eastAsia="宋体" w:hAnsi="宋体" w:cs="宋体"/>
          <w:vanish/>
        </w:rPr>
        <w:t>EquipmentMember2019-09-012019-11-300000320187nke:SportingEquipmentMember2019-09-012019-11-300000320187nke:NorthAmericaSegmentMemberus-gaap:OperatingSegmentsMembernke:OtherProductLinesMembernke:NIKEBrandMember2019-09-012019-11-300000320187nke:EuropeMiddleEa</w:t>
      </w:r>
      <w:r>
        <w:rPr>
          <w:rFonts w:ascii="宋体" w:eastAsia="宋体" w:hAnsi="宋体" w:cs="宋体"/>
          <w:vanish/>
        </w:rPr>
        <w:t>stAndAfricaSegmentMemberus-gaap:OperatingSegmentsMembernke:OtherProductLinesMembernke:NIKEBrandMember2019-09-012019-11-300000320187nke:GreaterChinaSegmentMemberus-gaap:OperatingSegmentsMembernke:OtherProductLinesMembernke:NIKEBrandMember2019-09-012019-11-3</w:t>
      </w:r>
      <w:r>
        <w:rPr>
          <w:rFonts w:ascii="宋体" w:eastAsia="宋体" w:hAnsi="宋体" w:cs="宋体"/>
          <w:vanish/>
        </w:rPr>
        <w:t>00000320187nke:AsiaPacificAndLatinAmericaSegmentMemberus-gaap:OperatingSegmentsMembernke:OtherProductLinesMembernke:NIKEBrandMember2019-09-012019-11-300000320187us-gaap:MaterialReconcilingItemsMembernke:OtherProductLinesMember2019-09-012019-11-300000320187</w:t>
      </w:r>
      <w:r>
        <w:rPr>
          <w:rFonts w:ascii="宋体" w:eastAsia="宋体" w:hAnsi="宋体" w:cs="宋体"/>
          <w:vanish/>
        </w:rPr>
        <w:t>us-gaap:OperatingSegmentsMembernke:OtherProductLinesMembernke:NIKEBrandMember2019-09-012019-11-300000320187us-gaap:OperatingSegmentsMembernke:OtherProductLinesMembernke:ConverseSegmentMember2019-09-012019-11-300000320187us-gaap:CorporateNonSegmentMembernke</w:t>
      </w:r>
      <w:r>
        <w:rPr>
          <w:rFonts w:ascii="宋体" w:eastAsia="宋体" w:hAnsi="宋体" w:cs="宋体"/>
          <w:vanish/>
        </w:rPr>
        <w:t>:OtherProductLinesMember2019-09-012019-11-300000320187nke:OtherProductLinesMember2019-09-012019-11-300000320187nke:NorthAmericaSegmentMemberus-gaap:OperatingSegmentsMembernke:NIKEBrandMember2019-09-012019-11-300000320187nke:EuropeMiddleEastAndAfricaSegment</w:t>
      </w:r>
      <w:r>
        <w:rPr>
          <w:rFonts w:ascii="宋体" w:eastAsia="宋体" w:hAnsi="宋体" w:cs="宋体"/>
          <w:vanish/>
        </w:rPr>
        <w:t>Memberus-gaap:OperatingSegmentsMembernke:NIKEBrandMember2019-09-012019-11-300000320187nke:GreaterChinaSegmentMemberus-gaap:OperatingSegmentsMembernke:NIKEBrandMember2019-09-012019-11-300000320187nke:AsiaPacificAndLatinAmericaSegmentMemberus-gaap:OperatingS</w:t>
      </w:r>
      <w:r>
        <w:rPr>
          <w:rFonts w:ascii="宋体" w:eastAsia="宋体" w:hAnsi="宋体" w:cs="宋体"/>
          <w:vanish/>
        </w:rPr>
        <w:t>egmentsMembernke:NIKEBrandMember2019-09-012019-11-300000320187us-gaap:MaterialReconcilingItemsMember2019-09-012019-11-300000320187us-gaap:OperatingSegmentsMembernke:NIKEBrandMember2019-09-012019-11-300000320187us-gaap:OperatingSegmentsMembernke:ConverseSeg</w:t>
      </w:r>
      <w:r>
        <w:rPr>
          <w:rFonts w:ascii="宋体" w:eastAsia="宋体" w:hAnsi="宋体" w:cs="宋体"/>
          <w:vanish/>
        </w:rPr>
        <w:t>mentMember2019-09-012019-11-300000320187us-gaap:CorporateNonSegmentMember2019-09-012019-11-300000320187nke:NorthAmericaSegmentMembernke:SalesChannelWholesaleMemberus-gaap:OperatingSegmentsMembernke:NIKEBrandMember2019-09-012019-11-300000320187nke:EuropeMid</w:t>
      </w:r>
      <w:r>
        <w:rPr>
          <w:rFonts w:ascii="宋体" w:eastAsia="宋体" w:hAnsi="宋体" w:cs="宋体"/>
          <w:vanish/>
        </w:rPr>
        <w:t>dleEastAndAfricaSegmentMembernke:SalesChannelWholesaleMemberus-gaap:OperatingSegmentsMembernke:NIKEBrandMember2019-09-012019-11-300000320187nke:GreaterChinaSegmentMembernke:SalesChannelWholesaleMemberus-gaap:OperatingSegmentsMembernke:NIKEBrandMember2019-0</w:t>
      </w:r>
      <w:r>
        <w:rPr>
          <w:rFonts w:ascii="宋体" w:eastAsia="宋体" w:hAnsi="宋体" w:cs="宋体"/>
          <w:vanish/>
        </w:rPr>
        <w:t>9-012019-11-300000320187nke:AsiaPacificAndLatinAmericaSegmentMembernke:SalesChannelWholesaleMemberus-gaap:OperatingSegmentsMembernke:NIKEBrandMember2019-09-012019-11-300000320187nke:SalesChannelWholesaleMemberus-gaap:MaterialReconcilingItemsMember2019-09-0</w:t>
      </w:r>
      <w:r>
        <w:rPr>
          <w:rFonts w:ascii="宋体" w:eastAsia="宋体" w:hAnsi="宋体" w:cs="宋体"/>
          <w:vanish/>
        </w:rPr>
        <w:t>12019-11-300000320187nke:SalesChannelWholesaleMemberus-gaap:OperatingSegmentsMembernke:NIKEBrandMember2019-09-012019-11-300000320187nke:SalesChannelWholesaleMemberus-gaap:OperatingSegmentsMembernke:ConverseSegmentMember2019-09-012019-11-300000320187us-gaap</w:t>
      </w:r>
      <w:r>
        <w:rPr>
          <w:rFonts w:ascii="宋体" w:eastAsia="宋体" w:hAnsi="宋体" w:cs="宋体"/>
          <w:vanish/>
        </w:rPr>
        <w:t>:CorporateNonSegmentMembernke:SalesChannelWholesaleMember2019-09-012019-11-300000320187nke:SalesChannelWholesaleMember2019-09-012019-11-300000320187nke:NorthAmericaSegmentMemberus-gaap:OperatingSegmentsMembernke:NIKEBrandMemberus-gaap:SalesChannelDirectlyT</w:t>
      </w:r>
      <w:r>
        <w:rPr>
          <w:rFonts w:ascii="宋体" w:eastAsia="宋体" w:hAnsi="宋体" w:cs="宋体"/>
          <w:vanish/>
        </w:rPr>
        <w:t>oConsumerMember2019-09-012019-11-300000320187nke:EuropeMiddleEastAndAfricaSegmentMemberus-gaap:OperatingSegmentsMembernke:NIKEBrandMemberus-gaap:SalesChannelDirectlyToConsumerMember2019-09-012019-11-300000320187nke:GreaterChinaSegmentMemberus-gaap:Operatin</w:t>
      </w:r>
      <w:r>
        <w:rPr>
          <w:rFonts w:ascii="宋体" w:eastAsia="宋体" w:hAnsi="宋体" w:cs="宋体"/>
          <w:vanish/>
        </w:rPr>
        <w:t>gSegmentsMembernke:NIKEBrandMemberus-gaap:SalesChannelDirectlyToConsumerMember2019-09-012019-11-300000320187nke:AsiaPacificAndLatinAmericaSegmentMemberus-gaap:OperatingSegmentsMembernke:NIKEBrandMemberus-gaap:SalesChannelDirectlyToConsumerMember2019-09-012</w:t>
      </w:r>
      <w:r>
        <w:rPr>
          <w:rFonts w:ascii="宋体" w:eastAsia="宋体" w:hAnsi="宋体" w:cs="宋体"/>
          <w:vanish/>
        </w:rPr>
        <w:t>019-11-300000320187us-gaap:MaterialReconcilingItemsMemberus-gaap:SalesChannelDirectlyToConsumerMember2019-09-012019-11-300000320187us-gaap:OperatingSegmentsMembernke:NIKEBrandMemberus-gaap:SalesChannelDirectlyToConsumerMember2019-09-012019-11-300000320187u</w:t>
      </w:r>
      <w:r>
        <w:rPr>
          <w:rFonts w:ascii="宋体" w:eastAsia="宋体" w:hAnsi="宋体" w:cs="宋体"/>
          <w:vanish/>
        </w:rPr>
        <w:t>s-gaap:OperatingSegmentsMembernke:ConverseSegmentMemberus-gaap:SalesChannelDirectlyToConsumerMember2019-09-012019-11-300000320187us-gaap:CorporateNonSegmentMemberus-gaap:SalesChannelDirectlyToConsumerMember2019-09-012019-11-300000320187us-gaap:SalesChannel</w:t>
      </w:r>
      <w:r>
        <w:rPr>
          <w:rFonts w:ascii="宋体" w:eastAsia="宋体" w:hAnsi="宋体" w:cs="宋体"/>
          <w:vanish/>
        </w:rPr>
        <w:t>DirectlyToConsumerMember2019-09-012019-11-300000320187nke:NorthAmericaSegmentMemberus-gaap:OperatingSegmentsMembernke:SalesChannelOtherMembernke:NIKEBrandMember2019-09-012019-11-300000320187nke:EuropeMiddleEastAndAfricaSegmentMemberus-gaap:OperatingSegment</w:t>
      </w:r>
      <w:r>
        <w:rPr>
          <w:rFonts w:ascii="宋体" w:eastAsia="宋体" w:hAnsi="宋体" w:cs="宋体"/>
          <w:vanish/>
        </w:rPr>
        <w:t>sMembernke:SalesChannelOtherMembernke:NIKEBrandMember2019-09-012019-11-300000320187nke:GreaterChinaSegmentMemberus-gaap:OperatingSegmentsMembernke:SalesChannelOtherMembernke:NIKEBrandMember2019-09-012019-11-300000320187nke:AsiaPacificAndLatinAmericaSegment</w:t>
      </w:r>
      <w:r>
        <w:rPr>
          <w:rFonts w:ascii="宋体" w:eastAsia="宋体" w:hAnsi="宋体" w:cs="宋体"/>
          <w:vanish/>
        </w:rPr>
        <w:t>Memberus-gaap:OperatingSegmentsMembernke:SalesChannelOtherMembernke:NIKEBrandMember2019-09-012019-11-300000320187us-gaap:MaterialReconcilingItemsMembernke:SalesChannelOtherMember2019-09-012019-11-300000320187us-gaap:OperatingSegmentsMembernke:SalesChannelO</w:t>
      </w:r>
      <w:r>
        <w:rPr>
          <w:rFonts w:ascii="宋体" w:eastAsia="宋体" w:hAnsi="宋体" w:cs="宋体"/>
          <w:vanish/>
        </w:rPr>
        <w:t>therMembernke:NIKEBrandMember2019-09-012019-11-300000320187us-gaap:OperatingSegmentsMembernke:SalesChannelOtherMembernke:ConverseSegmentMember2019-09-012019-11-300000320187us-gaap:CorporateNonSegmentMembernke:SalesChannelOtherMember2019-09-012019-11-300000</w:t>
      </w:r>
      <w:r>
        <w:rPr>
          <w:rFonts w:ascii="宋体" w:eastAsia="宋体" w:hAnsi="宋体" w:cs="宋体"/>
          <w:vanish/>
        </w:rPr>
        <w:t>320187nke:SalesChannelOtherMember2019-09-012019-11-300000320187nke:NorthAmericaSegmentMemberus-gaap:OperatingSegmentsMembernke:FootwearMembernke:NIKEBrandMember2020-06-012020-11-300000320187nke:EuropeMiddleEastAndAfricaSegmentMemberus-gaap:OperatingSegment</w:t>
      </w:r>
      <w:r>
        <w:rPr>
          <w:rFonts w:ascii="宋体" w:eastAsia="宋体" w:hAnsi="宋体" w:cs="宋体"/>
          <w:vanish/>
        </w:rPr>
        <w:t>sMembernke:FootwearMembernke:NIKEBrandMember2020-06-012020-11-300000320187nke:GreaterChinaSegmentMemberus-gaap:OperatingSegmentsMembernke:FootwearMembernke:NIKEBrandMember2020-06-012020-11-300000320187nke:AsiaPacificAndLatinAmericaSegmentMemberus-gaap:Oper</w:t>
      </w:r>
      <w:r>
        <w:rPr>
          <w:rFonts w:ascii="宋体" w:eastAsia="宋体" w:hAnsi="宋体" w:cs="宋体"/>
          <w:vanish/>
        </w:rPr>
        <w:t>atingSegmentsMembernke:FootwearMembernke:NIKEBrandMember2020-06-012020-11-300000320187us-gaap:MaterialReconcilingItemsMembernke:FootwearMember2020-06-012020-11-300000320187us-gaap:OperatingSegmentsMembernke:FootwearMembernke:NIKEBrandMember2020-06-012020-1</w:t>
      </w:r>
      <w:r>
        <w:rPr>
          <w:rFonts w:ascii="宋体" w:eastAsia="宋体" w:hAnsi="宋体" w:cs="宋体"/>
          <w:vanish/>
        </w:rPr>
        <w:t>1-300000320187us-gaap:OperatingSegmentsMembernke:FootwearMembernke:ConverseSegmentMember2020-06-012020-11-300000320187us-gaap:CorporateNonSegmentMembernke:FootwearMember2020-06-012020-11-300000320187nke:FootwearMember2020-06-012020-11-300000320187nke:North</w:t>
      </w:r>
      <w:r>
        <w:rPr>
          <w:rFonts w:ascii="宋体" w:eastAsia="宋体" w:hAnsi="宋体" w:cs="宋体"/>
          <w:vanish/>
        </w:rPr>
        <w:t>AmericaSegmentMemberus-gaap:OperatingSegmentsMembernke:NIKEBrandMembernke:ApparelMember2020-06-012020-11-300000320187nke:EuropeMiddleEastAndAfricaSegmentMemberus-gaap:OperatingSegmentsMembernke:NIKEBrandMembernke:ApparelMember2020-06-012020-11-300000320187</w:t>
      </w:r>
      <w:r>
        <w:rPr>
          <w:rFonts w:ascii="宋体" w:eastAsia="宋体" w:hAnsi="宋体" w:cs="宋体"/>
          <w:vanish/>
        </w:rPr>
        <w:t>nke:GreaterChinaSegmentMemberus-gaap:OperatingSegmentsMembernke:NIKEBrandMembernke:ApparelMember2020-06-012020-11-300000320187nke:AsiaPacificAndLatinAmericaSegmentMemberus-gaap:OperatingSegmentsMembernke:NIKEBrandMembernke:ApparelMember2020-06-012020-11-30</w:t>
      </w:r>
      <w:r>
        <w:rPr>
          <w:rFonts w:ascii="宋体" w:eastAsia="宋体" w:hAnsi="宋体" w:cs="宋体"/>
          <w:vanish/>
        </w:rPr>
        <w:t>0000320187us-gaap:MaterialReconcilingItemsMembernke:ApparelMember2020-06-012020-11-300000320187us-gaap:OperatingSegmentsMembernke:NIKEBrandMembernke:ApparelMember2020-06-012020-11-300000320187us-gaap:OperatingSegmentsMembernke:ConverseSegmentMembernke:Appa</w:t>
      </w:r>
      <w:r>
        <w:rPr>
          <w:rFonts w:ascii="宋体" w:eastAsia="宋体" w:hAnsi="宋体" w:cs="宋体"/>
          <w:vanish/>
        </w:rPr>
        <w:t>relMember2020-06-012020-11-300000320187us-gaap:CorporateNonSegmentMembernke:ApparelMember2020-06-012020-11-300000320187nke:ApparelMember2020-06-012020-11-300000320187nke:NorthAmericaSegmentMembernke:SportingEquipmentMemberus-gaap:OperatingSegmentsMembernke</w:t>
      </w:r>
      <w:r>
        <w:rPr>
          <w:rFonts w:ascii="宋体" w:eastAsia="宋体" w:hAnsi="宋体" w:cs="宋体"/>
          <w:vanish/>
        </w:rPr>
        <w:t>:NIKEBrandMember2020-06-012020-11-300000320187nke:EuropeMiddleEastAndAfricaSegmentMembernke:SportingEquipmentMemberus-gaap:OperatingSegmentsMembernke:NIKEBrandMember2020-06-012020-11-300000320187nke:GreaterChinaSegmentMembernke:SportingEquipmentMemberus-ga</w:t>
      </w:r>
      <w:r>
        <w:rPr>
          <w:rFonts w:ascii="宋体" w:eastAsia="宋体" w:hAnsi="宋体" w:cs="宋体"/>
          <w:vanish/>
        </w:rPr>
        <w:t>ap:OperatingSegmentsMembernke:NIKEBrandMember2020-06-012020-11-300000320187nke:AsiaPacificAndLatinAmericaSegmentMembernke:SportingEquipmentMemberus-gaap:OperatingSegmentsMembernke:NIKEBrandMember2020-06-012020-11-300000320187us-gaap:MaterialReconcilingItem</w:t>
      </w:r>
      <w:r>
        <w:rPr>
          <w:rFonts w:ascii="宋体" w:eastAsia="宋体" w:hAnsi="宋体" w:cs="宋体"/>
          <w:vanish/>
        </w:rPr>
        <w:t>sMembernke:SportingEquipmentMember2020-06-012020-11-300000320187nke:SportingEquipmentMemberus-gaap:OperatingSegmentsMembernke:NIKEBrandMember2020-06-012020-11-300000320187nke:SportingEquipmentMemberus-gaap:OperatingSegmentsMembernke:ConverseSegmentMember20</w:t>
      </w:r>
      <w:r>
        <w:rPr>
          <w:rFonts w:ascii="宋体" w:eastAsia="宋体" w:hAnsi="宋体" w:cs="宋体"/>
          <w:vanish/>
        </w:rPr>
        <w:t>20-06-012020-11-300000320187us-gaap:CorporateNonSegmentMembernke:SportingEquipmentMember2020-06-012020-11-300000320187nke:SportingEquipmentMember2020-06-012020-11-300000320187nke:NorthAmericaSegmentMemberus-gaap:OperatingSegmentsMembernke:OtherProductLines</w:t>
      </w:r>
      <w:r>
        <w:rPr>
          <w:rFonts w:ascii="宋体" w:eastAsia="宋体" w:hAnsi="宋体" w:cs="宋体"/>
          <w:vanish/>
        </w:rPr>
        <w:t>Membernke:NIKEBrandMember2020-06-012020-11-300000320187nke:EuropeMiddleEastAndAfricaSegmentMemberus-gaap:OperatingSegmentsMembernke:OtherProductLinesMembernke:NIKEBrandMember2020-06-012020-11-300000320187nke:GreaterChinaSegmentMemberus-gaap:OperatingSegmen</w:t>
      </w:r>
      <w:r>
        <w:rPr>
          <w:rFonts w:ascii="宋体" w:eastAsia="宋体" w:hAnsi="宋体" w:cs="宋体"/>
          <w:vanish/>
        </w:rPr>
        <w:t>tsMembernke:OtherProductLinesMembernke:NIKEBrandMember2020-06-012020-11-300000320187nke:AsiaPacificAndLatinAmericaSegmentMemberus-gaap:OperatingSegmentsMembernke:OtherProductLinesMembernke:NIKEBrandMember2020-06-012020-11-300000320187us-gaap:MaterialReconc</w:t>
      </w:r>
      <w:r>
        <w:rPr>
          <w:rFonts w:ascii="宋体" w:eastAsia="宋体" w:hAnsi="宋体" w:cs="宋体"/>
          <w:vanish/>
        </w:rPr>
        <w:t>ilingItemsMembernke:OtherProductLinesMember2020-06-012020-11-300000320187us-gaap:OperatingSegmentsMembernke:OtherProductLinesMembernke:NIKEBrandMember2020-06-012020-11-300000320187us-gaap:OperatingSegmentsMembernke:OtherProductLinesMembernke:ConverseSegmen</w:t>
      </w:r>
      <w:r>
        <w:rPr>
          <w:rFonts w:ascii="宋体" w:eastAsia="宋体" w:hAnsi="宋体" w:cs="宋体"/>
          <w:vanish/>
        </w:rPr>
        <w:t>tMember2020-06-012020-11-300000320187us-gaap:CorporateNonSegmentMembernke:OtherProductLinesMember2020-06-012020-11-300000320187nke:OtherProductLinesMember2020-06-012020-11-300000320187nke:NorthAmericaSegmentMemberus-gaap:OperatingSegmentsMembernke:NIKEBran</w:t>
      </w:r>
      <w:r>
        <w:rPr>
          <w:rFonts w:ascii="宋体" w:eastAsia="宋体" w:hAnsi="宋体" w:cs="宋体"/>
          <w:vanish/>
        </w:rPr>
        <w:t>dMember2020-06-012020-11-300000320187nke:EuropeMiddleEastAndAfricaSegmentMemberus-gaap:OperatingSegmentsMembernke:NIKEBrandMember2020-06-012020-11-300000320187nke:GreaterChinaSegmentMemberus-gaap:OperatingSegmentsMembernke:NIKEBrandMember2020-06-012020-11-</w:t>
      </w:r>
      <w:r>
        <w:rPr>
          <w:rFonts w:ascii="宋体" w:eastAsia="宋体" w:hAnsi="宋体" w:cs="宋体"/>
          <w:vanish/>
        </w:rPr>
        <w:t>300000320187nke:AsiaPacificAndLatinAmericaSegmentMemberus-gaap:OperatingSegmentsMembernke:NIKEBrandMember2020-06-012020-11-300000320187us-gaap:MaterialReconcilingItemsMember2020-06-012020-11-300000320187us-gaap:OperatingSegmentsMembernke:NIKEBrandMember202</w:t>
      </w:r>
      <w:r>
        <w:rPr>
          <w:rFonts w:ascii="宋体" w:eastAsia="宋体" w:hAnsi="宋体" w:cs="宋体"/>
          <w:vanish/>
        </w:rPr>
        <w:t>0-06-012020-11-300000320187us-gaap:OperatingSegmentsMembernke:ConverseSegmentMember2020-06-012020-11-300000320187us-gaap:CorporateNonSegmentMember2020-06-012020-11-300000320187nke:NorthAmericaSegmentMembernke:SalesChannelWholesaleMemberus-gaap:OperatingSeg</w:t>
      </w:r>
      <w:r>
        <w:rPr>
          <w:rFonts w:ascii="宋体" w:eastAsia="宋体" w:hAnsi="宋体" w:cs="宋体"/>
          <w:vanish/>
        </w:rPr>
        <w:t>mentsMembernke:NIKEBrandMember2020-06-012020-11-300000320187nke:EuropeMiddleEastAndAfricaSegmentMembernke:SalesChannelWholesaleMemberus-gaap:OperatingSegmentsMembernke:NIKEBrandMember2020-06-012020-11-300000320187nke:GreaterChinaSegmentMembernke:SalesChann</w:t>
      </w:r>
      <w:r>
        <w:rPr>
          <w:rFonts w:ascii="宋体" w:eastAsia="宋体" w:hAnsi="宋体" w:cs="宋体"/>
          <w:vanish/>
        </w:rPr>
        <w:t>elWholesaleMemberus-gaap:OperatingSegmentsMembernke:NIKEBrandMember2020-06-012020-11-300000320187nke:AsiaPacificAndLatinAmericaSegmentMembernke:SalesChannelWholesaleMemberus-gaap:OperatingSegmentsMembernke:NIKEBrandMember2020-06-012020-11-300000320187nke:S</w:t>
      </w:r>
      <w:r>
        <w:rPr>
          <w:rFonts w:ascii="宋体" w:eastAsia="宋体" w:hAnsi="宋体" w:cs="宋体"/>
          <w:vanish/>
        </w:rPr>
        <w:t>alesChannelWholesaleMemberus-gaap:MaterialReconcilingItemsMember2020-06-012020-11-300000320187nke:SalesChannelWholesaleMemberus-gaap:OperatingSegmentsMembernke:NIKEBrandMember2020-06-012020-11-300000320187nke:SalesChannelWholesaleMemberus-gaap:OperatingSeg</w:t>
      </w:r>
      <w:r>
        <w:rPr>
          <w:rFonts w:ascii="宋体" w:eastAsia="宋体" w:hAnsi="宋体" w:cs="宋体"/>
          <w:vanish/>
        </w:rPr>
        <w:t>mentsMembernke:ConverseSegmentMember2020-06-012020-11-300000320187us-gaap:CorporateNonSegmentMembernke:SalesChannelWholesaleMember2020-06-012020-11-300000320187nke:SalesChannelWholesaleMember2020-06-012020-11-300000320187nke:NorthAmericaSegmentMemberus-gaa</w:t>
      </w:r>
      <w:r>
        <w:rPr>
          <w:rFonts w:ascii="宋体" w:eastAsia="宋体" w:hAnsi="宋体" w:cs="宋体"/>
          <w:vanish/>
        </w:rPr>
        <w:t>p:OperatingSegmentsMembernke:NIKEBrandMemberus-gaap:SalesChannelDirectlyToConsumerMember2020-06-012020-11-300000320187nke:EuropeMiddleEastAndAfricaSegmentMemberus-gaap:OperatingSegmentsMembernke:NIKEBrandMemberus-gaap:SalesChannelDirectlyToConsumerMember20</w:t>
      </w:r>
      <w:r>
        <w:rPr>
          <w:rFonts w:ascii="宋体" w:eastAsia="宋体" w:hAnsi="宋体" w:cs="宋体"/>
          <w:vanish/>
        </w:rPr>
        <w:t>20-06-012020-11-300000320187nke:GreaterChinaSegmentMemberus-gaap:OperatingSegmentsMembernke:NIKEBrandMemberus-gaap:SalesChannelDirectlyToConsumerMember2020-06-012020-11-300000320187nke:AsiaPacificAndLatinAmericaSegmentMemberus-gaap:OperatingSegmentsMembern</w:t>
      </w:r>
      <w:r>
        <w:rPr>
          <w:rFonts w:ascii="宋体" w:eastAsia="宋体" w:hAnsi="宋体" w:cs="宋体"/>
          <w:vanish/>
        </w:rPr>
        <w:t>ke:NIKEBrandMemberus-gaap:SalesChannelDirectlyToConsumerMember2020-06-012020-11-300000320187us-gaap:MaterialReconcilingItemsMemberus-gaap:SalesChannelDirectlyToConsumerMember2020-06-012020-11-300000320187us-gaap:OperatingSegmentsMembernke:NIKEBrandMemberus</w:t>
      </w:r>
      <w:r>
        <w:rPr>
          <w:rFonts w:ascii="宋体" w:eastAsia="宋体" w:hAnsi="宋体" w:cs="宋体"/>
          <w:vanish/>
        </w:rPr>
        <w:t>-gaap:SalesChannelDirectlyToConsumerMember2020-06-012020-11-300000320187us-gaap:OperatingSegmentsMembernke:ConverseSegmentMemberus-gaap:SalesChannelDirectlyToConsumerMember2020-06-012020-11-300000320187us-gaap:CorporateNonSegmentMemberus-gaap:SalesChannelD</w:t>
      </w:r>
      <w:r>
        <w:rPr>
          <w:rFonts w:ascii="宋体" w:eastAsia="宋体" w:hAnsi="宋体" w:cs="宋体"/>
          <w:vanish/>
        </w:rPr>
        <w:t>irectlyToConsumerMember2020-06-012020-11-300000320187us-gaap:SalesChannelDirectlyToConsumerMember2020-06-012020-11-300000320187nke:NorthAmericaSegmentMemberus-gaap:OperatingSegmentsMembernke:SalesChannelOtherMembernke:NIKEBrandMember2020-06-012020-11-30000</w:t>
      </w:r>
      <w:r>
        <w:rPr>
          <w:rFonts w:ascii="宋体" w:eastAsia="宋体" w:hAnsi="宋体" w:cs="宋体"/>
          <w:vanish/>
        </w:rPr>
        <w:t>0320187nke:EuropeMiddleEastAndAfricaSegmentMemberus-gaap:OperatingSegmentsMembernke:SalesChannelOtherMembernke:NIKEBrandMember2020-06-012020-11-300000320187nke:GreaterChinaSegmentMemberus-gaap:OperatingSegmentsMembernke:SalesChannelOtherMembernke:NIKEBrand</w:t>
      </w:r>
      <w:r>
        <w:rPr>
          <w:rFonts w:ascii="宋体" w:eastAsia="宋体" w:hAnsi="宋体" w:cs="宋体"/>
          <w:vanish/>
        </w:rPr>
        <w:t>Member2020-06-012020-11-300000320187nke:AsiaPacificAndLatinAmericaSegmentMemberus-gaap:OperatingSegmentsMembernke:SalesChannelOtherMembernke:NIKEBrandMember2020-06-012020-11-300000320187us-gaap:MaterialReconcilingItemsMembernke:SalesChannelOtherMember2020-</w:t>
      </w:r>
      <w:r>
        <w:rPr>
          <w:rFonts w:ascii="宋体" w:eastAsia="宋体" w:hAnsi="宋体" w:cs="宋体"/>
          <w:vanish/>
        </w:rPr>
        <w:t>06-012020-11-300000320187us-gaap:OperatingSegmentsMembernke:SalesChannelOtherMembernke:NIKEBrandMember2020-06-012020-11-300000320187us-gaap:OperatingSegmentsMembernke:SalesChannelOtherMembernke:ConverseSegmentMember2020-06-012020-11-300000320187us-gaap:Cor</w:t>
      </w:r>
      <w:r>
        <w:rPr>
          <w:rFonts w:ascii="宋体" w:eastAsia="宋体" w:hAnsi="宋体" w:cs="宋体"/>
          <w:vanish/>
        </w:rPr>
        <w:t>porateNonSegmentMembernke:SalesChannelOtherMember2020-06-012020-11-300000320187nke:SalesChannelOtherMember2020-06-012020-11-300000320187nke:NorthAmericaSegmentMemberus-gaap:OperatingSegmentsMembernke:FootwearMembernke:NIKEBrandMember2019-06-012019-11-30000</w:t>
      </w:r>
      <w:r>
        <w:rPr>
          <w:rFonts w:ascii="宋体" w:eastAsia="宋体" w:hAnsi="宋体" w:cs="宋体"/>
          <w:vanish/>
        </w:rPr>
        <w:t>0320187nke:EuropeMiddleEastAndAfricaSegmentMemberus-gaap:OperatingSegmentsMembernke:FootwearMembernke:NIKEBrandMember2019-06-012019-11-300000320187nke:GreaterChinaSegmentMemberus-gaap:OperatingSegmentsMembernke:FootwearMembernke:NIKEBrandMember2019-06-0120</w:t>
      </w:r>
      <w:r>
        <w:rPr>
          <w:rFonts w:ascii="宋体" w:eastAsia="宋体" w:hAnsi="宋体" w:cs="宋体"/>
          <w:vanish/>
        </w:rPr>
        <w:t>19-11-300000320187nke:AsiaPacificAndLatinAmericaSegmentMemberus-gaap:OperatingSegmentsMembernke:FootwearMembernke:NIKEBrandMember2019-06-012019-11-300000320187us-gaap:MaterialReconcilingItemsMembernke:FootwearMember2019-06-012019-11-300000320187us-gaap:Ope</w:t>
      </w:r>
      <w:r>
        <w:rPr>
          <w:rFonts w:ascii="宋体" w:eastAsia="宋体" w:hAnsi="宋体" w:cs="宋体"/>
          <w:vanish/>
        </w:rPr>
        <w:t>ratingSegmentsMembernke:FootwearMembernke:NIKEBrandMember2019-06-012019-11-300000320187us-gaap:OperatingSegmentsMembernke:FootwearMembernke:ConverseSegmentMember2019-06-012019-11-300000320187us-gaap:CorporateNonSegmentMembernke:FootwearMember2019-06-012019</w:t>
      </w:r>
      <w:r>
        <w:rPr>
          <w:rFonts w:ascii="宋体" w:eastAsia="宋体" w:hAnsi="宋体" w:cs="宋体"/>
          <w:vanish/>
        </w:rPr>
        <w:t>-11-300000320187nke:FootwearMember2019-06-012019-11-300000320187nke:NorthAmericaSegmentMemberus-gaap:OperatingSegmentsMembernke:NIKEBrandMembernke:ApparelMember2019-06-012019-11-300000320187nke:EuropeMiddleEastAndAfricaSegmentMemberus-gaap:OperatingSegment</w:t>
      </w:r>
      <w:r>
        <w:rPr>
          <w:rFonts w:ascii="宋体" w:eastAsia="宋体" w:hAnsi="宋体" w:cs="宋体"/>
          <w:vanish/>
        </w:rPr>
        <w:t>sMembernke:NIKEBrandMembernke:ApparelMember2019-06-012019-11-300000320187nke:GreaterChinaSegmentMemberus-gaap:OperatingSegmentsMembernke:NIKEBrandMembernke:ApparelMember2019-06-012019-11-300000320187nke:AsiaPacificAndLatinAmericaSegmentMemberus-gaap:Operat</w:t>
      </w:r>
      <w:r>
        <w:rPr>
          <w:rFonts w:ascii="宋体" w:eastAsia="宋体" w:hAnsi="宋体" w:cs="宋体"/>
          <w:vanish/>
        </w:rPr>
        <w:t>ingSegmentsMembernke:NIKEBrandMembernke:ApparelMember2019-06-012019-11-300000320187us-gaap:MaterialReconcilingItemsMembernke:ApparelMember2019-06-012019-11-300000320187us-gaap:OperatingSegmentsMembernke:NIKEBrandMembernke:ApparelMember2019-06-012019-11-300</w:t>
      </w:r>
      <w:r>
        <w:rPr>
          <w:rFonts w:ascii="宋体" w:eastAsia="宋体" w:hAnsi="宋体" w:cs="宋体"/>
          <w:vanish/>
        </w:rPr>
        <w:t>000320187us-gaap:OperatingSegmentsMembernke:ConverseSegmentMembernke:ApparelMember2019-06-012019-11-300000320187us-gaap:CorporateNonSegmentMembernke:ApparelMember2019-06-012019-11-300000320187nke:ApparelMember2019-06-012019-11-300000320187nke:NorthAmericaS</w:t>
      </w:r>
      <w:r>
        <w:rPr>
          <w:rFonts w:ascii="宋体" w:eastAsia="宋体" w:hAnsi="宋体" w:cs="宋体"/>
          <w:vanish/>
        </w:rPr>
        <w:t>egmentMembernke:SportingEquipmentMemberus-gaap:OperatingSegmentsMembernke:NIKEBrandMember2019-06-012019-11-300000320187nke:EuropeMiddleEastAndAfricaSegmentMembernke:SportingEquipmentMemberus-gaap:OperatingSegmentsMembernke:NIKEBrandMember2019-06-012019-11-</w:t>
      </w:r>
      <w:r>
        <w:rPr>
          <w:rFonts w:ascii="宋体" w:eastAsia="宋体" w:hAnsi="宋体" w:cs="宋体"/>
          <w:vanish/>
        </w:rPr>
        <w:t>300000320187nke:GreaterChinaSegmentMembernke:SportingEquipmentMemberus-gaap:OperatingSegmentsMembernke:NIKEBrandMember2019-06-012019-11-300000320187nke:AsiaPacificAndLatinAmericaSegmentMembernke:SportingEquipmentMemberus-gaap:OperatingSegmentsMembernke:NIK</w:t>
      </w:r>
      <w:r>
        <w:rPr>
          <w:rFonts w:ascii="宋体" w:eastAsia="宋体" w:hAnsi="宋体" w:cs="宋体"/>
          <w:vanish/>
        </w:rPr>
        <w:t>EBrandMember2019-06-012019-11-300000320187us-gaap:MaterialReconcilingItemsMembernke:SportingEquipmentMember2019-06-012019-11-300000320187nke:SportingEquipmentMemberus-gaap:OperatingSegmentsMembernke:NIKEBrandMember2019-06-012019-11-300000320187nke:Sporting</w:t>
      </w:r>
      <w:r>
        <w:rPr>
          <w:rFonts w:ascii="宋体" w:eastAsia="宋体" w:hAnsi="宋体" w:cs="宋体"/>
          <w:vanish/>
        </w:rPr>
        <w:t>EquipmentMemberus-gaap:OperatingSegmentsMembernke:ConverseSegmentMember2019-06-012019-11-300000320187us-gaap:CorporateNonSegmentMembernke:SportingEquipmentMember2019-06-012019-11-300000320187nke:SportingEquipmentMember2019-06-012019-11-300000320187nke:Nort</w:t>
      </w:r>
      <w:r>
        <w:rPr>
          <w:rFonts w:ascii="宋体" w:eastAsia="宋体" w:hAnsi="宋体" w:cs="宋体"/>
          <w:vanish/>
        </w:rPr>
        <w:t>hAmericaSegmentMemberus-gaap:OperatingSegmentsMembernke:OtherProductLinesMembernke:NIKEBrandMember2019-06-012019-11-300000320187nke:EuropeMiddleEastAndAfricaSegmentMemberus-gaap:OperatingSegmentsMembernke:OtherProductLinesMembernke:NIKEBrandMember2019-06-0</w:t>
      </w:r>
      <w:r>
        <w:rPr>
          <w:rFonts w:ascii="宋体" w:eastAsia="宋体" w:hAnsi="宋体" w:cs="宋体"/>
          <w:vanish/>
        </w:rPr>
        <w:t>12019-11-300000320187nke:GreaterChinaSegmentMemberus-gaap:OperatingSegmentsMembernke:OtherProductLinesMembernke:NIKEBrandMember2019-06-012019-11-300000320187nke:AsiaPacificAndLatinAmericaSegmentMemberus-gaap:OperatingSegmentsMembernke:OtherProductLinesMemb</w:t>
      </w:r>
      <w:r>
        <w:rPr>
          <w:rFonts w:ascii="宋体" w:eastAsia="宋体" w:hAnsi="宋体" w:cs="宋体"/>
          <w:vanish/>
        </w:rPr>
        <w:t>ernke:NIKEBrandMember2019-06-012019-11-300000320187us-gaap:MaterialReconcilingItemsMembernke:OtherProductLinesMember2019-06-012019-11-300000320187us-gaap:OperatingSegmentsMembernke:OtherProductLinesMembernke:NIKEBrandMember2019-06-012019-11-300000320187us-</w:t>
      </w:r>
      <w:r>
        <w:rPr>
          <w:rFonts w:ascii="宋体" w:eastAsia="宋体" w:hAnsi="宋体" w:cs="宋体"/>
          <w:vanish/>
        </w:rPr>
        <w:t>gaap:OperatingSegmentsMembernke:OtherProductLinesMembernke:ConverseSegmentMember2019-06-012019-11-300000320187us-gaap:CorporateNonSegmentMembernke:OtherProductLinesMember2019-06-012019-11-300000320187nke:OtherProductLinesMember2019-06-012019-11-30000032018</w:t>
      </w:r>
      <w:r>
        <w:rPr>
          <w:rFonts w:ascii="宋体" w:eastAsia="宋体" w:hAnsi="宋体" w:cs="宋体"/>
          <w:vanish/>
        </w:rPr>
        <w:t>7nke:NorthAmericaSegmentMemberus-gaap:OperatingSegmentsMembernke:NIKEBrandMember2019-06-012019-11-300000320187nke:EuropeMiddleEastAndAfricaSegmentMemberus-gaap:OperatingSegmentsMembernke:NIKEBrandMember2019-06-012019-11-300000320187nke:GreaterChinaSegmentM</w:t>
      </w:r>
      <w:r>
        <w:rPr>
          <w:rFonts w:ascii="宋体" w:eastAsia="宋体" w:hAnsi="宋体" w:cs="宋体"/>
          <w:vanish/>
        </w:rPr>
        <w:t>emberus-gaap:OperatingSegmentsMembernke:NIKEBrandMember2019-06-012019-11-300000320187nke:AsiaPacificAndLatinAmericaSegmentMemberus-gaap:OperatingSegmentsMembernke:NIKEBrandMember2019-06-012019-11-300000320187us-gaap:MaterialReconcilingItemsMember2019-06-01</w:t>
      </w:r>
      <w:r>
        <w:rPr>
          <w:rFonts w:ascii="宋体" w:eastAsia="宋体" w:hAnsi="宋体" w:cs="宋体"/>
          <w:vanish/>
        </w:rPr>
        <w:t>2019-11-300000320187us-gaap:OperatingSegmentsMembernke:NIKEBrandMember2019-06-012019-11-300000320187us-gaap:OperatingSegmentsMembernke:ConverseSegmentMember2019-06-012019-11-300000320187us-gaap:CorporateNonSegmentMember2019-06-012019-11-300000320187nke:Nor</w:t>
      </w:r>
      <w:r>
        <w:rPr>
          <w:rFonts w:ascii="宋体" w:eastAsia="宋体" w:hAnsi="宋体" w:cs="宋体"/>
          <w:vanish/>
        </w:rPr>
        <w:t>thAmericaSegmentMembernke:SalesChannelWholesaleMemberus-gaap:OperatingSegmentsMembernke:NIKEBrandMember2019-06-012019-11-300000320187nke:EuropeMiddleEastAndAfricaSegmentMembernke:SalesChannelWholesaleMemberus-gaap:OperatingSegmentsMembernke:NIKEBrandMember</w:t>
      </w:r>
      <w:r>
        <w:rPr>
          <w:rFonts w:ascii="宋体" w:eastAsia="宋体" w:hAnsi="宋体" w:cs="宋体"/>
          <w:vanish/>
        </w:rPr>
        <w:t>2019-06-012019-11-300000320187nke:GreaterChinaSegmentMembernke:SalesChannelWholesaleMemberus-gaap:OperatingSegmentsMembernke:NIKEBrandMember2019-06-012019-11-300000320187nke:AsiaPacificAndLatinAmericaSegmentMembernke:SalesChannelWholesaleMemberus-gaap:Oper</w:t>
      </w:r>
      <w:r>
        <w:rPr>
          <w:rFonts w:ascii="宋体" w:eastAsia="宋体" w:hAnsi="宋体" w:cs="宋体"/>
          <w:vanish/>
        </w:rPr>
        <w:t>atingSegmentsMembernke:NIKEBrandMember2019-06-012019-11-300000320187nke:SalesChannelWholesaleMemberus-gaap:MaterialReconcilingItemsMember2019-06-012019-11-300000320187nke:SalesChannelWholesaleMemberus-gaap:OperatingSegmentsMembernke:NIKEBrandMember2019-06-</w:t>
      </w:r>
      <w:r>
        <w:rPr>
          <w:rFonts w:ascii="宋体" w:eastAsia="宋体" w:hAnsi="宋体" w:cs="宋体"/>
          <w:vanish/>
        </w:rPr>
        <w:t>012019-11-300000320187nke:SalesChannelWholesaleMemberus-gaap:OperatingSegmentsMembernke:ConverseSegmentMember2019-06-012019-11-300000320187us-gaap:CorporateNonSegmentMembernke:SalesChannelWholesaleMember2019-06-012019-11-300000320187nke:SalesChannelWholesa</w:t>
      </w:r>
      <w:r>
        <w:rPr>
          <w:rFonts w:ascii="宋体" w:eastAsia="宋体" w:hAnsi="宋体" w:cs="宋体"/>
          <w:vanish/>
        </w:rPr>
        <w:t>leMember2019-06-012019-11-300000320187nke:NorthAmericaSegmentMemberus-gaap:OperatingSegmentsMembernke:NIKEBrandMemberus-gaap:SalesChannelDirectlyToConsumerMember2019-06-012019-11-300000320187nke:EuropeMiddleEastAndAfricaSegmentMemberus-gaap:OperatingSegmen</w:t>
      </w:r>
      <w:r>
        <w:rPr>
          <w:rFonts w:ascii="宋体" w:eastAsia="宋体" w:hAnsi="宋体" w:cs="宋体"/>
          <w:vanish/>
        </w:rPr>
        <w:t>tsMembernke:NIKEBrandMemberus-gaap:SalesChannelDirectlyToConsumerMember2019-06-012019-11-300000320187nke:GreaterChinaSegmentMemberus-gaap:OperatingSegmentsMembernke:NIKEBrandMemberus-gaap:SalesChannelDirectlyToConsumerMember2019-06-012019-11-300000320187nk</w:t>
      </w:r>
      <w:r>
        <w:rPr>
          <w:rFonts w:ascii="宋体" w:eastAsia="宋体" w:hAnsi="宋体" w:cs="宋体"/>
          <w:vanish/>
        </w:rPr>
        <w:t>e:AsiaPacificAndLatinAmericaSegmentMemberus-gaap:OperatingSegmentsMembernke:NIKEBrandMemberus-gaap:SalesChannelDirectlyToConsumerMember2019-06-012019-11-300000320187us-gaap:MaterialReconcilingItemsMemberus-gaap:SalesChannelDirectlyToConsumerMember2019-06-0</w:t>
      </w:r>
      <w:r>
        <w:rPr>
          <w:rFonts w:ascii="宋体" w:eastAsia="宋体" w:hAnsi="宋体" w:cs="宋体"/>
          <w:vanish/>
        </w:rPr>
        <w:t>12019-11-300000320187us-gaap:OperatingSegmentsMembernke:NIKEBrandMemberus-gaap:SalesChannelDirectlyToConsumerMember2019-06-012019-11-300000320187us-gaap:OperatingSegmentsMembernke:ConverseSegmentMemberus-gaap:SalesChannelDirectlyToConsumerMember2019-06-012</w:t>
      </w:r>
      <w:r>
        <w:rPr>
          <w:rFonts w:ascii="宋体" w:eastAsia="宋体" w:hAnsi="宋体" w:cs="宋体"/>
          <w:vanish/>
        </w:rPr>
        <w:t>019-11-300000320187us-gaap:CorporateNonSegmentMemberus-gaap:SalesChannelDirectlyToConsumerMember2019-06-012019-11-300000320187us-gaap:SalesChannelDirectlyToConsumerMember2019-06-012019-11-300000320187nke:NorthAmericaSegmentMemberus-gaap:OperatingSegmentsMe</w:t>
      </w:r>
      <w:r>
        <w:rPr>
          <w:rFonts w:ascii="宋体" w:eastAsia="宋体" w:hAnsi="宋体" w:cs="宋体"/>
          <w:vanish/>
        </w:rPr>
        <w:t>mbernke:SalesChannelOtherMembernke:NIKEBrandMember2019-06-012019-11-300000320187nke:EuropeMiddleEastAndAfricaSegmentMemberus-gaap:OperatingSegmentsMembernke:SalesChannelOtherMembernke:NIKEBrandMember2019-06-012019-11-300000320187nke:GreaterChinaSegmentMemb</w:t>
      </w:r>
      <w:r>
        <w:rPr>
          <w:rFonts w:ascii="宋体" w:eastAsia="宋体" w:hAnsi="宋体" w:cs="宋体"/>
          <w:vanish/>
        </w:rPr>
        <w:t>erus-gaap:OperatingSegmentsMembernke:SalesChannelOtherMembernke:NIKEBrandMember2019-06-012019-11-300000320187nke:AsiaPacificAndLatinAmericaSegmentMemberus-gaap:OperatingSegmentsMembernke:SalesChannelOtherMembernke:NIKEBrandMember2019-06-012019-11-300000320</w:t>
      </w:r>
      <w:r>
        <w:rPr>
          <w:rFonts w:ascii="宋体" w:eastAsia="宋体" w:hAnsi="宋体" w:cs="宋体"/>
          <w:vanish/>
        </w:rPr>
        <w:t>187us-gaap:MaterialReconcilingItemsMembernke:SalesChannelOtherMember2019-06-012019-11-300000320187us-gaap:OperatingSegmentsMembernke:SalesChannelOtherMembernke:NIKEBrandMember2019-06-012019-11-300000320187us-gaap:OperatingSegmentsMembernke:SalesChannelOthe</w:t>
      </w:r>
      <w:r>
        <w:rPr>
          <w:rFonts w:ascii="宋体" w:eastAsia="宋体" w:hAnsi="宋体" w:cs="宋体"/>
          <w:vanish/>
        </w:rPr>
        <w:t>rMembernke:ConverseSegmentMember2019-06-012019-11-300000320187us-gaap:CorporateNonSegmentMembernke:SalesChannelOtherMember2019-06-012019-11-300000320187nke:SalesChannelOtherMember2019-06-012019-11-300000320187nke:NorthAmericaSegmentMembernke:NIKEBrandMembe</w:t>
      </w:r>
      <w:r>
        <w:rPr>
          <w:rFonts w:ascii="宋体" w:eastAsia="宋体" w:hAnsi="宋体" w:cs="宋体"/>
          <w:vanish/>
        </w:rPr>
        <w:t>rus-gaap:OperatingSegmentsMembernke:NIKEBrandMember2020-09-012020-11-300000320187nke:NorthAmericaSegmentMembernke:NIKEBrandMemberus-gaap:OperatingSegmentsMembernke:NIKEBrandMember2019-09-012019-11-300000320187nke:NorthAmericaSegmentMembernke:NIKEBrandMembe</w:t>
      </w:r>
      <w:r>
        <w:rPr>
          <w:rFonts w:ascii="宋体" w:eastAsia="宋体" w:hAnsi="宋体" w:cs="宋体"/>
          <w:vanish/>
        </w:rPr>
        <w:t>rus-gaap:OperatingSegmentsMembernke:NIKEBrandMember2020-06-012020-11-300000320187nke:NorthAmericaSegmentMembernke:NIKEBrandMemberus-gaap:OperatingSegmentsMembernke:NIKEBrandMember2019-06-012019-11-300000320187nke:NIKEBrandMembernke:EuropeMiddleEastAndAfric</w:t>
      </w:r>
      <w:r>
        <w:rPr>
          <w:rFonts w:ascii="宋体" w:eastAsia="宋体" w:hAnsi="宋体" w:cs="宋体"/>
          <w:vanish/>
        </w:rPr>
        <w:t>aSegmentMemberus-gaap:OperatingSegmentsMembernke:NIKEBrandMember2020-09-012020-11-300000320187nke:NIKEBrandMembernke:EuropeMiddleEastAndAfricaSegmentMemberus-gaap:OperatingSegmentsMembernke:NIKEBrandMember2019-09-012019-11-300000320187nke:NIKEBrandMembernk</w:t>
      </w:r>
      <w:r>
        <w:rPr>
          <w:rFonts w:ascii="宋体" w:eastAsia="宋体" w:hAnsi="宋体" w:cs="宋体"/>
          <w:vanish/>
        </w:rPr>
        <w:t>e:EuropeMiddleEastAndAfricaSegmentMemberus-gaap:OperatingSegmentsMembernke:NIKEBrandMember2020-06-012020-11-300000320187nke:NIKEBrandMembernke:EuropeMiddleEastAndAfricaSegmentMemberus-gaap:OperatingSegmentsMembernke:NIKEBrandMember2019-06-012019-11-3000003</w:t>
      </w:r>
      <w:r>
        <w:rPr>
          <w:rFonts w:ascii="宋体" w:eastAsia="宋体" w:hAnsi="宋体" w:cs="宋体"/>
          <w:vanish/>
        </w:rPr>
        <w:t>20187nke:GreaterChinaSegmentMembernke:NIKEBrandMemberus-gaap:OperatingSegmentsMembernke:NIKEBrandMember2020-09-012020-11-300000320187nke:GreaterChinaSegmentMembernke:NIKEBrandMemberus-gaap:OperatingSegmentsMembernke:NIKEBrandMember2019-09-012019-11-3000003</w:t>
      </w:r>
      <w:r>
        <w:rPr>
          <w:rFonts w:ascii="宋体" w:eastAsia="宋体" w:hAnsi="宋体" w:cs="宋体"/>
          <w:vanish/>
        </w:rPr>
        <w:t>20187nke:GreaterChinaSegmentMembernke:NIKEBrandMemberus-gaap:OperatingSegmentsMembernke:NIKEBrandMember2020-06-012020-11-300000320187nke:GreaterChinaSegmentMembernke:NIKEBrandMemberus-gaap:OperatingSegmentsMembernke:NIKEBrandMember2019-06-012019-11-3000003</w:t>
      </w:r>
      <w:r>
        <w:rPr>
          <w:rFonts w:ascii="宋体" w:eastAsia="宋体" w:hAnsi="宋体" w:cs="宋体"/>
          <w:vanish/>
        </w:rPr>
        <w:t>20187nke:NIKEBrandMembernke:AsiaPacificAndLatinAmericaSegmentMemberus-gaap:OperatingSegmentsMembernke:NIKEBrandMember2020-09-012020-11-300000320187nke:NIKEBrandMembernke:AsiaPacificAndLatinAmericaSegmentMemberus-gaap:OperatingSegmentsMembernke:NIKEBrandMem</w:t>
      </w:r>
      <w:r>
        <w:rPr>
          <w:rFonts w:ascii="宋体" w:eastAsia="宋体" w:hAnsi="宋体" w:cs="宋体"/>
          <w:vanish/>
        </w:rPr>
        <w:t>ber2019-09-012019-11-300000320187nke:NIKEBrandMembernke:AsiaPacificAndLatinAmericaSegmentMemberus-gaap:OperatingSegmentsMembernke:NIKEBrandMember2020-06-012020-11-300000320187nke:NIKEBrandMembernke:AsiaPacificAndLatinAmericaSegmentMemberus-gaap:OperatingSe</w:t>
      </w:r>
      <w:r>
        <w:rPr>
          <w:rFonts w:ascii="宋体" w:eastAsia="宋体" w:hAnsi="宋体" w:cs="宋体"/>
          <w:vanish/>
        </w:rPr>
        <w:t>gmentsMembernke:NIKEBrandMember2019-06-012019-11-300000320187nke:NIKEBrandMemberus-gaap:MaterialReconcilingItemsMember2020-09-012020-11-300000320187nke:NIKEBrandMemberus-gaap:MaterialReconcilingItemsMember2019-09-012019-11-300000320187nke:NIKEBrandMemberus</w:t>
      </w:r>
      <w:r>
        <w:rPr>
          <w:rFonts w:ascii="宋体" w:eastAsia="宋体" w:hAnsi="宋体" w:cs="宋体"/>
          <w:vanish/>
        </w:rPr>
        <w:t>-gaap:MaterialReconcilingItemsMember2020-06-012020-11-300000320187nke:NIKEBrandMemberus-gaap:MaterialReconcilingItemsMember2019-06-012019-11-300000320187nke:NIKEBrandMemberus-gaap:OperatingSegmentsMembernke:NIKEBrandMember2020-09-012020-11-300000320187nke:</w:t>
      </w:r>
      <w:r>
        <w:rPr>
          <w:rFonts w:ascii="宋体" w:eastAsia="宋体" w:hAnsi="宋体" w:cs="宋体"/>
          <w:vanish/>
        </w:rPr>
        <w:t>NIKEBrandMemberus-gaap:OperatingSegmentsMembernke:NIKEBrandMember2019-09-012019-11-300000320187nke:NIKEBrandMemberus-gaap:OperatingSegmentsMembernke:NIKEBrandMember2020-06-012020-11-300000320187nke:NIKEBrandMemberus-gaap:OperatingSegmentsMembernke:NIKEBran</w:t>
      </w:r>
      <w:r>
        <w:rPr>
          <w:rFonts w:ascii="宋体" w:eastAsia="宋体" w:hAnsi="宋体" w:cs="宋体"/>
          <w:vanish/>
        </w:rPr>
        <w:t>dMember2019-06-012019-11-300000320187us-gaap:OperatingSegmentsMembernke:ConverseSegmentMembernke:ConverseSegmentMember2020-09-012020-11-300000320187us-gaap:OperatingSegmentsMembernke:ConverseSegmentMembernke:ConverseSegmentMember2019-09-012019-11-300000320</w:t>
      </w:r>
      <w:r>
        <w:rPr>
          <w:rFonts w:ascii="宋体" w:eastAsia="宋体" w:hAnsi="宋体" w:cs="宋体"/>
          <w:vanish/>
        </w:rPr>
        <w:t>187us-gaap:OperatingSegmentsMembernke:ConverseSegmentMembernke:ConverseSegmentMember2020-06-012020-11-300000320187us-gaap:OperatingSegmentsMembernke:ConverseSegmentMembernke:ConverseSegmentMember2019-06-012019-11-300000320187nke:NorthAmericaSegmentMembernk</w:t>
      </w:r>
      <w:r>
        <w:rPr>
          <w:rFonts w:ascii="宋体" w:eastAsia="宋体" w:hAnsi="宋体" w:cs="宋体"/>
          <w:vanish/>
        </w:rPr>
        <w:t>e:NIKEBrandMemberus-gaap:OperatingSegmentsMembernke:NIKEBrandMember2020-11-300000320187nke:NorthAmericaSegmentMembernke:NIKEBrandMemberus-gaap:OperatingSegmentsMembernke:NIKEBrandMember2020-05-310000320187nke:NIKEBrandMembernke:EuropeMiddleEastAndAfricaSeg</w:t>
      </w:r>
      <w:r>
        <w:rPr>
          <w:rFonts w:ascii="宋体" w:eastAsia="宋体" w:hAnsi="宋体" w:cs="宋体"/>
          <w:vanish/>
        </w:rPr>
        <w:t>mentMemberus-gaap:OperatingSegmentsMembernke:NIKEBrandMember2020-11-300000320187nke:NIKEBrandMembernke:EuropeMiddleEastAndAfricaSegmentMemberus-gaap:OperatingSegmentsMembernke:NIKEBrandMember2020-05-310000320187nke:GreaterChinaSegmentMembernke:NIKEBrandMem</w:t>
      </w:r>
      <w:r>
        <w:rPr>
          <w:rFonts w:ascii="宋体" w:eastAsia="宋体" w:hAnsi="宋体" w:cs="宋体"/>
          <w:vanish/>
        </w:rPr>
        <w:t>berus-gaap:OperatingSegmentsMembernke:NIKEBrandMember2020-11-300000320187nke:GreaterChinaSegmentMembernke:NIKEBrandMemberus-gaap:OperatingSegmentsMembernke:NIKEBrandMember2020-05-310000320187nke:NIKEBrandMembernke:AsiaPacificAndLatinAmericaSegmentMemberus-</w:t>
      </w:r>
      <w:r>
        <w:rPr>
          <w:rFonts w:ascii="宋体" w:eastAsia="宋体" w:hAnsi="宋体" w:cs="宋体"/>
          <w:vanish/>
        </w:rPr>
        <w:t>gaap:OperatingSegmentsMembernke:NIKEBrandMember2020-11-300000320187nke:NIKEBrandMembernke:AsiaPacificAndLatinAmericaSegmentMemberus-gaap:OperatingSegmentsMembernke:NIKEBrandMember2020-05-310000320187nke:NIKEBrandMemberus-gaap:MaterialReconcilingItemsMember</w:t>
      </w:r>
      <w:r>
        <w:rPr>
          <w:rFonts w:ascii="宋体" w:eastAsia="宋体" w:hAnsi="宋体" w:cs="宋体"/>
          <w:vanish/>
        </w:rPr>
        <w:t>2020-11-300000320187nke:NIKEBrandMemberus-gaap:MaterialReconcilingItemsMember2020-05-310000320187nke:NIKEBrandMemberus-gaap:OperatingSegmentsMembernke:NIKEBrandMember2020-11-300000320187nke:NIKEBrandMemberus-gaap:OperatingSegmentsMembernke:NIKEBrandMember2</w:t>
      </w:r>
      <w:r>
        <w:rPr>
          <w:rFonts w:ascii="宋体" w:eastAsia="宋体" w:hAnsi="宋体" w:cs="宋体"/>
          <w:vanish/>
        </w:rPr>
        <w:t>020-05-310000320187us-gaap:OperatingSegmentsMembernke:ConverseSegmentMembernke:ConverseSegmentMember2020-11-300000320187us-gaap:OperatingSegmentsMembernke:ConverseSegmentMembernke:ConverseSegmentMember2020-05-310000320187us-gaap:CorporateNonSegmentMember20</w:t>
      </w:r>
      <w:r>
        <w:rPr>
          <w:rFonts w:ascii="宋体" w:eastAsia="宋体" w:hAnsi="宋体" w:cs="宋体"/>
          <w:vanish/>
        </w:rPr>
        <w:t>20-11-300000320187us-gaap:CorporateNonSegmentMember2020-05-310000320187country:BRus-gaap:DiscontinuedOperationsHeldforsaleMembernke:GrupoSBFSAMember2020-06-012020-11-300000320187country:BRus-gaap:DiscontinuedOperationsHeldforsaleMembernke:GrupoSBFSAMembern</w:t>
      </w:r>
      <w:r>
        <w:rPr>
          <w:rFonts w:ascii="宋体" w:eastAsia="宋体" w:hAnsi="宋体" w:cs="宋体"/>
          <w:vanish/>
        </w:rPr>
        <w:t>ke:NIKEBrandBusinessesMember2020-11-300000320187country:BRus-gaap:DiscontinuedOperationsHeldforsaleMembernke:GrupoSBFSAMembernke:NIKEBrandBusinessesMember2020-05-310000320187nke:ArgentinaChileAndUruguayMemberus-gaap:DiscontinuedOperationsHeldforsaleMembern</w:t>
      </w:r>
      <w:r>
        <w:rPr>
          <w:rFonts w:ascii="宋体" w:eastAsia="宋体" w:hAnsi="宋体" w:cs="宋体"/>
          <w:vanish/>
        </w:rPr>
        <w:t>ke:GrupoAxoMembernke:NIKEBrandBusinessesMember2020-11-300000320187nke:ArgentinaChileAndUruguayMemberus-gaap:DiscontinuedOperationsHeldforsaleMembernke:GrupoAxoMembernke:NIKEBrandBusinessesMember2020-05-310000320187nke:ArgentinaChileAndUruguayMemberus-gaap:</w:t>
      </w:r>
      <w:r>
        <w:rPr>
          <w:rFonts w:ascii="宋体" w:eastAsia="宋体" w:hAnsi="宋体" w:cs="宋体"/>
          <w:vanish/>
        </w:rPr>
        <w:t>DiscontinuedOperationsHeldforsaleMembernke:GrupoAxoMembernke:NIKEBrandBusinessesMemberus-gaap:OtherNonoperatingIncomeExpenseMember2019-12-012020-11-300000320187nke:ArgentinaChileAndUruguayMemberus-gaap:DiscontinuedOperationsHeldforsaleMembernke:GrupoAxoMem</w:t>
      </w:r>
      <w:r>
        <w:rPr>
          <w:rFonts w:ascii="宋体" w:eastAsia="宋体" w:hAnsi="宋体" w:cs="宋体"/>
          <w:vanish/>
        </w:rPr>
        <w:t>bernke:NIKEBrandBusinessesMemberus-gaap:OtherNonoperatingIncomeExpenseMember2019-12-012020-02-290000320187us-gaap:OneTimeTerminationBenefitsMember2020-11-300000320187nke:OperatingOverheadExpenseMemberus-gaap:OneTimeTerminationBenefitsMember2020-09-012020-1</w:t>
      </w:r>
      <w:r>
        <w:rPr>
          <w:rFonts w:ascii="宋体" w:eastAsia="宋体" w:hAnsi="宋体" w:cs="宋体"/>
          <w:vanish/>
        </w:rPr>
        <w:t>1-300000320187us-gaap:CostOfSalesMemberus-gaap:OneTimeTerminationBenefitsMember2020-09-012020-11-300000320187nke:OperatingOverheadExpenseMemberus-gaap:OneTimeTerminationBenefitsMember2020-06-012020-11-300000320187us-gaap:CostOfSalesMemberus-gaap:OneTimeTer</w:t>
      </w:r>
      <w:r>
        <w:rPr>
          <w:rFonts w:ascii="宋体" w:eastAsia="宋体" w:hAnsi="宋体" w:cs="宋体"/>
          <w:vanish/>
        </w:rPr>
        <w:t>minationBenefitsMember2020-06-012020-11-300000320187us-gaap:OneTimeTerminationBenefitsMember2020-08-310000320187us-gaap:OneTimeTerminationBenefitsMember2020-09-012020-11-300000320187us-gaap:OneTimeTerminationBenefitsMember2020-05-310000320187us-gaap:OneTim</w:t>
      </w:r>
      <w:r>
        <w:rPr>
          <w:rFonts w:ascii="宋体" w:eastAsia="宋体" w:hAnsi="宋体" w:cs="宋体"/>
          <w:vanish/>
        </w:rPr>
        <w:t>eTerminationBenefitsMember2020-06-012020-11-30</w:t>
      </w:r>
    </w:p>
    <w:p w14:paraId="746EFA92" w14:textId="77777777" w:rsidR="008E7A10" w:rsidRDefault="008E7A10">
      <w:pPr>
        <w:spacing w:before="120" w:after="120"/>
      </w:pPr>
    </w:p>
    <w:p w14:paraId="746EFA93" w14:textId="77777777" w:rsidR="008E7A10" w:rsidRDefault="00E047B2">
      <w:pPr>
        <w:jc w:val="center"/>
      </w:pPr>
      <w:r>
        <w:rPr>
          <w:rFonts w:ascii="Arial" w:eastAsia="宋体" w:hAnsi="Arial" w:cs="Arial"/>
          <w:b/>
          <w:bCs/>
          <w:color w:val="000000"/>
          <w:sz w:val="16"/>
          <w:szCs w:val="16"/>
        </w:rPr>
        <w:t>UNITED STATES</w:t>
      </w:r>
    </w:p>
    <w:p w14:paraId="746EFA94" w14:textId="77777777" w:rsidR="008E7A10" w:rsidRDefault="00E047B2">
      <w:pPr>
        <w:jc w:val="center"/>
      </w:pPr>
      <w:r>
        <w:rPr>
          <w:rFonts w:ascii="Arial" w:eastAsia="宋体" w:hAnsi="Arial" w:cs="Arial"/>
          <w:b/>
          <w:bCs/>
          <w:color w:val="000000"/>
          <w:sz w:val="16"/>
          <w:szCs w:val="16"/>
        </w:rPr>
        <w:t>SECURITIES AND EXCHANGE COMMISSION</w:t>
      </w:r>
    </w:p>
    <w:p w14:paraId="746EFA95" w14:textId="77777777" w:rsidR="008E7A10" w:rsidRDefault="00E047B2">
      <w:pPr>
        <w:jc w:val="center"/>
      </w:pPr>
      <w:r>
        <w:rPr>
          <w:rFonts w:ascii="Arial" w:eastAsia="宋体" w:hAnsi="Arial" w:cs="Arial"/>
          <w:b/>
          <w:bCs/>
          <w:color w:val="000000"/>
          <w:sz w:val="16"/>
          <w:szCs w:val="16"/>
        </w:rPr>
        <w:t>Washington, D.C. 20549</w:t>
      </w:r>
    </w:p>
    <w:p w14:paraId="746EFA96" w14:textId="77777777" w:rsidR="008E7A10" w:rsidRDefault="00E047B2">
      <w:pPr>
        <w:spacing w:before="120" w:after="120"/>
        <w:jc w:val="center"/>
      </w:pPr>
      <w:r>
        <w:rPr>
          <w:rFonts w:ascii="Arial" w:eastAsia="宋体" w:hAnsi="Arial" w:cs="Arial"/>
          <w:b/>
          <w:bCs/>
          <w:color w:val="000000"/>
          <w:sz w:val="28"/>
          <w:szCs w:val="28"/>
        </w:rPr>
        <w:t xml:space="preserve">FORM 10-Q </w:t>
      </w:r>
    </w:p>
    <w:p w14:paraId="746EFA97" w14:textId="77777777" w:rsidR="008E7A10" w:rsidRDefault="00E047B2">
      <w:pPr>
        <w:jc w:val="center"/>
      </w:pPr>
      <w:r>
        <w:rPr>
          <w:rFonts w:ascii="Arial" w:eastAsia="宋体" w:hAnsi="Arial" w:cs="Arial"/>
          <w:color w:val="000000"/>
          <w:sz w:val="14"/>
          <w:szCs w:val="14"/>
        </w:rPr>
        <w:t>(Mark One)</w:t>
      </w:r>
    </w:p>
    <w:p w14:paraId="746EFA98" w14:textId="77777777" w:rsidR="008E7A10" w:rsidRDefault="00E047B2">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QUARTERLY REPORT PURSUANT TO SECTION 13 OR 15(D) OF THE SECURITIES EXCHANGE ACT OF 1934</w:t>
      </w:r>
    </w:p>
    <w:p w14:paraId="746EFA99" w14:textId="77777777" w:rsidR="008E7A10" w:rsidRDefault="00E047B2">
      <w:pPr>
        <w:jc w:val="center"/>
      </w:pPr>
      <w:r>
        <w:rPr>
          <w:rFonts w:ascii="Arial" w:eastAsia="宋体" w:hAnsi="Arial" w:cs="Arial"/>
          <w:b/>
          <w:bCs/>
          <w:color w:val="000000"/>
          <w:sz w:val="16"/>
          <w:szCs w:val="16"/>
        </w:rPr>
        <w:t>FOR THE QUARTERLY PERIOD</w:t>
      </w:r>
      <w:r>
        <w:rPr>
          <w:rFonts w:ascii="Arial" w:eastAsia="宋体" w:hAnsi="Arial" w:cs="Arial"/>
          <w:b/>
          <w:bCs/>
          <w:color w:val="000000"/>
          <w:sz w:val="16"/>
          <w:szCs w:val="16"/>
        </w:rPr>
        <w:t xml:space="preserve"> ENDED NOVEMBER 30, 2020 </w:t>
      </w:r>
    </w:p>
    <w:p w14:paraId="746EFA9A" w14:textId="77777777" w:rsidR="008E7A10" w:rsidRDefault="008E7A10">
      <w:pPr>
        <w:jc w:val="center"/>
      </w:pPr>
    </w:p>
    <w:p w14:paraId="746EFA9B" w14:textId="77777777" w:rsidR="008E7A10" w:rsidRDefault="00E047B2">
      <w:pPr>
        <w:jc w:val="center"/>
      </w:pPr>
      <w:r>
        <w:rPr>
          <w:rFonts w:ascii="Arial" w:eastAsia="宋体" w:hAnsi="Arial" w:cs="Arial"/>
          <w:b/>
          <w:bCs/>
          <w:color w:val="000000"/>
          <w:sz w:val="16"/>
          <w:szCs w:val="16"/>
        </w:rPr>
        <w:t>OR</w:t>
      </w:r>
    </w:p>
    <w:p w14:paraId="746EFA9C" w14:textId="77777777" w:rsidR="008E7A10" w:rsidRDefault="008E7A10">
      <w:pPr>
        <w:jc w:val="center"/>
      </w:pPr>
    </w:p>
    <w:p w14:paraId="746EFA9D" w14:textId="77777777" w:rsidR="008E7A10" w:rsidRDefault="00E047B2">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TRANSITION REPORT PURSUANT TO SECTION 13 OR 15(D) OF THE SECURITIES EXCHANGE ACT OF 1934</w:t>
      </w:r>
    </w:p>
    <w:p w14:paraId="746EFA9E" w14:textId="77777777" w:rsidR="008E7A10" w:rsidRDefault="00E047B2">
      <w:pPr>
        <w:jc w:val="center"/>
      </w:pPr>
      <w:r>
        <w:rPr>
          <w:rFonts w:ascii="Arial" w:eastAsia="宋体" w:hAnsi="Arial" w:cs="Arial"/>
          <w:b/>
          <w:bCs/>
          <w:color w:val="000000"/>
          <w:sz w:val="16"/>
          <w:szCs w:val="16"/>
        </w:rPr>
        <w:t>FOR THE TRANSITION PERIOD FROM                         TO                         .</w:t>
      </w:r>
    </w:p>
    <w:p w14:paraId="746EFA9F" w14:textId="77777777" w:rsidR="008E7A10" w:rsidRDefault="008E7A10">
      <w:pPr>
        <w:jc w:val="center"/>
      </w:pPr>
    </w:p>
    <w:p w14:paraId="746EFAA0" w14:textId="77777777" w:rsidR="008E7A10" w:rsidRDefault="00E047B2">
      <w:pPr>
        <w:jc w:val="center"/>
      </w:pPr>
      <w:r>
        <w:rPr>
          <w:rFonts w:ascii="Arial" w:eastAsia="宋体" w:hAnsi="Arial" w:cs="Arial"/>
          <w:b/>
          <w:bCs/>
          <w:color w:val="000000"/>
          <w:sz w:val="16"/>
          <w:szCs w:val="16"/>
        </w:rPr>
        <w:t xml:space="preserve">Commission File No. 1-10635 </w:t>
      </w:r>
    </w:p>
    <w:p w14:paraId="746EFAA1" w14:textId="77777777" w:rsidR="008E7A10" w:rsidRDefault="00E047B2">
      <w:pPr>
        <w:jc w:val="center"/>
      </w:pPr>
      <w:r>
        <w:rPr>
          <w:rFonts w:ascii="宋体" w:eastAsia="宋体" w:hAnsi="宋体" w:cs="宋体"/>
        </w:rPr>
        <w:fldChar w:fldCharType="begin"/>
      </w:r>
      <w:r>
        <w:rPr>
          <w:rFonts w:ascii="宋体" w:eastAsia="宋体" w:hAnsi="宋体" w:cs="宋体"/>
        </w:rPr>
        <w:instrText>INCLUDEPICTURE \d "/</w:instrText>
      </w:r>
      <w:r>
        <w:rPr>
          <w:rFonts w:ascii="宋体" w:eastAsia="宋体" w:hAnsi="宋体" w:cs="宋体"/>
        </w:rPr>
        <w:instrText xml:space="preserve">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Viewer8_files/nke-20201130_g1.jpg"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46F2005" wp14:editId="746F2006">
            <wp:extent cx="304800" cy="304800"/>
            <wp:effectExtent l="0" t="0" r="0" b="0"/>
            <wp:docPr id="4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46EFAA2" w14:textId="77777777" w:rsidR="008E7A10" w:rsidRDefault="00E047B2">
      <w:pPr>
        <w:spacing w:after="120"/>
        <w:jc w:val="center"/>
      </w:pPr>
      <w:r>
        <w:rPr>
          <w:rFonts w:ascii="Arial" w:eastAsia="宋体" w:hAnsi="Arial" w:cs="Arial"/>
          <w:b/>
          <w:bCs/>
          <w:color w:val="000000"/>
          <w:sz w:val="40"/>
          <w:szCs w:val="40"/>
        </w:rPr>
        <w:t xml:space="preserve">NIKE, Inc. </w:t>
      </w:r>
    </w:p>
    <w:p w14:paraId="746EFAA3" w14:textId="77777777" w:rsidR="008E7A10" w:rsidRDefault="00E047B2">
      <w:pPr>
        <w:jc w:val="center"/>
      </w:pPr>
      <w:r>
        <w:rPr>
          <w:rFonts w:ascii="Arial" w:eastAsia="宋体" w:hAnsi="Arial" w:cs="Arial"/>
          <w:b/>
          <w:bCs/>
          <w:color w:val="000000"/>
          <w:sz w:val="16"/>
          <w:szCs w:val="16"/>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2520"/>
        <w:gridCol w:w="37"/>
        <w:gridCol w:w="69"/>
        <w:gridCol w:w="1436"/>
        <w:gridCol w:w="36"/>
        <w:gridCol w:w="69"/>
        <w:gridCol w:w="1436"/>
        <w:gridCol w:w="37"/>
        <w:gridCol w:w="70"/>
        <w:gridCol w:w="2521"/>
        <w:gridCol w:w="36"/>
      </w:tblGrid>
      <w:tr w:rsidR="008E7A10" w14:paraId="746EFAB0" w14:textId="77777777">
        <w:tc>
          <w:tcPr>
            <w:tcW w:w="50" w:type="pct"/>
            <w:shd w:val="clear" w:color="auto" w:fill="auto"/>
          </w:tcPr>
          <w:p w14:paraId="746EFAA4" w14:textId="77777777" w:rsidR="008E7A10" w:rsidRDefault="008E7A10">
            <w:pPr>
              <w:rPr>
                <w:rFonts w:ascii="宋体"/>
              </w:rPr>
            </w:pPr>
          </w:p>
        </w:tc>
        <w:tc>
          <w:tcPr>
            <w:tcW w:w="1519" w:type="pct"/>
            <w:shd w:val="clear" w:color="auto" w:fill="auto"/>
          </w:tcPr>
          <w:p w14:paraId="746EFAA5" w14:textId="77777777" w:rsidR="008E7A10" w:rsidRDefault="008E7A10">
            <w:pPr>
              <w:rPr>
                <w:rFonts w:ascii="宋体"/>
              </w:rPr>
            </w:pPr>
          </w:p>
        </w:tc>
        <w:tc>
          <w:tcPr>
            <w:tcW w:w="5" w:type="pct"/>
            <w:shd w:val="clear" w:color="auto" w:fill="auto"/>
          </w:tcPr>
          <w:p w14:paraId="746EFAA6" w14:textId="77777777" w:rsidR="008E7A10" w:rsidRDefault="008E7A10">
            <w:pPr>
              <w:rPr>
                <w:rFonts w:ascii="宋体"/>
              </w:rPr>
            </w:pPr>
          </w:p>
        </w:tc>
        <w:tc>
          <w:tcPr>
            <w:tcW w:w="50" w:type="pct"/>
            <w:shd w:val="clear" w:color="auto" w:fill="auto"/>
          </w:tcPr>
          <w:p w14:paraId="746EFAA7" w14:textId="77777777" w:rsidR="008E7A10" w:rsidRDefault="008E7A10">
            <w:pPr>
              <w:rPr>
                <w:rFonts w:ascii="宋体"/>
              </w:rPr>
            </w:pPr>
          </w:p>
        </w:tc>
        <w:tc>
          <w:tcPr>
            <w:tcW w:w="870" w:type="pct"/>
            <w:shd w:val="clear" w:color="auto" w:fill="auto"/>
          </w:tcPr>
          <w:p w14:paraId="746EFAA8" w14:textId="77777777" w:rsidR="008E7A10" w:rsidRDefault="008E7A10">
            <w:pPr>
              <w:rPr>
                <w:rFonts w:ascii="宋体"/>
              </w:rPr>
            </w:pPr>
          </w:p>
        </w:tc>
        <w:tc>
          <w:tcPr>
            <w:tcW w:w="5" w:type="pct"/>
            <w:shd w:val="clear" w:color="auto" w:fill="auto"/>
          </w:tcPr>
          <w:p w14:paraId="746EFAA9" w14:textId="77777777" w:rsidR="008E7A10" w:rsidRDefault="008E7A10">
            <w:pPr>
              <w:rPr>
                <w:rFonts w:ascii="宋体"/>
              </w:rPr>
            </w:pPr>
          </w:p>
        </w:tc>
        <w:tc>
          <w:tcPr>
            <w:tcW w:w="50" w:type="pct"/>
            <w:shd w:val="clear" w:color="auto" w:fill="auto"/>
          </w:tcPr>
          <w:p w14:paraId="746EFAAA" w14:textId="77777777" w:rsidR="008E7A10" w:rsidRDefault="008E7A10">
            <w:pPr>
              <w:rPr>
                <w:rFonts w:ascii="宋体"/>
              </w:rPr>
            </w:pPr>
          </w:p>
        </w:tc>
        <w:tc>
          <w:tcPr>
            <w:tcW w:w="870" w:type="pct"/>
            <w:shd w:val="clear" w:color="auto" w:fill="auto"/>
          </w:tcPr>
          <w:p w14:paraId="746EFAAB" w14:textId="77777777" w:rsidR="008E7A10" w:rsidRDefault="008E7A10">
            <w:pPr>
              <w:rPr>
                <w:rFonts w:ascii="宋体"/>
              </w:rPr>
            </w:pPr>
          </w:p>
        </w:tc>
        <w:tc>
          <w:tcPr>
            <w:tcW w:w="5" w:type="pct"/>
            <w:shd w:val="clear" w:color="auto" w:fill="auto"/>
          </w:tcPr>
          <w:p w14:paraId="746EFAAC" w14:textId="77777777" w:rsidR="008E7A10" w:rsidRDefault="008E7A10">
            <w:pPr>
              <w:rPr>
                <w:rFonts w:ascii="宋体"/>
              </w:rPr>
            </w:pPr>
          </w:p>
        </w:tc>
        <w:tc>
          <w:tcPr>
            <w:tcW w:w="50" w:type="pct"/>
            <w:shd w:val="clear" w:color="auto" w:fill="auto"/>
          </w:tcPr>
          <w:p w14:paraId="746EFAAD" w14:textId="77777777" w:rsidR="008E7A10" w:rsidRDefault="008E7A10">
            <w:pPr>
              <w:rPr>
                <w:rFonts w:ascii="宋体"/>
              </w:rPr>
            </w:pPr>
          </w:p>
        </w:tc>
        <w:tc>
          <w:tcPr>
            <w:tcW w:w="1519" w:type="pct"/>
            <w:shd w:val="clear" w:color="auto" w:fill="auto"/>
          </w:tcPr>
          <w:p w14:paraId="746EFAAE" w14:textId="77777777" w:rsidR="008E7A10" w:rsidRDefault="008E7A10">
            <w:pPr>
              <w:rPr>
                <w:rFonts w:ascii="宋体"/>
              </w:rPr>
            </w:pPr>
          </w:p>
        </w:tc>
        <w:tc>
          <w:tcPr>
            <w:tcW w:w="5" w:type="pct"/>
            <w:shd w:val="clear" w:color="auto" w:fill="auto"/>
          </w:tcPr>
          <w:p w14:paraId="746EFAAF" w14:textId="77777777" w:rsidR="008E7A10" w:rsidRDefault="008E7A10">
            <w:pPr>
              <w:rPr>
                <w:rFonts w:ascii="宋体"/>
              </w:rPr>
            </w:pPr>
          </w:p>
        </w:tc>
      </w:tr>
      <w:tr w:rsidR="008E7A10" w14:paraId="746EFAB3" w14:textId="77777777">
        <w:tc>
          <w:tcPr>
            <w:tcW w:w="0" w:type="auto"/>
            <w:gridSpan w:val="6"/>
            <w:shd w:val="clear" w:color="auto" w:fill="auto"/>
            <w:tcMar>
              <w:top w:w="40" w:type="dxa"/>
              <w:left w:w="20" w:type="dxa"/>
              <w:bottom w:w="40" w:type="dxa"/>
              <w:right w:w="20" w:type="dxa"/>
            </w:tcMar>
            <w:vAlign w:val="bottom"/>
          </w:tcPr>
          <w:p w14:paraId="746EFAB1" w14:textId="77777777" w:rsidR="008E7A10" w:rsidRDefault="00E047B2">
            <w:pPr>
              <w:jc w:val="center"/>
              <w:textAlignment w:val="bottom"/>
            </w:pPr>
            <w:r>
              <w:rPr>
                <w:rFonts w:ascii="Arial" w:eastAsia="宋体" w:hAnsi="Arial" w:cs="Arial"/>
                <w:b/>
                <w:bCs/>
                <w:color w:val="000000"/>
                <w:sz w:val="14"/>
                <w:szCs w:val="14"/>
              </w:rPr>
              <w:t>Oregon</w:t>
            </w:r>
          </w:p>
        </w:tc>
        <w:tc>
          <w:tcPr>
            <w:tcW w:w="0" w:type="auto"/>
            <w:gridSpan w:val="6"/>
            <w:shd w:val="clear" w:color="auto" w:fill="auto"/>
            <w:tcMar>
              <w:top w:w="40" w:type="dxa"/>
              <w:left w:w="20" w:type="dxa"/>
              <w:bottom w:w="40" w:type="dxa"/>
              <w:right w:w="20" w:type="dxa"/>
            </w:tcMar>
            <w:vAlign w:val="bottom"/>
          </w:tcPr>
          <w:p w14:paraId="746EFAB2" w14:textId="77777777" w:rsidR="008E7A10" w:rsidRDefault="00E047B2">
            <w:pPr>
              <w:jc w:val="center"/>
              <w:textAlignment w:val="bottom"/>
            </w:pPr>
            <w:r>
              <w:rPr>
                <w:rFonts w:ascii="Arial" w:eastAsia="宋体" w:hAnsi="Arial" w:cs="Arial"/>
                <w:b/>
                <w:bCs/>
                <w:color w:val="000000"/>
                <w:sz w:val="14"/>
                <w:szCs w:val="14"/>
              </w:rPr>
              <w:t>93-0584541</w:t>
            </w:r>
          </w:p>
        </w:tc>
      </w:tr>
      <w:tr w:rsidR="008E7A10" w14:paraId="746EFAB6" w14:textId="77777777">
        <w:tc>
          <w:tcPr>
            <w:tcW w:w="0" w:type="auto"/>
            <w:gridSpan w:val="6"/>
            <w:shd w:val="clear" w:color="auto" w:fill="auto"/>
            <w:tcMar>
              <w:top w:w="40" w:type="dxa"/>
              <w:left w:w="20" w:type="dxa"/>
              <w:bottom w:w="40" w:type="dxa"/>
              <w:right w:w="20" w:type="dxa"/>
            </w:tcMar>
          </w:tcPr>
          <w:p w14:paraId="746EFAB4" w14:textId="77777777" w:rsidR="008E7A10" w:rsidRDefault="00E047B2">
            <w:pPr>
              <w:jc w:val="center"/>
              <w:textAlignment w:val="top"/>
            </w:pPr>
            <w:r>
              <w:rPr>
                <w:rFonts w:ascii="Arial" w:eastAsia="宋体" w:hAnsi="Arial" w:cs="Arial"/>
                <w:i/>
                <w:iCs/>
                <w:color w:val="000000"/>
                <w:sz w:val="14"/>
                <w:szCs w:val="14"/>
              </w:rPr>
              <w:t xml:space="preserve">(State or other </w:t>
            </w:r>
            <w:r>
              <w:rPr>
                <w:rFonts w:ascii="Arial" w:eastAsia="宋体" w:hAnsi="Arial" w:cs="Arial"/>
                <w:i/>
                <w:iCs/>
                <w:color w:val="000000"/>
                <w:sz w:val="14"/>
                <w:szCs w:val="14"/>
              </w:rPr>
              <w:t>jurisdiction of incorporation or organization)</w:t>
            </w:r>
          </w:p>
        </w:tc>
        <w:tc>
          <w:tcPr>
            <w:tcW w:w="0" w:type="auto"/>
            <w:gridSpan w:val="6"/>
            <w:shd w:val="clear" w:color="auto" w:fill="auto"/>
            <w:tcMar>
              <w:top w:w="40" w:type="dxa"/>
              <w:left w:w="20" w:type="dxa"/>
              <w:bottom w:w="40" w:type="dxa"/>
              <w:right w:w="20" w:type="dxa"/>
            </w:tcMar>
          </w:tcPr>
          <w:p w14:paraId="746EFAB5" w14:textId="77777777" w:rsidR="008E7A10" w:rsidRDefault="00E047B2">
            <w:pPr>
              <w:jc w:val="center"/>
              <w:textAlignment w:val="top"/>
            </w:pPr>
            <w:r>
              <w:rPr>
                <w:rFonts w:ascii="Arial" w:eastAsia="宋体" w:hAnsi="Arial" w:cs="Arial"/>
                <w:i/>
                <w:iCs/>
                <w:color w:val="000000"/>
                <w:sz w:val="14"/>
                <w:szCs w:val="14"/>
              </w:rPr>
              <w:t>(I.R.S. Employer Identification No.)</w:t>
            </w:r>
          </w:p>
        </w:tc>
      </w:tr>
    </w:tbl>
    <w:p w14:paraId="746EFAB7" w14:textId="77777777" w:rsidR="008E7A10" w:rsidRDefault="008E7A10">
      <w:pPr>
        <w:jc w:val="center"/>
      </w:pPr>
    </w:p>
    <w:p w14:paraId="746EFAB8" w14:textId="77777777" w:rsidR="008E7A10" w:rsidRDefault="00E047B2">
      <w:pPr>
        <w:jc w:val="center"/>
      </w:pPr>
      <w:r>
        <w:rPr>
          <w:rFonts w:ascii="Arial" w:eastAsia="宋体" w:hAnsi="Arial" w:cs="Arial"/>
          <w:b/>
          <w:bCs/>
          <w:color w:val="000000"/>
          <w:sz w:val="14"/>
          <w:szCs w:val="14"/>
        </w:rPr>
        <w:t xml:space="preserve">One Bowerman Drive, Beaverton, Oregon 97005-6453 </w:t>
      </w:r>
    </w:p>
    <w:p w14:paraId="746EFAB9" w14:textId="77777777" w:rsidR="008E7A10" w:rsidRDefault="00E047B2">
      <w:pPr>
        <w:jc w:val="center"/>
      </w:pPr>
      <w:r>
        <w:rPr>
          <w:rFonts w:ascii="Arial" w:eastAsia="宋体" w:hAnsi="Arial" w:cs="Arial"/>
          <w:i/>
          <w:iCs/>
          <w:color w:val="000000"/>
          <w:sz w:val="14"/>
          <w:szCs w:val="14"/>
        </w:rPr>
        <w:t>(Address of principal executive offices and zip code)</w:t>
      </w:r>
    </w:p>
    <w:p w14:paraId="746EFABA" w14:textId="77777777" w:rsidR="008E7A10" w:rsidRDefault="008E7A10">
      <w:pPr>
        <w:jc w:val="center"/>
      </w:pPr>
    </w:p>
    <w:p w14:paraId="746EFABB" w14:textId="77777777" w:rsidR="008E7A10" w:rsidRDefault="00E047B2">
      <w:pPr>
        <w:jc w:val="center"/>
      </w:pPr>
      <w:r>
        <w:rPr>
          <w:rFonts w:ascii="Arial" w:eastAsia="宋体" w:hAnsi="Arial" w:cs="Arial"/>
          <w:b/>
          <w:bCs/>
          <w:color w:val="000000"/>
          <w:sz w:val="14"/>
          <w:szCs w:val="14"/>
        </w:rPr>
        <w:t xml:space="preserve">(503) 671-6453 </w:t>
      </w:r>
    </w:p>
    <w:p w14:paraId="746EFABC" w14:textId="77777777" w:rsidR="008E7A10" w:rsidRDefault="00E047B2">
      <w:pPr>
        <w:jc w:val="center"/>
      </w:pPr>
      <w:r>
        <w:rPr>
          <w:rFonts w:ascii="Arial" w:eastAsia="宋体" w:hAnsi="Arial" w:cs="Arial"/>
          <w:i/>
          <w:iCs/>
          <w:color w:val="000000"/>
          <w:sz w:val="14"/>
          <w:szCs w:val="14"/>
        </w:rPr>
        <w:t xml:space="preserve">(Registrant's telephone number, </w:t>
      </w:r>
      <w:r>
        <w:rPr>
          <w:rFonts w:ascii="Arial" w:eastAsia="宋体" w:hAnsi="Arial" w:cs="Arial"/>
          <w:i/>
          <w:iCs/>
          <w:color w:val="000000"/>
          <w:sz w:val="14"/>
          <w:szCs w:val="14"/>
        </w:rPr>
        <w:t>including area code)</w:t>
      </w:r>
    </w:p>
    <w:tbl>
      <w:tblPr>
        <w:tblW w:w="5000" w:type="pct"/>
        <w:tblCellMar>
          <w:top w:w="15" w:type="dxa"/>
          <w:left w:w="15" w:type="dxa"/>
          <w:bottom w:w="15" w:type="dxa"/>
          <w:right w:w="15" w:type="dxa"/>
        </w:tblCellMar>
        <w:tblLook w:val="04A0" w:firstRow="1" w:lastRow="0" w:firstColumn="1" w:lastColumn="0" w:noHBand="0" w:noVBand="1"/>
      </w:tblPr>
      <w:tblGrid>
        <w:gridCol w:w="68"/>
        <w:gridCol w:w="2520"/>
        <w:gridCol w:w="38"/>
        <w:gridCol w:w="69"/>
        <w:gridCol w:w="1436"/>
        <w:gridCol w:w="37"/>
        <w:gridCol w:w="69"/>
        <w:gridCol w:w="1436"/>
        <w:gridCol w:w="37"/>
        <w:gridCol w:w="69"/>
        <w:gridCol w:w="2520"/>
        <w:gridCol w:w="37"/>
      </w:tblGrid>
      <w:tr w:rsidR="008E7A10" w14:paraId="746EFAC9" w14:textId="77777777">
        <w:tc>
          <w:tcPr>
            <w:tcW w:w="50" w:type="pct"/>
            <w:shd w:val="clear" w:color="auto" w:fill="auto"/>
          </w:tcPr>
          <w:p w14:paraId="746EFABD" w14:textId="77777777" w:rsidR="008E7A10" w:rsidRDefault="008E7A10">
            <w:pPr>
              <w:rPr>
                <w:rFonts w:ascii="宋体"/>
              </w:rPr>
            </w:pPr>
          </w:p>
        </w:tc>
        <w:tc>
          <w:tcPr>
            <w:tcW w:w="1519" w:type="pct"/>
            <w:shd w:val="clear" w:color="auto" w:fill="auto"/>
          </w:tcPr>
          <w:p w14:paraId="746EFABE" w14:textId="77777777" w:rsidR="008E7A10" w:rsidRDefault="008E7A10">
            <w:pPr>
              <w:rPr>
                <w:rFonts w:ascii="宋体"/>
              </w:rPr>
            </w:pPr>
          </w:p>
        </w:tc>
        <w:tc>
          <w:tcPr>
            <w:tcW w:w="5" w:type="pct"/>
            <w:shd w:val="clear" w:color="auto" w:fill="auto"/>
          </w:tcPr>
          <w:p w14:paraId="746EFABF" w14:textId="77777777" w:rsidR="008E7A10" w:rsidRDefault="008E7A10">
            <w:pPr>
              <w:rPr>
                <w:rFonts w:ascii="宋体"/>
              </w:rPr>
            </w:pPr>
          </w:p>
        </w:tc>
        <w:tc>
          <w:tcPr>
            <w:tcW w:w="50" w:type="pct"/>
            <w:shd w:val="clear" w:color="auto" w:fill="auto"/>
          </w:tcPr>
          <w:p w14:paraId="746EFAC0" w14:textId="77777777" w:rsidR="008E7A10" w:rsidRDefault="008E7A10">
            <w:pPr>
              <w:rPr>
                <w:rFonts w:ascii="宋体"/>
              </w:rPr>
            </w:pPr>
          </w:p>
        </w:tc>
        <w:tc>
          <w:tcPr>
            <w:tcW w:w="870" w:type="pct"/>
            <w:shd w:val="clear" w:color="auto" w:fill="auto"/>
          </w:tcPr>
          <w:p w14:paraId="746EFAC1" w14:textId="77777777" w:rsidR="008E7A10" w:rsidRDefault="008E7A10">
            <w:pPr>
              <w:rPr>
                <w:rFonts w:ascii="宋体"/>
              </w:rPr>
            </w:pPr>
          </w:p>
        </w:tc>
        <w:tc>
          <w:tcPr>
            <w:tcW w:w="5" w:type="pct"/>
            <w:shd w:val="clear" w:color="auto" w:fill="auto"/>
          </w:tcPr>
          <w:p w14:paraId="746EFAC2" w14:textId="77777777" w:rsidR="008E7A10" w:rsidRDefault="008E7A10">
            <w:pPr>
              <w:rPr>
                <w:rFonts w:ascii="宋体"/>
              </w:rPr>
            </w:pPr>
          </w:p>
        </w:tc>
        <w:tc>
          <w:tcPr>
            <w:tcW w:w="50" w:type="pct"/>
            <w:shd w:val="clear" w:color="auto" w:fill="auto"/>
          </w:tcPr>
          <w:p w14:paraId="746EFAC3" w14:textId="77777777" w:rsidR="008E7A10" w:rsidRDefault="008E7A10">
            <w:pPr>
              <w:rPr>
                <w:rFonts w:ascii="宋体"/>
              </w:rPr>
            </w:pPr>
          </w:p>
        </w:tc>
        <w:tc>
          <w:tcPr>
            <w:tcW w:w="870" w:type="pct"/>
            <w:shd w:val="clear" w:color="auto" w:fill="auto"/>
          </w:tcPr>
          <w:p w14:paraId="746EFAC4" w14:textId="77777777" w:rsidR="008E7A10" w:rsidRDefault="008E7A10">
            <w:pPr>
              <w:rPr>
                <w:rFonts w:ascii="宋体"/>
              </w:rPr>
            </w:pPr>
          </w:p>
        </w:tc>
        <w:tc>
          <w:tcPr>
            <w:tcW w:w="5" w:type="pct"/>
            <w:shd w:val="clear" w:color="auto" w:fill="auto"/>
          </w:tcPr>
          <w:p w14:paraId="746EFAC5" w14:textId="77777777" w:rsidR="008E7A10" w:rsidRDefault="008E7A10">
            <w:pPr>
              <w:rPr>
                <w:rFonts w:ascii="宋体"/>
              </w:rPr>
            </w:pPr>
          </w:p>
        </w:tc>
        <w:tc>
          <w:tcPr>
            <w:tcW w:w="50" w:type="pct"/>
            <w:shd w:val="clear" w:color="auto" w:fill="auto"/>
          </w:tcPr>
          <w:p w14:paraId="746EFAC6" w14:textId="77777777" w:rsidR="008E7A10" w:rsidRDefault="008E7A10">
            <w:pPr>
              <w:rPr>
                <w:rFonts w:ascii="宋体"/>
              </w:rPr>
            </w:pPr>
          </w:p>
        </w:tc>
        <w:tc>
          <w:tcPr>
            <w:tcW w:w="1519" w:type="pct"/>
            <w:shd w:val="clear" w:color="auto" w:fill="auto"/>
          </w:tcPr>
          <w:p w14:paraId="746EFAC7" w14:textId="77777777" w:rsidR="008E7A10" w:rsidRDefault="008E7A10">
            <w:pPr>
              <w:rPr>
                <w:rFonts w:ascii="宋体"/>
              </w:rPr>
            </w:pPr>
          </w:p>
        </w:tc>
        <w:tc>
          <w:tcPr>
            <w:tcW w:w="5" w:type="pct"/>
            <w:shd w:val="clear" w:color="auto" w:fill="auto"/>
          </w:tcPr>
          <w:p w14:paraId="746EFAC8" w14:textId="77777777" w:rsidR="008E7A10" w:rsidRDefault="008E7A10">
            <w:pPr>
              <w:rPr>
                <w:rFonts w:ascii="宋体"/>
              </w:rPr>
            </w:pPr>
          </w:p>
        </w:tc>
      </w:tr>
      <w:tr w:rsidR="008E7A10" w14:paraId="746EFACB" w14:textId="77777777">
        <w:tc>
          <w:tcPr>
            <w:tcW w:w="0" w:type="auto"/>
            <w:gridSpan w:val="12"/>
            <w:shd w:val="clear" w:color="auto" w:fill="auto"/>
            <w:tcMar>
              <w:top w:w="40" w:type="dxa"/>
              <w:left w:w="20" w:type="dxa"/>
              <w:bottom w:w="40" w:type="dxa"/>
              <w:right w:w="20" w:type="dxa"/>
            </w:tcMar>
            <w:vAlign w:val="bottom"/>
          </w:tcPr>
          <w:p w14:paraId="746EFACA" w14:textId="77777777" w:rsidR="008E7A10" w:rsidRDefault="00E047B2">
            <w:pPr>
              <w:jc w:val="center"/>
              <w:textAlignment w:val="bottom"/>
            </w:pPr>
            <w:r>
              <w:rPr>
                <w:rFonts w:ascii="Arial" w:eastAsia="宋体" w:hAnsi="Arial" w:cs="Arial"/>
                <w:color w:val="000000"/>
                <w:sz w:val="14"/>
                <w:szCs w:val="14"/>
              </w:rPr>
              <w:t>SECURITIES REGISTERED PURSUANT TO SECTION 12(B) OF THE ACT:</w:t>
            </w:r>
          </w:p>
        </w:tc>
      </w:tr>
      <w:tr w:rsidR="008E7A10" w14:paraId="746EFACF" w14:textId="77777777">
        <w:tc>
          <w:tcPr>
            <w:tcW w:w="0" w:type="auto"/>
            <w:gridSpan w:val="3"/>
            <w:shd w:val="clear" w:color="auto" w:fill="auto"/>
            <w:tcMar>
              <w:top w:w="40" w:type="dxa"/>
              <w:left w:w="20" w:type="dxa"/>
              <w:bottom w:w="40" w:type="dxa"/>
              <w:right w:w="20" w:type="dxa"/>
            </w:tcMar>
            <w:vAlign w:val="bottom"/>
          </w:tcPr>
          <w:p w14:paraId="746EFACC" w14:textId="77777777" w:rsidR="008E7A10" w:rsidRDefault="00E047B2">
            <w:pPr>
              <w:jc w:val="center"/>
              <w:textAlignment w:val="bottom"/>
            </w:pPr>
            <w:r>
              <w:rPr>
                <w:rFonts w:ascii="Arial" w:eastAsia="宋体" w:hAnsi="Arial" w:cs="Arial"/>
                <w:b/>
                <w:bCs/>
                <w:color w:val="000000"/>
                <w:sz w:val="14"/>
                <w:szCs w:val="14"/>
              </w:rPr>
              <w:t>Class B Common Stock</w:t>
            </w:r>
          </w:p>
        </w:tc>
        <w:tc>
          <w:tcPr>
            <w:tcW w:w="0" w:type="auto"/>
            <w:gridSpan w:val="6"/>
            <w:shd w:val="clear" w:color="auto" w:fill="auto"/>
            <w:tcMar>
              <w:top w:w="40" w:type="dxa"/>
              <w:left w:w="20" w:type="dxa"/>
              <w:bottom w:w="40" w:type="dxa"/>
              <w:right w:w="20" w:type="dxa"/>
            </w:tcMar>
            <w:vAlign w:val="bottom"/>
          </w:tcPr>
          <w:p w14:paraId="746EFACD" w14:textId="77777777" w:rsidR="008E7A10" w:rsidRDefault="00E047B2">
            <w:pPr>
              <w:jc w:val="center"/>
              <w:textAlignment w:val="bottom"/>
            </w:pPr>
            <w:r>
              <w:rPr>
                <w:rFonts w:ascii="Arial" w:eastAsia="宋体" w:hAnsi="Arial" w:cs="Arial"/>
                <w:b/>
                <w:bCs/>
                <w:color w:val="000000"/>
                <w:sz w:val="14"/>
                <w:szCs w:val="14"/>
              </w:rPr>
              <w:t>NKE</w:t>
            </w:r>
          </w:p>
        </w:tc>
        <w:tc>
          <w:tcPr>
            <w:tcW w:w="0" w:type="auto"/>
            <w:gridSpan w:val="3"/>
            <w:shd w:val="clear" w:color="auto" w:fill="auto"/>
            <w:tcMar>
              <w:top w:w="40" w:type="dxa"/>
              <w:left w:w="20" w:type="dxa"/>
              <w:bottom w:w="40" w:type="dxa"/>
              <w:right w:w="20" w:type="dxa"/>
            </w:tcMar>
            <w:vAlign w:val="bottom"/>
          </w:tcPr>
          <w:p w14:paraId="746EFACE" w14:textId="77777777" w:rsidR="008E7A10" w:rsidRDefault="00E047B2">
            <w:pPr>
              <w:jc w:val="center"/>
              <w:textAlignment w:val="bottom"/>
            </w:pPr>
            <w:r>
              <w:rPr>
                <w:rFonts w:ascii="Arial" w:eastAsia="宋体" w:hAnsi="Arial" w:cs="Arial"/>
                <w:b/>
                <w:bCs/>
                <w:color w:val="000000"/>
                <w:sz w:val="14"/>
                <w:szCs w:val="14"/>
              </w:rPr>
              <w:t>New York Stock Exchange</w:t>
            </w:r>
          </w:p>
        </w:tc>
      </w:tr>
      <w:tr w:rsidR="008E7A10" w14:paraId="746EFAD3" w14:textId="77777777">
        <w:tc>
          <w:tcPr>
            <w:tcW w:w="0" w:type="auto"/>
            <w:gridSpan w:val="3"/>
            <w:shd w:val="clear" w:color="auto" w:fill="auto"/>
            <w:tcMar>
              <w:top w:w="40" w:type="dxa"/>
              <w:left w:w="20" w:type="dxa"/>
              <w:bottom w:w="40" w:type="dxa"/>
              <w:right w:w="20" w:type="dxa"/>
            </w:tcMar>
            <w:vAlign w:val="bottom"/>
          </w:tcPr>
          <w:p w14:paraId="746EFAD0" w14:textId="77777777" w:rsidR="008E7A10" w:rsidRDefault="00E047B2">
            <w:pPr>
              <w:jc w:val="center"/>
              <w:textAlignment w:val="bottom"/>
            </w:pPr>
            <w:r>
              <w:rPr>
                <w:rFonts w:ascii="Arial" w:eastAsia="宋体" w:hAnsi="Arial" w:cs="Arial"/>
                <w:i/>
                <w:iCs/>
                <w:color w:val="000000"/>
                <w:sz w:val="14"/>
                <w:szCs w:val="14"/>
              </w:rPr>
              <w:t>(Title of each class)</w:t>
            </w:r>
          </w:p>
        </w:tc>
        <w:tc>
          <w:tcPr>
            <w:tcW w:w="0" w:type="auto"/>
            <w:gridSpan w:val="6"/>
            <w:shd w:val="clear" w:color="auto" w:fill="auto"/>
            <w:tcMar>
              <w:top w:w="40" w:type="dxa"/>
              <w:left w:w="20" w:type="dxa"/>
              <w:bottom w:w="40" w:type="dxa"/>
              <w:right w:w="20" w:type="dxa"/>
            </w:tcMar>
            <w:vAlign w:val="bottom"/>
          </w:tcPr>
          <w:p w14:paraId="746EFAD1" w14:textId="77777777" w:rsidR="008E7A10" w:rsidRDefault="00E047B2">
            <w:pPr>
              <w:jc w:val="center"/>
              <w:textAlignment w:val="bottom"/>
            </w:pPr>
            <w:r>
              <w:rPr>
                <w:rFonts w:ascii="Arial" w:eastAsia="宋体" w:hAnsi="Arial" w:cs="Arial"/>
                <w:i/>
                <w:iCs/>
                <w:color w:val="000000"/>
                <w:sz w:val="14"/>
                <w:szCs w:val="14"/>
              </w:rPr>
              <w:t>(Trading symbol)</w:t>
            </w:r>
          </w:p>
        </w:tc>
        <w:tc>
          <w:tcPr>
            <w:tcW w:w="0" w:type="auto"/>
            <w:gridSpan w:val="3"/>
            <w:shd w:val="clear" w:color="auto" w:fill="auto"/>
            <w:tcMar>
              <w:top w:w="40" w:type="dxa"/>
              <w:left w:w="20" w:type="dxa"/>
              <w:bottom w:w="40" w:type="dxa"/>
              <w:right w:w="20" w:type="dxa"/>
            </w:tcMar>
            <w:vAlign w:val="bottom"/>
          </w:tcPr>
          <w:p w14:paraId="746EFAD2" w14:textId="77777777" w:rsidR="008E7A10" w:rsidRDefault="00E047B2">
            <w:pPr>
              <w:jc w:val="center"/>
              <w:textAlignment w:val="bottom"/>
            </w:pPr>
            <w:r>
              <w:rPr>
                <w:rFonts w:ascii="Arial" w:eastAsia="宋体" w:hAnsi="Arial" w:cs="Arial"/>
                <w:i/>
                <w:iCs/>
                <w:color w:val="000000"/>
                <w:sz w:val="14"/>
                <w:szCs w:val="14"/>
              </w:rPr>
              <w:t>(Name of each exchange on which registered)</w:t>
            </w:r>
          </w:p>
        </w:tc>
      </w:tr>
    </w:tbl>
    <w:p w14:paraId="746EFAD4" w14:textId="77777777" w:rsidR="008E7A10" w:rsidRDefault="008E7A1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6"/>
        <w:gridCol w:w="41"/>
        <w:gridCol w:w="36"/>
        <w:gridCol w:w="36"/>
        <w:gridCol w:w="45"/>
        <w:gridCol w:w="1265"/>
        <w:gridCol w:w="38"/>
        <w:gridCol w:w="38"/>
        <w:gridCol w:w="151"/>
        <w:gridCol w:w="38"/>
        <w:gridCol w:w="84"/>
        <w:gridCol w:w="952"/>
        <w:gridCol w:w="38"/>
        <w:gridCol w:w="37"/>
        <w:gridCol w:w="62"/>
        <w:gridCol w:w="37"/>
        <w:gridCol w:w="76"/>
        <w:gridCol w:w="1274"/>
        <w:gridCol w:w="38"/>
        <w:gridCol w:w="37"/>
        <w:gridCol w:w="119"/>
        <w:gridCol w:w="37"/>
        <w:gridCol w:w="88"/>
        <w:gridCol w:w="1617"/>
        <w:gridCol w:w="37"/>
        <w:gridCol w:w="37"/>
        <w:gridCol w:w="294"/>
        <w:gridCol w:w="36"/>
        <w:gridCol w:w="53"/>
        <w:gridCol w:w="760"/>
        <w:gridCol w:w="37"/>
        <w:gridCol w:w="52"/>
        <w:gridCol w:w="583"/>
        <w:gridCol w:w="36"/>
        <w:gridCol w:w="36"/>
        <w:gridCol w:w="119"/>
        <w:gridCol w:w="36"/>
      </w:tblGrid>
      <w:tr w:rsidR="008E7A10" w14:paraId="746EFAFA" w14:textId="77777777">
        <w:tc>
          <w:tcPr>
            <w:tcW w:w="5" w:type="pct"/>
            <w:shd w:val="clear" w:color="auto" w:fill="auto"/>
          </w:tcPr>
          <w:p w14:paraId="746EFAD5" w14:textId="77777777" w:rsidR="008E7A10" w:rsidRDefault="008E7A10">
            <w:pPr>
              <w:rPr>
                <w:rFonts w:ascii="宋体"/>
              </w:rPr>
            </w:pPr>
          </w:p>
        </w:tc>
        <w:tc>
          <w:tcPr>
            <w:tcW w:w="59" w:type="pct"/>
            <w:shd w:val="clear" w:color="auto" w:fill="auto"/>
          </w:tcPr>
          <w:p w14:paraId="746EFAD6" w14:textId="77777777" w:rsidR="008E7A10" w:rsidRDefault="008E7A10">
            <w:pPr>
              <w:rPr>
                <w:rFonts w:ascii="宋体"/>
              </w:rPr>
            </w:pPr>
          </w:p>
        </w:tc>
        <w:tc>
          <w:tcPr>
            <w:tcW w:w="5" w:type="pct"/>
            <w:shd w:val="clear" w:color="auto" w:fill="auto"/>
          </w:tcPr>
          <w:p w14:paraId="746EFAD7" w14:textId="77777777" w:rsidR="008E7A10" w:rsidRDefault="008E7A10">
            <w:pPr>
              <w:rPr>
                <w:rFonts w:ascii="宋体"/>
              </w:rPr>
            </w:pPr>
          </w:p>
        </w:tc>
        <w:tc>
          <w:tcPr>
            <w:tcW w:w="0" w:type="auto"/>
            <w:shd w:val="clear" w:color="auto" w:fill="auto"/>
          </w:tcPr>
          <w:p w14:paraId="746EFAD8" w14:textId="77777777" w:rsidR="008E7A10" w:rsidRDefault="008E7A10">
            <w:pPr>
              <w:rPr>
                <w:rFonts w:ascii="宋体"/>
                <w:vanish/>
              </w:rPr>
            </w:pPr>
          </w:p>
        </w:tc>
        <w:tc>
          <w:tcPr>
            <w:tcW w:w="50" w:type="pct"/>
            <w:shd w:val="clear" w:color="auto" w:fill="auto"/>
          </w:tcPr>
          <w:p w14:paraId="746EFAD9" w14:textId="77777777" w:rsidR="008E7A10" w:rsidRDefault="008E7A10">
            <w:pPr>
              <w:rPr>
                <w:rFonts w:ascii="宋体"/>
              </w:rPr>
            </w:pPr>
          </w:p>
        </w:tc>
        <w:tc>
          <w:tcPr>
            <w:tcW w:w="807" w:type="pct"/>
            <w:shd w:val="clear" w:color="auto" w:fill="auto"/>
          </w:tcPr>
          <w:p w14:paraId="746EFADA" w14:textId="77777777" w:rsidR="008E7A10" w:rsidRDefault="008E7A10">
            <w:pPr>
              <w:rPr>
                <w:rFonts w:ascii="宋体"/>
              </w:rPr>
            </w:pPr>
          </w:p>
        </w:tc>
        <w:tc>
          <w:tcPr>
            <w:tcW w:w="5" w:type="pct"/>
            <w:shd w:val="clear" w:color="auto" w:fill="auto"/>
          </w:tcPr>
          <w:p w14:paraId="746EFADB" w14:textId="77777777" w:rsidR="008E7A10" w:rsidRDefault="008E7A10">
            <w:pPr>
              <w:rPr>
                <w:rFonts w:ascii="宋体"/>
              </w:rPr>
            </w:pPr>
          </w:p>
        </w:tc>
        <w:tc>
          <w:tcPr>
            <w:tcW w:w="5" w:type="pct"/>
            <w:shd w:val="clear" w:color="auto" w:fill="auto"/>
          </w:tcPr>
          <w:p w14:paraId="746EFADC" w14:textId="77777777" w:rsidR="008E7A10" w:rsidRDefault="008E7A10">
            <w:pPr>
              <w:rPr>
                <w:rFonts w:ascii="宋体"/>
              </w:rPr>
            </w:pPr>
          </w:p>
        </w:tc>
        <w:tc>
          <w:tcPr>
            <w:tcW w:w="105" w:type="pct"/>
            <w:shd w:val="clear" w:color="auto" w:fill="auto"/>
          </w:tcPr>
          <w:p w14:paraId="746EFADD" w14:textId="77777777" w:rsidR="008E7A10" w:rsidRDefault="008E7A10">
            <w:pPr>
              <w:rPr>
                <w:rFonts w:ascii="宋体"/>
              </w:rPr>
            </w:pPr>
          </w:p>
        </w:tc>
        <w:tc>
          <w:tcPr>
            <w:tcW w:w="5" w:type="pct"/>
            <w:shd w:val="clear" w:color="auto" w:fill="auto"/>
          </w:tcPr>
          <w:p w14:paraId="746EFADE" w14:textId="77777777" w:rsidR="008E7A10" w:rsidRDefault="008E7A10">
            <w:pPr>
              <w:rPr>
                <w:rFonts w:ascii="宋体"/>
              </w:rPr>
            </w:pPr>
          </w:p>
        </w:tc>
        <w:tc>
          <w:tcPr>
            <w:tcW w:w="50" w:type="pct"/>
            <w:shd w:val="clear" w:color="auto" w:fill="auto"/>
          </w:tcPr>
          <w:p w14:paraId="746EFADF" w14:textId="77777777" w:rsidR="008E7A10" w:rsidRDefault="008E7A10">
            <w:pPr>
              <w:rPr>
                <w:rFonts w:ascii="宋体"/>
              </w:rPr>
            </w:pPr>
          </w:p>
        </w:tc>
        <w:tc>
          <w:tcPr>
            <w:tcW w:w="569" w:type="pct"/>
            <w:shd w:val="clear" w:color="auto" w:fill="auto"/>
          </w:tcPr>
          <w:p w14:paraId="746EFAE0" w14:textId="77777777" w:rsidR="008E7A10" w:rsidRDefault="008E7A10">
            <w:pPr>
              <w:rPr>
                <w:rFonts w:ascii="宋体"/>
              </w:rPr>
            </w:pPr>
          </w:p>
        </w:tc>
        <w:tc>
          <w:tcPr>
            <w:tcW w:w="5" w:type="pct"/>
            <w:shd w:val="clear" w:color="auto" w:fill="auto"/>
          </w:tcPr>
          <w:p w14:paraId="746EFAE1" w14:textId="77777777" w:rsidR="008E7A10" w:rsidRDefault="008E7A10">
            <w:pPr>
              <w:rPr>
                <w:rFonts w:ascii="宋体"/>
              </w:rPr>
            </w:pPr>
          </w:p>
        </w:tc>
        <w:tc>
          <w:tcPr>
            <w:tcW w:w="5" w:type="pct"/>
            <w:shd w:val="clear" w:color="auto" w:fill="auto"/>
          </w:tcPr>
          <w:p w14:paraId="746EFAE2" w14:textId="77777777" w:rsidR="008E7A10" w:rsidRDefault="008E7A10">
            <w:pPr>
              <w:rPr>
                <w:rFonts w:ascii="宋体"/>
              </w:rPr>
            </w:pPr>
          </w:p>
        </w:tc>
        <w:tc>
          <w:tcPr>
            <w:tcW w:w="90" w:type="pct"/>
            <w:shd w:val="clear" w:color="auto" w:fill="auto"/>
          </w:tcPr>
          <w:p w14:paraId="746EFAE3" w14:textId="77777777" w:rsidR="008E7A10" w:rsidRDefault="008E7A10">
            <w:pPr>
              <w:rPr>
                <w:rFonts w:ascii="宋体"/>
              </w:rPr>
            </w:pPr>
          </w:p>
        </w:tc>
        <w:tc>
          <w:tcPr>
            <w:tcW w:w="5" w:type="pct"/>
            <w:shd w:val="clear" w:color="auto" w:fill="auto"/>
          </w:tcPr>
          <w:p w14:paraId="746EFAE4" w14:textId="77777777" w:rsidR="008E7A10" w:rsidRDefault="008E7A10">
            <w:pPr>
              <w:rPr>
                <w:rFonts w:ascii="宋体"/>
              </w:rPr>
            </w:pPr>
          </w:p>
        </w:tc>
        <w:tc>
          <w:tcPr>
            <w:tcW w:w="50" w:type="pct"/>
            <w:shd w:val="clear" w:color="auto" w:fill="auto"/>
          </w:tcPr>
          <w:p w14:paraId="746EFAE5" w14:textId="77777777" w:rsidR="008E7A10" w:rsidRDefault="008E7A10">
            <w:pPr>
              <w:rPr>
                <w:rFonts w:ascii="宋体"/>
              </w:rPr>
            </w:pPr>
          </w:p>
        </w:tc>
        <w:tc>
          <w:tcPr>
            <w:tcW w:w="830" w:type="pct"/>
            <w:shd w:val="clear" w:color="auto" w:fill="auto"/>
          </w:tcPr>
          <w:p w14:paraId="746EFAE6" w14:textId="77777777" w:rsidR="008E7A10" w:rsidRDefault="008E7A10">
            <w:pPr>
              <w:rPr>
                <w:rFonts w:ascii="宋体"/>
              </w:rPr>
            </w:pPr>
          </w:p>
        </w:tc>
        <w:tc>
          <w:tcPr>
            <w:tcW w:w="5" w:type="pct"/>
            <w:shd w:val="clear" w:color="auto" w:fill="auto"/>
          </w:tcPr>
          <w:p w14:paraId="746EFAE7" w14:textId="77777777" w:rsidR="008E7A10" w:rsidRDefault="008E7A10">
            <w:pPr>
              <w:rPr>
                <w:rFonts w:ascii="宋体"/>
              </w:rPr>
            </w:pPr>
          </w:p>
        </w:tc>
        <w:tc>
          <w:tcPr>
            <w:tcW w:w="5" w:type="pct"/>
            <w:shd w:val="clear" w:color="auto" w:fill="auto"/>
          </w:tcPr>
          <w:p w14:paraId="746EFAE8" w14:textId="77777777" w:rsidR="008E7A10" w:rsidRDefault="008E7A10">
            <w:pPr>
              <w:rPr>
                <w:rFonts w:ascii="宋体"/>
              </w:rPr>
            </w:pPr>
          </w:p>
        </w:tc>
        <w:tc>
          <w:tcPr>
            <w:tcW w:w="105" w:type="pct"/>
            <w:shd w:val="clear" w:color="auto" w:fill="auto"/>
          </w:tcPr>
          <w:p w14:paraId="746EFAE9" w14:textId="77777777" w:rsidR="008E7A10" w:rsidRDefault="008E7A10">
            <w:pPr>
              <w:rPr>
                <w:rFonts w:ascii="宋体"/>
              </w:rPr>
            </w:pPr>
          </w:p>
        </w:tc>
        <w:tc>
          <w:tcPr>
            <w:tcW w:w="5" w:type="pct"/>
            <w:shd w:val="clear" w:color="auto" w:fill="auto"/>
          </w:tcPr>
          <w:p w14:paraId="746EFAEA" w14:textId="77777777" w:rsidR="008E7A10" w:rsidRDefault="008E7A10">
            <w:pPr>
              <w:rPr>
                <w:rFonts w:ascii="宋体"/>
              </w:rPr>
            </w:pPr>
          </w:p>
        </w:tc>
        <w:tc>
          <w:tcPr>
            <w:tcW w:w="50" w:type="pct"/>
            <w:shd w:val="clear" w:color="auto" w:fill="auto"/>
          </w:tcPr>
          <w:p w14:paraId="746EFAEB" w14:textId="77777777" w:rsidR="008E7A10" w:rsidRDefault="008E7A10">
            <w:pPr>
              <w:rPr>
                <w:rFonts w:ascii="宋体"/>
              </w:rPr>
            </w:pPr>
          </w:p>
        </w:tc>
        <w:tc>
          <w:tcPr>
            <w:tcW w:w="923" w:type="pct"/>
            <w:shd w:val="clear" w:color="auto" w:fill="auto"/>
          </w:tcPr>
          <w:p w14:paraId="746EFAEC" w14:textId="77777777" w:rsidR="008E7A10" w:rsidRDefault="008E7A10">
            <w:pPr>
              <w:rPr>
                <w:rFonts w:ascii="宋体"/>
              </w:rPr>
            </w:pPr>
          </w:p>
        </w:tc>
        <w:tc>
          <w:tcPr>
            <w:tcW w:w="5" w:type="pct"/>
            <w:shd w:val="clear" w:color="auto" w:fill="auto"/>
          </w:tcPr>
          <w:p w14:paraId="746EFAED" w14:textId="77777777" w:rsidR="008E7A10" w:rsidRDefault="008E7A10">
            <w:pPr>
              <w:rPr>
                <w:rFonts w:ascii="宋体"/>
              </w:rPr>
            </w:pPr>
          </w:p>
        </w:tc>
        <w:tc>
          <w:tcPr>
            <w:tcW w:w="5" w:type="pct"/>
            <w:shd w:val="clear" w:color="auto" w:fill="auto"/>
          </w:tcPr>
          <w:p w14:paraId="746EFAEE" w14:textId="77777777" w:rsidR="008E7A10" w:rsidRDefault="008E7A10">
            <w:pPr>
              <w:rPr>
                <w:rFonts w:ascii="宋体"/>
              </w:rPr>
            </w:pPr>
          </w:p>
        </w:tc>
        <w:tc>
          <w:tcPr>
            <w:tcW w:w="105" w:type="pct"/>
            <w:shd w:val="clear" w:color="auto" w:fill="auto"/>
          </w:tcPr>
          <w:p w14:paraId="746EFAEF" w14:textId="77777777" w:rsidR="008E7A10" w:rsidRDefault="008E7A10">
            <w:pPr>
              <w:rPr>
                <w:rFonts w:ascii="宋体"/>
              </w:rPr>
            </w:pPr>
          </w:p>
        </w:tc>
        <w:tc>
          <w:tcPr>
            <w:tcW w:w="5" w:type="pct"/>
            <w:shd w:val="clear" w:color="auto" w:fill="auto"/>
          </w:tcPr>
          <w:p w14:paraId="746EFAF0" w14:textId="77777777" w:rsidR="008E7A10" w:rsidRDefault="008E7A10">
            <w:pPr>
              <w:rPr>
                <w:rFonts w:ascii="宋体"/>
              </w:rPr>
            </w:pPr>
          </w:p>
        </w:tc>
        <w:tc>
          <w:tcPr>
            <w:tcW w:w="50" w:type="pct"/>
            <w:shd w:val="clear" w:color="auto" w:fill="auto"/>
          </w:tcPr>
          <w:p w14:paraId="746EFAF1" w14:textId="77777777" w:rsidR="008E7A10" w:rsidRDefault="008E7A10">
            <w:pPr>
              <w:rPr>
                <w:rFonts w:ascii="宋体"/>
              </w:rPr>
            </w:pPr>
          </w:p>
        </w:tc>
        <w:tc>
          <w:tcPr>
            <w:tcW w:w="507" w:type="pct"/>
            <w:shd w:val="clear" w:color="auto" w:fill="auto"/>
          </w:tcPr>
          <w:p w14:paraId="746EFAF2" w14:textId="77777777" w:rsidR="008E7A10" w:rsidRDefault="008E7A10">
            <w:pPr>
              <w:rPr>
                <w:rFonts w:ascii="宋体"/>
              </w:rPr>
            </w:pPr>
          </w:p>
        </w:tc>
        <w:tc>
          <w:tcPr>
            <w:tcW w:w="5" w:type="pct"/>
            <w:shd w:val="clear" w:color="auto" w:fill="auto"/>
          </w:tcPr>
          <w:p w14:paraId="746EFAF3" w14:textId="77777777" w:rsidR="008E7A10" w:rsidRDefault="008E7A10">
            <w:pPr>
              <w:rPr>
                <w:rFonts w:ascii="宋体"/>
              </w:rPr>
            </w:pPr>
          </w:p>
        </w:tc>
        <w:tc>
          <w:tcPr>
            <w:tcW w:w="50" w:type="pct"/>
            <w:shd w:val="clear" w:color="auto" w:fill="auto"/>
          </w:tcPr>
          <w:p w14:paraId="746EFAF4" w14:textId="77777777" w:rsidR="008E7A10" w:rsidRDefault="008E7A10">
            <w:pPr>
              <w:rPr>
                <w:rFonts w:ascii="宋体"/>
              </w:rPr>
            </w:pPr>
          </w:p>
        </w:tc>
        <w:tc>
          <w:tcPr>
            <w:tcW w:w="399" w:type="pct"/>
            <w:shd w:val="clear" w:color="auto" w:fill="auto"/>
          </w:tcPr>
          <w:p w14:paraId="746EFAF5" w14:textId="77777777" w:rsidR="008E7A10" w:rsidRDefault="008E7A10">
            <w:pPr>
              <w:rPr>
                <w:rFonts w:ascii="宋体"/>
              </w:rPr>
            </w:pPr>
          </w:p>
        </w:tc>
        <w:tc>
          <w:tcPr>
            <w:tcW w:w="5" w:type="pct"/>
            <w:shd w:val="clear" w:color="auto" w:fill="auto"/>
          </w:tcPr>
          <w:p w14:paraId="746EFAF6" w14:textId="77777777" w:rsidR="008E7A10" w:rsidRDefault="008E7A10">
            <w:pPr>
              <w:rPr>
                <w:rFonts w:ascii="宋体"/>
              </w:rPr>
            </w:pPr>
          </w:p>
        </w:tc>
        <w:tc>
          <w:tcPr>
            <w:tcW w:w="5" w:type="pct"/>
            <w:shd w:val="clear" w:color="auto" w:fill="auto"/>
          </w:tcPr>
          <w:p w14:paraId="746EFAF7" w14:textId="77777777" w:rsidR="008E7A10" w:rsidRDefault="008E7A10">
            <w:pPr>
              <w:rPr>
                <w:rFonts w:ascii="宋体"/>
              </w:rPr>
            </w:pPr>
          </w:p>
        </w:tc>
        <w:tc>
          <w:tcPr>
            <w:tcW w:w="105" w:type="pct"/>
            <w:shd w:val="clear" w:color="auto" w:fill="auto"/>
          </w:tcPr>
          <w:p w14:paraId="746EFAF8" w14:textId="77777777" w:rsidR="008E7A10" w:rsidRDefault="008E7A10">
            <w:pPr>
              <w:rPr>
                <w:rFonts w:ascii="宋体"/>
              </w:rPr>
            </w:pPr>
          </w:p>
        </w:tc>
        <w:tc>
          <w:tcPr>
            <w:tcW w:w="5" w:type="pct"/>
            <w:shd w:val="clear" w:color="auto" w:fill="auto"/>
          </w:tcPr>
          <w:p w14:paraId="746EFAF9" w14:textId="77777777" w:rsidR="008E7A10" w:rsidRDefault="008E7A10">
            <w:pPr>
              <w:rPr>
                <w:rFonts w:ascii="宋体"/>
              </w:rPr>
            </w:pPr>
          </w:p>
        </w:tc>
      </w:tr>
      <w:tr w:rsidR="008E7A10" w14:paraId="746EFB02" w14:textId="77777777">
        <w:tc>
          <w:tcPr>
            <w:tcW w:w="0" w:type="auto"/>
            <w:gridSpan w:val="22"/>
            <w:tcBorders>
              <w:bottom w:val="single" w:sz="8" w:space="0" w:color="E87722"/>
            </w:tcBorders>
            <w:shd w:val="clear" w:color="auto" w:fill="auto"/>
            <w:tcMar>
              <w:top w:w="40" w:type="dxa"/>
              <w:left w:w="20" w:type="dxa"/>
              <w:bottom w:w="40" w:type="dxa"/>
              <w:right w:w="20" w:type="dxa"/>
            </w:tcMar>
            <w:vAlign w:val="bottom"/>
          </w:tcPr>
          <w:p w14:paraId="746EFAFB" w14:textId="77777777" w:rsidR="008E7A10" w:rsidRDefault="00E047B2">
            <w:pPr>
              <w:textAlignment w:val="bottom"/>
            </w:pPr>
            <w:r>
              <w:rPr>
                <w:rFonts w:ascii="Arial" w:eastAsia="宋体" w:hAnsi="Arial" w:cs="Arial"/>
                <w:b/>
                <w:bCs/>
                <w:color w:val="000000"/>
                <w:sz w:val="14"/>
                <w:szCs w:val="14"/>
              </w:rPr>
              <w:t>Indicate by check mark:</w:t>
            </w:r>
          </w:p>
        </w:tc>
        <w:tc>
          <w:tcPr>
            <w:tcW w:w="0" w:type="auto"/>
            <w:gridSpan w:val="3"/>
            <w:shd w:val="clear" w:color="auto" w:fill="auto"/>
            <w:tcMar>
              <w:top w:w="0" w:type="dxa"/>
              <w:left w:w="20" w:type="dxa"/>
              <w:bottom w:w="0" w:type="dxa"/>
              <w:right w:w="20" w:type="dxa"/>
            </w:tcMar>
          </w:tcPr>
          <w:p w14:paraId="746EFAFC" w14:textId="77777777" w:rsidR="008E7A10" w:rsidRDefault="008E7A10">
            <w:pPr>
              <w:rPr>
                <w:rFonts w:ascii="宋体"/>
              </w:rPr>
            </w:pPr>
          </w:p>
        </w:tc>
        <w:tc>
          <w:tcPr>
            <w:tcW w:w="0" w:type="auto"/>
            <w:gridSpan w:val="3"/>
            <w:shd w:val="clear" w:color="auto" w:fill="auto"/>
            <w:tcMar>
              <w:top w:w="40" w:type="dxa"/>
              <w:left w:w="20" w:type="dxa"/>
              <w:bottom w:w="40" w:type="dxa"/>
              <w:right w:w="20" w:type="dxa"/>
            </w:tcMar>
            <w:vAlign w:val="bottom"/>
          </w:tcPr>
          <w:p w14:paraId="746EFAFD" w14:textId="77777777" w:rsidR="008E7A10" w:rsidRDefault="00E047B2">
            <w:pPr>
              <w:jc w:val="center"/>
              <w:textAlignment w:val="bottom"/>
            </w:pPr>
            <w:r>
              <w:rPr>
                <w:rFonts w:ascii="Arial" w:eastAsia="宋体" w:hAnsi="Arial" w:cs="Arial"/>
                <w:b/>
                <w:bCs/>
                <w:color w:val="000000"/>
                <w:sz w:val="14"/>
                <w:szCs w:val="14"/>
              </w:rPr>
              <w:t>YES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746EFAFE" w14:textId="77777777" w:rsidR="008E7A10" w:rsidRDefault="00E047B2">
            <w:pPr>
              <w:jc w:val="center"/>
              <w:textAlignment w:val="bottom"/>
            </w:pPr>
            <w:r>
              <w:rPr>
                <w:rFonts w:ascii="Arial" w:eastAsia="宋体" w:hAnsi="Arial" w:cs="Arial"/>
                <w:b/>
                <w:bCs/>
                <w:color w:val="000000"/>
                <w:sz w:val="14"/>
                <w:szCs w:val="14"/>
              </w:rPr>
              <w:t>NO</w:t>
            </w:r>
          </w:p>
        </w:tc>
        <w:tc>
          <w:tcPr>
            <w:tcW w:w="0" w:type="auto"/>
            <w:shd w:val="clear" w:color="auto" w:fill="auto"/>
          </w:tcPr>
          <w:p w14:paraId="746EFAFF" w14:textId="77777777" w:rsidR="008E7A10" w:rsidRDefault="008E7A10">
            <w:pPr>
              <w:rPr>
                <w:rFonts w:ascii="宋体"/>
              </w:rPr>
            </w:pPr>
          </w:p>
        </w:tc>
        <w:tc>
          <w:tcPr>
            <w:tcW w:w="0" w:type="auto"/>
            <w:shd w:val="clear" w:color="auto" w:fill="auto"/>
          </w:tcPr>
          <w:p w14:paraId="746EFB00" w14:textId="77777777" w:rsidR="008E7A10" w:rsidRDefault="008E7A10">
            <w:pPr>
              <w:rPr>
                <w:rFonts w:ascii="宋体"/>
              </w:rPr>
            </w:pPr>
          </w:p>
        </w:tc>
        <w:tc>
          <w:tcPr>
            <w:tcW w:w="0" w:type="auto"/>
            <w:shd w:val="clear" w:color="auto" w:fill="auto"/>
          </w:tcPr>
          <w:p w14:paraId="746EFB01" w14:textId="77777777" w:rsidR="008E7A10" w:rsidRDefault="008E7A10">
            <w:pPr>
              <w:rPr>
                <w:rFonts w:ascii="宋体"/>
              </w:rPr>
            </w:pPr>
          </w:p>
        </w:tc>
      </w:tr>
      <w:tr w:rsidR="008E7A10" w14:paraId="746EFB09" w14:textId="77777777">
        <w:tc>
          <w:tcPr>
            <w:tcW w:w="0" w:type="auto"/>
            <w:gridSpan w:val="3"/>
            <w:tcBorders>
              <w:top w:val="single" w:sz="8" w:space="0" w:color="E87722"/>
            </w:tcBorders>
            <w:shd w:val="clear" w:color="auto" w:fill="auto"/>
            <w:tcMar>
              <w:top w:w="40" w:type="dxa"/>
              <w:left w:w="20" w:type="dxa"/>
              <w:bottom w:w="40" w:type="dxa"/>
              <w:right w:w="20" w:type="dxa"/>
            </w:tcMar>
          </w:tcPr>
          <w:p w14:paraId="746EFB03" w14:textId="77777777" w:rsidR="008E7A10" w:rsidRDefault="00E047B2">
            <w:pPr>
              <w:jc w:val="center"/>
              <w:textAlignment w:val="top"/>
            </w:pPr>
            <w:r>
              <w:rPr>
                <w:rFonts w:ascii="Arial" w:eastAsia="宋体" w:hAnsi="Arial" w:cs="Arial"/>
                <w:color w:val="E87722"/>
                <w:sz w:val="16"/>
                <w:szCs w:val="16"/>
              </w:rPr>
              <w:t>•</w:t>
            </w:r>
          </w:p>
        </w:tc>
        <w:tc>
          <w:tcPr>
            <w:tcW w:w="0" w:type="auto"/>
            <w:shd w:val="clear" w:color="auto" w:fill="auto"/>
          </w:tcPr>
          <w:p w14:paraId="746EFB04" w14:textId="77777777" w:rsidR="008E7A10" w:rsidRDefault="008E7A10">
            <w:pPr>
              <w:rPr>
                <w:rFonts w:ascii="宋体"/>
                <w:vanish/>
              </w:rPr>
            </w:pPr>
          </w:p>
        </w:tc>
        <w:tc>
          <w:tcPr>
            <w:tcW w:w="0" w:type="auto"/>
            <w:gridSpan w:val="21"/>
            <w:tcBorders>
              <w:top w:val="single" w:sz="8" w:space="0" w:color="E87722"/>
              <w:bottom w:val="single" w:sz="8" w:space="0" w:color="808080"/>
            </w:tcBorders>
            <w:shd w:val="clear" w:color="auto" w:fill="auto"/>
            <w:tcMar>
              <w:top w:w="40" w:type="dxa"/>
              <w:left w:w="20" w:type="dxa"/>
              <w:bottom w:w="40" w:type="dxa"/>
              <w:right w:w="20" w:type="dxa"/>
            </w:tcMar>
          </w:tcPr>
          <w:p w14:paraId="746EFB05" w14:textId="77777777" w:rsidR="008E7A10" w:rsidRDefault="00E047B2">
            <w:pPr>
              <w:textAlignment w:val="top"/>
            </w:pPr>
            <w:r>
              <w:rPr>
                <w:rFonts w:ascii="Arial" w:eastAsia="宋体" w:hAnsi="Arial" w:cs="Arial"/>
                <w:color w:val="000000"/>
                <w:sz w:val="14"/>
                <w:szCs w:val="14"/>
              </w:rPr>
              <w:t xml:space="preserve">whether the registrant (1) has filed </w:t>
            </w:r>
            <w:r>
              <w:rPr>
                <w:rFonts w:ascii="Arial" w:eastAsia="宋体" w:hAnsi="Arial" w:cs="Arial"/>
                <w:color w:val="000000"/>
                <w:sz w:val="14"/>
                <w:szCs w:val="14"/>
              </w:rPr>
              <w:t>all reports required to be filed by Section 13 or 15(d) of the Securities Exchange Act of 1934 during the preceding 12 months (or for such shorter period that the registrant was required to file such reports), and (2) has been subject to such filing requir</w:t>
            </w:r>
            <w:r>
              <w:rPr>
                <w:rFonts w:ascii="Arial" w:eastAsia="宋体" w:hAnsi="Arial" w:cs="Arial"/>
                <w:color w:val="000000"/>
                <w:sz w:val="14"/>
                <w:szCs w:val="14"/>
              </w:rPr>
              <w:t>ements for the past 90 days.</w:t>
            </w:r>
          </w:p>
        </w:tc>
        <w:tc>
          <w:tcPr>
            <w:tcW w:w="0" w:type="auto"/>
            <w:gridSpan w:val="3"/>
            <w:tcBorders>
              <w:top w:val="single" w:sz="8" w:space="0" w:color="E87722"/>
            </w:tcBorders>
            <w:shd w:val="clear" w:color="auto" w:fill="auto"/>
            <w:tcMar>
              <w:top w:w="0" w:type="dxa"/>
              <w:left w:w="20" w:type="dxa"/>
              <w:bottom w:w="0" w:type="dxa"/>
              <w:right w:w="20" w:type="dxa"/>
            </w:tcMar>
          </w:tcPr>
          <w:p w14:paraId="746EFB06"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746EFB07" w14:textId="77777777" w:rsidR="008E7A10" w:rsidRDefault="00E047B2">
            <w:pPr>
              <w:jc w:val="center"/>
              <w:textAlignment w:val="top"/>
            </w:pPr>
            <w:r>
              <w:rPr>
                <w:rFonts w:ascii="Wingdings" w:eastAsia="宋体" w:hAnsi="Wingdings" w:cs="Wingdings"/>
                <w:color w:val="000000"/>
                <w:sz w:val="14"/>
                <w:szCs w:val="14"/>
              </w:rPr>
              <w:t>þ</w:t>
            </w:r>
          </w:p>
        </w:tc>
        <w:tc>
          <w:tcPr>
            <w:tcW w:w="0" w:type="auto"/>
            <w:gridSpan w:val="6"/>
            <w:tcBorders>
              <w:top w:val="single" w:sz="8" w:space="0" w:color="E87722"/>
              <w:bottom w:val="single" w:sz="8" w:space="0" w:color="808080"/>
            </w:tcBorders>
            <w:shd w:val="clear" w:color="auto" w:fill="auto"/>
            <w:tcMar>
              <w:top w:w="40" w:type="dxa"/>
              <w:left w:w="20" w:type="dxa"/>
              <w:bottom w:w="40" w:type="dxa"/>
              <w:right w:w="20" w:type="dxa"/>
            </w:tcMar>
          </w:tcPr>
          <w:p w14:paraId="746EFB08" w14:textId="77777777" w:rsidR="008E7A10" w:rsidRDefault="00E047B2">
            <w:pPr>
              <w:jc w:val="center"/>
              <w:textAlignment w:val="top"/>
            </w:pPr>
            <w:r>
              <w:rPr>
                <w:rFonts w:ascii="Wingdings" w:eastAsia="宋体" w:hAnsi="Wingdings" w:cs="Wingdings"/>
                <w:color w:val="000000"/>
                <w:sz w:val="14"/>
                <w:szCs w:val="14"/>
              </w:rPr>
              <w:t>☐</w:t>
            </w:r>
          </w:p>
        </w:tc>
      </w:tr>
      <w:tr w:rsidR="008E7A10" w14:paraId="746EFB10"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EFB0A" w14:textId="77777777" w:rsidR="008E7A10" w:rsidRDefault="00E047B2">
            <w:pPr>
              <w:jc w:val="center"/>
              <w:textAlignment w:val="top"/>
            </w:pPr>
            <w:r>
              <w:rPr>
                <w:rFonts w:ascii="Arial" w:eastAsia="宋体" w:hAnsi="Arial" w:cs="Arial"/>
                <w:color w:val="E87722"/>
                <w:sz w:val="16"/>
                <w:szCs w:val="16"/>
              </w:rPr>
              <w:t>•</w:t>
            </w:r>
          </w:p>
        </w:tc>
        <w:tc>
          <w:tcPr>
            <w:tcW w:w="0" w:type="auto"/>
            <w:shd w:val="clear" w:color="auto" w:fill="auto"/>
          </w:tcPr>
          <w:p w14:paraId="746EFB0B" w14:textId="77777777" w:rsidR="008E7A10" w:rsidRDefault="008E7A10">
            <w:pPr>
              <w:rPr>
                <w:rFonts w:ascii="宋体"/>
                <w:vanish/>
              </w:rPr>
            </w:pPr>
          </w:p>
        </w:tc>
        <w:tc>
          <w:tcPr>
            <w:tcW w:w="0" w:type="auto"/>
            <w:gridSpan w:val="21"/>
            <w:tcBorders>
              <w:top w:val="single" w:sz="8" w:space="0" w:color="808080"/>
              <w:bottom w:val="single" w:sz="8" w:space="0" w:color="808080"/>
            </w:tcBorders>
            <w:shd w:val="clear" w:color="auto" w:fill="auto"/>
            <w:tcMar>
              <w:top w:w="40" w:type="dxa"/>
              <w:left w:w="20" w:type="dxa"/>
              <w:bottom w:w="40" w:type="dxa"/>
              <w:right w:w="20" w:type="dxa"/>
            </w:tcMar>
          </w:tcPr>
          <w:p w14:paraId="746EFB0C" w14:textId="77777777" w:rsidR="008E7A10" w:rsidRDefault="00E047B2">
            <w:pPr>
              <w:textAlignment w:val="top"/>
            </w:pPr>
            <w:r>
              <w:rPr>
                <w:rFonts w:ascii="Arial" w:eastAsia="宋体" w:hAnsi="Arial" w:cs="Arial"/>
                <w:color w:val="000000"/>
                <w:sz w:val="14"/>
                <w:szCs w:val="14"/>
              </w:rPr>
              <w:t xml:space="preserve">whether the registrant has submitted electronically every Interactive Data File required to be submitted pursuant to Rule 405 of Regulation S-T (§232.405 of this chapter) during the preceding 12 months (or for such </w:t>
            </w:r>
            <w:r>
              <w:rPr>
                <w:rFonts w:ascii="Arial" w:eastAsia="宋体" w:hAnsi="Arial" w:cs="Arial"/>
                <w:color w:val="000000"/>
                <w:sz w:val="14"/>
                <w:szCs w:val="14"/>
              </w:rPr>
              <w:t>shorter period that the registrant was required to submit such files).</w:t>
            </w:r>
          </w:p>
        </w:tc>
        <w:tc>
          <w:tcPr>
            <w:tcW w:w="0" w:type="auto"/>
            <w:gridSpan w:val="3"/>
            <w:tcBorders>
              <w:top w:val="single" w:sz="8" w:space="0" w:color="808080"/>
              <w:bottom w:val="single" w:sz="8" w:space="0" w:color="808080"/>
            </w:tcBorders>
            <w:shd w:val="clear" w:color="auto" w:fill="auto"/>
            <w:tcMar>
              <w:top w:w="0" w:type="dxa"/>
              <w:left w:w="20" w:type="dxa"/>
              <w:bottom w:w="0" w:type="dxa"/>
              <w:right w:w="20" w:type="dxa"/>
            </w:tcMar>
          </w:tcPr>
          <w:p w14:paraId="746EFB0D" w14:textId="77777777" w:rsidR="008E7A10" w:rsidRDefault="008E7A10">
            <w:pPr>
              <w:rPr>
                <w:rFonts w:ascii="宋体"/>
              </w:rPr>
            </w:pPr>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tcPr>
          <w:p w14:paraId="746EFB0E" w14:textId="77777777" w:rsidR="008E7A10" w:rsidRDefault="00E047B2">
            <w:pPr>
              <w:jc w:val="center"/>
              <w:textAlignment w:val="top"/>
            </w:pPr>
            <w:r>
              <w:rPr>
                <w:rFonts w:ascii="Wingdings" w:eastAsia="宋体" w:hAnsi="Wingdings" w:cs="Wingdings"/>
                <w:color w:val="000000"/>
                <w:sz w:val="14"/>
                <w:szCs w:val="14"/>
              </w:rPr>
              <w:t>þ</w:t>
            </w:r>
          </w:p>
        </w:tc>
        <w:tc>
          <w:tcPr>
            <w:tcW w:w="0" w:type="auto"/>
            <w:gridSpan w:val="6"/>
            <w:tcBorders>
              <w:top w:val="single" w:sz="8" w:space="0" w:color="808080"/>
              <w:bottom w:val="single" w:sz="8" w:space="0" w:color="808080"/>
            </w:tcBorders>
            <w:shd w:val="clear" w:color="auto" w:fill="auto"/>
            <w:tcMar>
              <w:top w:w="40" w:type="dxa"/>
              <w:left w:w="20" w:type="dxa"/>
              <w:bottom w:w="40" w:type="dxa"/>
              <w:right w:w="20" w:type="dxa"/>
            </w:tcMar>
          </w:tcPr>
          <w:p w14:paraId="746EFB0F" w14:textId="77777777" w:rsidR="008E7A10" w:rsidRDefault="00E047B2">
            <w:pPr>
              <w:jc w:val="center"/>
              <w:textAlignment w:val="top"/>
            </w:pPr>
            <w:r>
              <w:rPr>
                <w:rFonts w:ascii="Wingdings" w:eastAsia="宋体" w:hAnsi="Wingdings" w:cs="Wingdings"/>
                <w:color w:val="000000"/>
                <w:sz w:val="14"/>
                <w:szCs w:val="14"/>
              </w:rPr>
              <w:t>☐</w:t>
            </w:r>
          </w:p>
        </w:tc>
      </w:tr>
      <w:tr w:rsidR="008E7A10" w14:paraId="746EFB14"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EFB11" w14:textId="77777777" w:rsidR="008E7A10" w:rsidRDefault="00E047B2">
            <w:pPr>
              <w:jc w:val="center"/>
              <w:textAlignment w:val="top"/>
            </w:pPr>
            <w:r>
              <w:rPr>
                <w:rFonts w:ascii="Arial" w:eastAsia="宋体" w:hAnsi="Arial" w:cs="Arial"/>
                <w:color w:val="E87722"/>
                <w:sz w:val="16"/>
                <w:szCs w:val="16"/>
              </w:rPr>
              <w:t>•</w:t>
            </w:r>
          </w:p>
        </w:tc>
        <w:tc>
          <w:tcPr>
            <w:tcW w:w="0" w:type="auto"/>
            <w:shd w:val="clear" w:color="auto" w:fill="auto"/>
          </w:tcPr>
          <w:p w14:paraId="746EFB12" w14:textId="77777777" w:rsidR="008E7A10" w:rsidRDefault="008E7A10">
            <w:pPr>
              <w:rPr>
                <w:rFonts w:ascii="宋体"/>
                <w:vanish/>
              </w:rPr>
            </w:pPr>
          </w:p>
        </w:tc>
        <w:tc>
          <w:tcPr>
            <w:tcW w:w="0" w:type="auto"/>
            <w:gridSpan w:val="33"/>
            <w:tcBorders>
              <w:top w:val="single" w:sz="8" w:space="0" w:color="808080"/>
            </w:tcBorders>
            <w:shd w:val="clear" w:color="auto" w:fill="auto"/>
            <w:tcMar>
              <w:top w:w="40" w:type="dxa"/>
              <w:left w:w="20" w:type="dxa"/>
              <w:bottom w:w="40" w:type="dxa"/>
              <w:right w:w="20" w:type="dxa"/>
            </w:tcMar>
          </w:tcPr>
          <w:p w14:paraId="746EFB13" w14:textId="77777777" w:rsidR="008E7A10" w:rsidRDefault="00E047B2">
            <w:pPr>
              <w:textAlignment w:val="top"/>
            </w:pPr>
            <w:r>
              <w:rPr>
                <w:rFonts w:ascii="Arial" w:eastAsia="宋体" w:hAnsi="Arial" w:cs="Arial"/>
                <w:color w:val="000000"/>
                <w:sz w:val="14"/>
                <w:szCs w:val="14"/>
              </w:rPr>
              <w:t xml:space="preserve">whether the registrant is a large accelerated filer, an accelerated filer, a non-accelerated filer, a smaller reporting company, or an emerging growth company. See the </w:t>
            </w:r>
            <w:r>
              <w:rPr>
                <w:rFonts w:ascii="Arial" w:eastAsia="宋体" w:hAnsi="Arial" w:cs="Arial"/>
                <w:color w:val="000000"/>
                <w:sz w:val="14"/>
                <w:szCs w:val="14"/>
              </w:rPr>
              <w:t>definitions of “large accelerated filer,” “accelerated filer,” “smaller reporting company,” and “emerging growth company” in Rule 12b-2 of the Exchange Act.</w:t>
            </w:r>
          </w:p>
        </w:tc>
      </w:tr>
      <w:tr w:rsidR="008E7A10" w14:paraId="746EFB21" w14:textId="77777777">
        <w:tc>
          <w:tcPr>
            <w:tcW w:w="0" w:type="auto"/>
            <w:gridSpan w:val="3"/>
            <w:shd w:val="clear" w:color="auto" w:fill="auto"/>
            <w:tcMar>
              <w:top w:w="0" w:type="dxa"/>
              <w:left w:w="20" w:type="dxa"/>
              <w:bottom w:w="0" w:type="dxa"/>
              <w:right w:w="20" w:type="dxa"/>
            </w:tcMar>
          </w:tcPr>
          <w:p w14:paraId="746EFB15" w14:textId="77777777" w:rsidR="008E7A10" w:rsidRDefault="008E7A10">
            <w:pPr>
              <w:rPr>
                <w:rFonts w:ascii="宋体"/>
              </w:rPr>
            </w:pPr>
          </w:p>
        </w:tc>
        <w:tc>
          <w:tcPr>
            <w:tcW w:w="0" w:type="auto"/>
            <w:shd w:val="clear" w:color="auto" w:fill="auto"/>
          </w:tcPr>
          <w:p w14:paraId="746EFB16" w14:textId="77777777" w:rsidR="008E7A10" w:rsidRDefault="008E7A10">
            <w:pPr>
              <w:rPr>
                <w:rFonts w:ascii="宋体"/>
                <w:vanish/>
              </w:rPr>
            </w:pPr>
          </w:p>
        </w:tc>
        <w:tc>
          <w:tcPr>
            <w:tcW w:w="0" w:type="auto"/>
            <w:gridSpan w:val="3"/>
            <w:shd w:val="clear" w:color="auto" w:fill="auto"/>
            <w:tcMar>
              <w:top w:w="40" w:type="dxa"/>
              <w:left w:w="20" w:type="dxa"/>
              <w:bottom w:w="40" w:type="dxa"/>
              <w:right w:w="20" w:type="dxa"/>
            </w:tcMar>
            <w:vAlign w:val="bottom"/>
          </w:tcPr>
          <w:p w14:paraId="746EFB17" w14:textId="77777777" w:rsidR="008E7A10" w:rsidRDefault="00E047B2">
            <w:pPr>
              <w:jc w:val="center"/>
              <w:textAlignment w:val="bottom"/>
            </w:pPr>
            <w:r>
              <w:rPr>
                <w:rFonts w:ascii="Arial" w:eastAsia="宋体" w:hAnsi="Arial" w:cs="Arial"/>
                <w:color w:val="000000"/>
                <w:sz w:val="14"/>
                <w:szCs w:val="14"/>
              </w:rPr>
              <w:t>Large accelerated filer</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746EFB18" w14:textId="77777777" w:rsidR="008E7A10" w:rsidRDefault="00E047B2">
            <w:pPr>
              <w:jc w:val="center"/>
              <w:textAlignment w:val="bottom"/>
            </w:pPr>
            <w:r>
              <w:rPr>
                <w:rFonts w:ascii="Wingdings" w:eastAsia="宋体" w:hAnsi="Wingdings" w:cs="Wingdings"/>
                <w:color w:val="000000"/>
                <w:sz w:val="14"/>
                <w:szCs w:val="14"/>
              </w:rPr>
              <w:t>þ</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746EFB19" w14:textId="77777777" w:rsidR="008E7A10" w:rsidRDefault="00E047B2">
            <w:pPr>
              <w:jc w:val="right"/>
              <w:textAlignment w:val="bottom"/>
            </w:pPr>
            <w:r>
              <w:rPr>
                <w:rFonts w:ascii="Arial" w:eastAsia="宋体" w:hAnsi="Arial" w:cs="Arial"/>
                <w:color w:val="000000"/>
                <w:sz w:val="14"/>
                <w:szCs w:val="14"/>
              </w:rPr>
              <w:t>Accelerated filer</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746EFB1A" w14:textId="77777777" w:rsidR="008E7A10" w:rsidRDefault="00E047B2">
            <w:pPr>
              <w:jc w:val="center"/>
              <w:textAlignment w:val="bottom"/>
            </w:pPr>
            <w:r>
              <w:rPr>
                <w:rFonts w:ascii="Wingdings" w:eastAsia="宋体" w:hAnsi="Wingdings" w:cs="Wingdings"/>
                <w:color w:val="000000"/>
                <w:sz w:val="14"/>
                <w:szCs w:val="14"/>
              </w:rPr>
              <w:t>☐</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746EFB1B" w14:textId="77777777" w:rsidR="008E7A10" w:rsidRDefault="00E047B2">
            <w:pPr>
              <w:jc w:val="right"/>
              <w:textAlignment w:val="bottom"/>
            </w:pPr>
            <w:r>
              <w:rPr>
                <w:rFonts w:ascii="Arial" w:eastAsia="宋体" w:hAnsi="Arial" w:cs="Arial"/>
                <w:color w:val="000000"/>
                <w:sz w:val="14"/>
                <w:szCs w:val="14"/>
              </w:rPr>
              <w:t>Non-accelerated filer</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746EFB1C" w14:textId="77777777" w:rsidR="008E7A10" w:rsidRDefault="00E047B2">
            <w:pPr>
              <w:jc w:val="center"/>
              <w:textAlignment w:val="bottom"/>
            </w:pPr>
            <w:r>
              <w:rPr>
                <w:rFonts w:ascii="Wingdings" w:eastAsia="宋体" w:hAnsi="Wingdings" w:cs="Wingdings"/>
                <w:color w:val="000000"/>
                <w:sz w:val="14"/>
                <w:szCs w:val="14"/>
              </w:rPr>
              <w:t>☐</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746EFB1D" w14:textId="77777777" w:rsidR="008E7A10" w:rsidRDefault="00E047B2">
            <w:pPr>
              <w:jc w:val="right"/>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746EFB1E" w14:textId="77777777" w:rsidR="008E7A10" w:rsidRDefault="00E047B2">
            <w:pPr>
              <w:jc w:val="center"/>
              <w:textAlignment w:val="bottom"/>
            </w:pPr>
            <w:r>
              <w:rPr>
                <w:rFonts w:ascii="Wingdings" w:eastAsia="宋体" w:hAnsi="Wingdings" w:cs="Wingdings"/>
                <w:color w:val="000000"/>
                <w:sz w:val="14"/>
                <w:szCs w:val="14"/>
              </w:rPr>
              <w:t>☐</w:t>
            </w:r>
          </w:p>
        </w:tc>
        <w:tc>
          <w:tcPr>
            <w:tcW w:w="0" w:type="auto"/>
            <w:gridSpan w:val="6"/>
            <w:tcBorders>
              <w:bottom w:val="single" w:sz="8" w:space="0" w:color="808080"/>
            </w:tcBorders>
            <w:shd w:val="clear" w:color="auto" w:fill="auto"/>
            <w:tcMar>
              <w:top w:w="40" w:type="dxa"/>
              <w:left w:w="20" w:type="dxa"/>
              <w:bottom w:w="40" w:type="dxa"/>
              <w:right w:w="20" w:type="dxa"/>
            </w:tcMar>
            <w:vAlign w:val="bottom"/>
          </w:tcPr>
          <w:p w14:paraId="746EFB1F" w14:textId="77777777" w:rsidR="008E7A10" w:rsidRDefault="00E047B2">
            <w:pPr>
              <w:jc w:val="right"/>
              <w:textAlignment w:val="bottom"/>
            </w:pPr>
            <w:r>
              <w:rPr>
                <w:rFonts w:ascii="Arial" w:eastAsia="宋体" w:hAnsi="Arial" w:cs="Arial"/>
                <w:color w:val="000000"/>
                <w:sz w:val="14"/>
                <w:szCs w:val="14"/>
              </w:rPr>
              <w:t>Emerging growth company</w:t>
            </w: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746EFB20" w14:textId="77777777" w:rsidR="008E7A10" w:rsidRDefault="00E047B2">
            <w:pPr>
              <w:jc w:val="center"/>
              <w:textAlignment w:val="bottom"/>
            </w:pPr>
            <w:r>
              <w:rPr>
                <w:rFonts w:ascii="Wingdings" w:eastAsia="宋体" w:hAnsi="Wingdings" w:cs="Wingdings"/>
                <w:color w:val="000000"/>
                <w:sz w:val="14"/>
                <w:szCs w:val="14"/>
              </w:rPr>
              <w:t>☐</w:t>
            </w:r>
          </w:p>
        </w:tc>
      </w:tr>
      <w:tr w:rsidR="008E7A10" w14:paraId="746EFB27"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EFB22" w14:textId="77777777" w:rsidR="008E7A10" w:rsidRDefault="00E047B2">
            <w:pPr>
              <w:jc w:val="center"/>
              <w:textAlignment w:val="top"/>
            </w:pPr>
            <w:r>
              <w:rPr>
                <w:rFonts w:ascii="Arial" w:eastAsia="宋体" w:hAnsi="Arial" w:cs="Arial"/>
                <w:color w:val="E87722"/>
                <w:sz w:val="16"/>
                <w:szCs w:val="16"/>
              </w:rPr>
              <w:t>•</w:t>
            </w:r>
          </w:p>
        </w:tc>
        <w:tc>
          <w:tcPr>
            <w:tcW w:w="0" w:type="auto"/>
            <w:shd w:val="clear" w:color="auto" w:fill="auto"/>
          </w:tcPr>
          <w:p w14:paraId="746EFB23" w14:textId="77777777" w:rsidR="008E7A10" w:rsidRDefault="008E7A10">
            <w:pPr>
              <w:rPr>
                <w:rFonts w:ascii="宋体"/>
                <w:vanish/>
              </w:rPr>
            </w:pPr>
          </w:p>
        </w:tc>
        <w:tc>
          <w:tcPr>
            <w:tcW w:w="0" w:type="auto"/>
            <w:gridSpan w:val="21"/>
            <w:tcBorders>
              <w:top w:val="single" w:sz="8" w:space="0" w:color="808080"/>
              <w:bottom w:val="single" w:sz="8" w:space="0" w:color="808080"/>
            </w:tcBorders>
            <w:shd w:val="clear" w:color="auto" w:fill="auto"/>
            <w:tcMar>
              <w:top w:w="40" w:type="dxa"/>
              <w:left w:w="20" w:type="dxa"/>
              <w:bottom w:w="40" w:type="dxa"/>
              <w:right w:w="20" w:type="dxa"/>
            </w:tcMar>
          </w:tcPr>
          <w:p w14:paraId="746EFB24" w14:textId="77777777" w:rsidR="008E7A10" w:rsidRDefault="00E047B2">
            <w:pPr>
              <w:textAlignment w:val="top"/>
            </w:pPr>
            <w:r>
              <w:rPr>
                <w:rFonts w:ascii="Arial" w:eastAsia="宋体" w:hAnsi="Arial" w:cs="Arial"/>
                <w:color w:val="000000"/>
                <w:sz w:val="14"/>
                <w:szCs w:val="14"/>
              </w:rPr>
              <w:t xml:space="preserve">if an emerging growth company, if the registrant has elected not to use the extended transition period for complying with any new or revised financial accounting standards provided pursuant to </w:t>
            </w:r>
            <w:r>
              <w:rPr>
                <w:rFonts w:ascii="Arial" w:eastAsia="宋体" w:hAnsi="Arial" w:cs="Arial"/>
                <w:color w:val="000000"/>
                <w:sz w:val="14"/>
                <w:szCs w:val="14"/>
              </w:rPr>
              <w:t>Section 13(a) of the Exchange Act.</w:t>
            </w:r>
          </w:p>
        </w:tc>
        <w:tc>
          <w:tcPr>
            <w:tcW w:w="0" w:type="auto"/>
            <w:gridSpan w:val="3"/>
            <w:tcBorders>
              <w:top w:val="single" w:sz="8" w:space="0" w:color="808080"/>
            </w:tcBorders>
            <w:shd w:val="clear" w:color="auto" w:fill="auto"/>
            <w:tcMar>
              <w:top w:w="0" w:type="dxa"/>
              <w:left w:w="20" w:type="dxa"/>
              <w:bottom w:w="0" w:type="dxa"/>
              <w:right w:w="20" w:type="dxa"/>
            </w:tcMar>
          </w:tcPr>
          <w:p w14:paraId="746EFB25" w14:textId="77777777" w:rsidR="008E7A10" w:rsidRDefault="008E7A10">
            <w:pPr>
              <w:rPr>
                <w:rFonts w:ascii="宋体"/>
              </w:rPr>
            </w:pPr>
          </w:p>
        </w:tc>
        <w:tc>
          <w:tcPr>
            <w:tcW w:w="0" w:type="auto"/>
            <w:gridSpan w:val="9"/>
            <w:tcBorders>
              <w:top w:val="single" w:sz="8" w:space="0" w:color="808080"/>
              <w:bottom w:val="single" w:sz="8" w:space="0" w:color="808080"/>
            </w:tcBorders>
            <w:shd w:val="clear" w:color="auto" w:fill="auto"/>
            <w:tcMar>
              <w:top w:w="40" w:type="dxa"/>
              <w:left w:w="20" w:type="dxa"/>
              <w:bottom w:w="40" w:type="dxa"/>
              <w:right w:w="20" w:type="dxa"/>
            </w:tcMar>
          </w:tcPr>
          <w:p w14:paraId="746EFB26" w14:textId="77777777" w:rsidR="008E7A10" w:rsidRDefault="00E047B2">
            <w:pPr>
              <w:jc w:val="center"/>
              <w:textAlignment w:val="top"/>
            </w:pPr>
            <w:r>
              <w:rPr>
                <w:rFonts w:ascii="Wingdings" w:eastAsia="宋体" w:hAnsi="Wingdings" w:cs="Wingdings"/>
                <w:color w:val="000000"/>
                <w:sz w:val="14"/>
                <w:szCs w:val="14"/>
              </w:rPr>
              <w:t>☐</w:t>
            </w:r>
          </w:p>
        </w:tc>
      </w:tr>
      <w:tr w:rsidR="008E7A10" w14:paraId="746EFB2E"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EFB28" w14:textId="77777777" w:rsidR="008E7A10" w:rsidRDefault="00E047B2">
            <w:pPr>
              <w:jc w:val="center"/>
              <w:textAlignment w:val="bottom"/>
            </w:pPr>
            <w:r>
              <w:rPr>
                <w:rFonts w:ascii="Arial" w:eastAsia="宋体" w:hAnsi="Arial" w:cs="Arial"/>
                <w:color w:val="E87722"/>
                <w:sz w:val="16"/>
                <w:szCs w:val="16"/>
              </w:rPr>
              <w:t>•</w:t>
            </w:r>
          </w:p>
        </w:tc>
        <w:tc>
          <w:tcPr>
            <w:tcW w:w="0" w:type="auto"/>
            <w:shd w:val="clear" w:color="auto" w:fill="auto"/>
          </w:tcPr>
          <w:p w14:paraId="746EFB29" w14:textId="77777777" w:rsidR="008E7A10" w:rsidRDefault="008E7A10">
            <w:pPr>
              <w:rPr>
                <w:rFonts w:ascii="宋体"/>
                <w:vanish/>
              </w:rPr>
            </w:pPr>
          </w:p>
        </w:tc>
        <w:tc>
          <w:tcPr>
            <w:tcW w:w="0" w:type="auto"/>
            <w:gridSpan w:val="21"/>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EFB2A" w14:textId="77777777" w:rsidR="008E7A10" w:rsidRDefault="00E047B2">
            <w:pPr>
              <w:textAlignment w:val="bottom"/>
            </w:pPr>
            <w:r>
              <w:rPr>
                <w:rFonts w:ascii="Arial" w:eastAsia="宋体" w:hAnsi="Arial" w:cs="Arial"/>
                <w:color w:val="000000"/>
                <w:sz w:val="14"/>
                <w:szCs w:val="14"/>
              </w:rPr>
              <w:t>whether the registrant is a shell company (as defined in Rule 12b-2 of the Act).</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EFB2B" w14:textId="77777777" w:rsidR="008E7A10" w:rsidRDefault="008E7A10">
            <w:pPr>
              <w:rPr>
                <w:rFonts w:ascii="宋体"/>
              </w:rPr>
            </w:pP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EFB2C" w14:textId="77777777" w:rsidR="008E7A10" w:rsidRDefault="00E047B2">
            <w:pPr>
              <w:jc w:val="center"/>
              <w:textAlignment w:val="bottom"/>
            </w:pPr>
            <w:r>
              <w:rPr>
                <w:rFonts w:ascii="Wingdings" w:eastAsia="宋体" w:hAnsi="Wingdings" w:cs="Wingdings"/>
                <w:color w:val="000000"/>
                <w:sz w:val="14"/>
                <w:szCs w:val="14"/>
              </w:rPr>
              <w:t>☐</w:t>
            </w:r>
          </w:p>
        </w:tc>
        <w:tc>
          <w:tcPr>
            <w:tcW w:w="0" w:type="auto"/>
            <w:gridSpan w:val="6"/>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EFB2D" w14:textId="77777777" w:rsidR="008E7A10" w:rsidRDefault="00E047B2">
            <w:pPr>
              <w:jc w:val="center"/>
              <w:textAlignment w:val="bottom"/>
            </w:pPr>
            <w:r>
              <w:rPr>
                <w:rFonts w:ascii="Wingdings" w:eastAsia="宋体" w:hAnsi="Wingdings" w:cs="Wingdings"/>
                <w:color w:val="000000"/>
                <w:sz w:val="14"/>
                <w:szCs w:val="14"/>
              </w:rPr>
              <w:t>þ</w:t>
            </w:r>
          </w:p>
        </w:tc>
      </w:tr>
    </w:tbl>
    <w:p w14:paraId="746EFB2F" w14:textId="77777777" w:rsidR="008E7A10" w:rsidRDefault="008E7A1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778"/>
        <w:gridCol w:w="37"/>
        <w:gridCol w:w="69"/>
        <w:gridCol w:w="1347"/>
        <w:gridCol w:w="36"/>
      </w:tblGrid>
      <w:tr w:rsidR="008E7A10" w14:paraId="746EFB36" w14:textId="77777777">
        <w:tc>
          <w:tcPr>
            <w:tcW w:w="50" w:type="pct"/>
            <w:shd w:val="clear" w:color="auto" w:fill="auto"/>
          </w:tcPr>
          <w:p w14:paraId="746EFB30" w14:textId="77777777" w:rsidR="008E7A10" w:rsidRDefault="008E7A10">
            <w:pPr>
              <w:rPr>
                <w:rFonts w:ascii="宋体"/>
              </w:rPr>
            </w:pPr>
          </w:p>
        </w:tc>
        <w:tc>
          <w:tcPr>
            <w:tcW w:w="4073" w:type="pct"/>
            <w:shd w:val="clear" w:color="auto" w:fill="auto"/>
          </w:tcPr>
          <w:p w14:paraId="746EFB31" w14:textId="77777777" w:rsidR="008E7A10" w:rsidRDefault="008E7A10">
            <w:pPr>
              <w:rPr>
                <w:rFonts w:ascii="宋体"/>
              </w:rPr>
            </w:pPr>
          </w:p>
        </w:tc>
        <w:tc>
          <w:tcPr>
            <w:tcW w:w="5" w:type="pct"/>
            <w:shd w:val="clear" w:color="auto" w:fill="auto"/>
          </w:tcPr>
          <w:p w14:paraId="746EFB32" w14:textId="77777777" w:rsidR="008E7A10" w:rsidRDefault="008E7A10">
            <w:pPr>
              <w:rPr>
                <w:rFonts w:ascii="宋体"/>
              </w:rPr>
            </w:pPr>
          </w:p>
        </w:tc>
        <w:tc>
          <w:tcPr>
            <w:tcW w:w="50" w:type="pct"/>
            <w:shd w:val="clear" w:color="auto" w:fill="auto"/>
          </w:tcPr>
          <w:p w14:paraId="746EFB33" w14:textId="77777777" w:rsidR="008E7A10" w:rsidRDefault="008E7A10">
            <w:pPr>
              <w:rPr>
                <w:rFonts w:ascii="宋体"/>
              </w:rPr>
            </w:pPr>
          </w:p>
        </w:tc>
        <w:tc>
          <w:tcPr>
            <w:tcW w:w="816" w:type="pct"/>
            <w:shd w:val="clear" w:color="auto" w:fill="auto"/>
          </w:tcPr>
          <w:p w14:paraId="746EFB34" w14:textId="77777777" w:rsidR="008E7A10" w:rsidRDefault="008E7A10">
            <w:pPr>
              <w:rPr>
                <w:rFonts w:ascii="宋体"/>
              </w:rPr>
            </w:pPr>
          </w:p>
        </w:tc>
        <w:tc>
          <w:tcPr>
            <w:tcW w:w="5" w:type="pct"/>
            <w:shd w:val="clear" w:color="auto" w:fill="auto"/>
          </w:tcPr>
          <w:p w14:paraId="746EFB35" w14:textId="77777777" w:rsidR="008E7A10" w:rsidRDefault="008E7A10">
            <w:pPr>
              <w:rPr>
                <w:rFonts w:ascii="宋体"/>
              </w:rPr>
            </w:pPr>
          </w:p>
        </w:tc>
      </w:tr>
      <w:tr w:rsidR="008E7A10" w14:paraId="746EFB38" w14:textId="77777777">
        <w:tc>
          <w:tcPr>
            <w:tcW w:w="0" w:type="auto"/>
            <w:gridSpan w:val="6"/>
            <w:shd w:val="clear" w:color="auto" w:fill="auto"/>
            <w:tcMar>
              <w:top w:w="40" w:type="dxa"/>
              <w:left w:w="20" w:type="dxa"/>
              <w:bottom w:w="40" w:type="dxa"/>
              <w:right w:w="20" w:type="dxa"/>
            </w:tcMar>
          </w:tcPr>
          <w:p w14:paraId="746EFB37" w14:textId="77777777" w:rsidR="008E7A10" w:rsidRDefault="00E047B2">
            <w:pPr>
              <w:textAlignment w:val="top"/>
            </w:pPr>
            <w:r>
              <w:rPr>
                <w:rFonts w:ascii="Arial" w:eastAsia="宋体" w:hAnsi="Arial" w:cs="Arial"/>
                <w:color w:val="000000"/>
                <w:sz w:val="14"/>
                <w:szCs w:val="14"/>
              </w:rPr>
              <w:t>As of December 28, 2020, the number of shares of the Registrant's Common Stock outstanding were:</w:t>
            </w:r>
          </w:p>
        </w:tc>
      </w:tr>
      <w:tr w:rsidR="008E7A10" w14:paraId="746EFB3C" w14:textId="77777777">
        <w:tc>
          <w:tcPr>
            <w:tcW w:w="0" w:type="auto"/>
            <w:gridSpan w:val="3"/>
            <w:tcBorders>
              <w:top w:val="single" w:sz="8" w:space="0" w:color="E87722"/>
            </w:tcBorders>
            <w:shd w:val="clear" w:color="auto" w:fill="auto"/>
            <w:tcMar>
              <w:top w:w="40" w:type="dxa"/>
              <w:left w:w="20" w:type="dxa"/>
              <w:bottom w:w="40" w:type="dxa"/>
              <w:right w:w="20" w:type="dxa"/>
            </w:tcMar>
          </w:tcPr>
          <w:p w14:paraId="746EFB39" w14:textId="77777777" w:rsidR="008E7A10" w:rsidRDefault="00E047B2">
            <w:pPr>
              <w:textAlignment w:val="top"/>
            </w:pPr>
            <w:r>
              <w:rPr>
                <w:rFonts w:ascii="Arial" w:eastAsia="宋体" w:hAnsi="Arial" w:cs="Arial"/>
                <w:color w:val="000000"/>
                <w:sz w:val="14"/>
                <w:szCs w:val="14"/>
              </w:rPr>
              <w:t>Class A</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B3A" w14:textId="77777777" w:rsidR="008E7A10" w:rsidRDefault="00E047B2">
            <w:pPr>
              <w:jc w:val="right"/>
              <w:textAlignment w:val="bottom"/>
            </w:pPr>
            <w:r>
              <w:rPr>
                <w:rFonts w:ascii="Arial" w:eastAsia="宋体" w:hAnsi="Arial" w:cs="Arial"/>
                <w:color w:val="000000"/>
                <w:sz w:val="14"/>
                <w:szCs w:val="14"/>
              </w:rPr>
              <w:t>305,011,252 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B3B" w14:textId="77777777" w:rsidR="008E7A10" w:rsidRDefault="008E7A10">
            <w:pPr>
              <w:jc w:val="right"/>
              <w:rPr>
                <w:rFonts w:ascii="宋体"/>
              </w:rPr>
            </w:pPr>
          </w:p>
        </w:tc>
      </w:tr>
      <w:tr w:rsidR="008E7A10" w14:paraId="746EFB40"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EFB3D" w14:textId="77777777" w:rsidR="008E7A10" w:rsidRDefault="00E047B2">
            <w:pPr>
              <w:textAlignment w:val="top"/>
            </w:pPr>
            <w:r>
              <w:rPr>
                <w:rFonts w:ascii="Arial" w:eastAsia="宋体" w:hAnsi="Arial" w:cs="Arial"/>
                <w:color w:val="000000"/>
                <w:sz w:val="14"/>
                <w:szCs w:val="14"/>
              </w:rPr>
              <w:t>Class B</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B3E" w14:textId="77777777" w:rsidR="008E7A10" w:rsidRDefault="00E047B2">
            <w:pPr>
              <w:jc w:val="right"/>
              <w:textAlignment w:val="bottom"/>
            </w:pPr>
            <w:r>
              <w:rPr>
                <w:rFonts w:ascii="Arial" w:eastAsia="宋体" w:hAnsi="Arial" w:cs="Arial"/>
                <w:color w:val="000000"/>
                <w:sz w:val="14"/>
                <w:szCs w:val="14"/>
              </w:rPr>
              <w:t>1,271,478,759 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B3F" w14:textId="77777777" w:rsidR="008E7A10" w:rsidRDefault="008E7A10">
            <w:pPr>
              <w:jc w:val="right"/>
              <w:rPr>
                <w:rFonts w:ascii="宋体"/>
              </w:rPr>
            </w:pPr>
          </w:p>
        </w:tc>
      </w:tr>
      <w:tr w:rsidR="008E7A10" w14:paraId="746EFB44"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EFB41" w14:textId="77777777" w:rsidR="008E7A10" w:rsidRDefault="008E7A10">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EFB42" w14:textId="77777777" w:rsidR="008E7A10" w:rsidRDefault="00E047B2">
            <w:pPr>
              <w:jc w:val="right"/>
              <w:textAlignment w:val="bottom"/>
            </w:pPr>
            <w:r>
              <w:rPr>
                <w:rFonts w:ascii="Arial" w:eastAsia="宋体" w:hAnsi="Arial" w:cs="Arial"/>
                <w:color w:val="000000"/>
                <w:sz w:val="14"/>
                <w:szCs w:val="14"/>
              </w:rPr>
              <w:t>1,576,490,011 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EFB43" w14:textId="77777777" w:rsidR="008E7A10" w:rsidRDefault="008E7A10">
            <w:pPr>
              <w:jc w:val="right"/>
              <w:rPr>
                <w:rFonts w:ascii="宋体"/>
              </w:rPr>
            </w:pPr>
          </w:p>
        </w:tc>
      </w:tr>
    </w:tbl>
    <w:p w14:paraId="746EFB45" w14:textId="77777777" w:rsidR="008E7A10" w:rsidRDefault="008E7A10">
      <w:pPr>
        <w:spacing w:before="120" w:after="120"/>
      </w:pPr>
    </w:p>
    <w:p w14:paraId="746EFB46" w14:textId="77777777" w:rsidR="008E7A10" w:rsidRDefault="00E047B2">
      <w:r>
        <w:pict w14:anchorId="746F2007">
          <v:rect id="_x0000_i1025" style="width:415.3pt;height:1.5pt" o:hralign="center" o:hrstd="t" o:hr="t" fillcolor="#a0a0a0" stroked="f"/>
        </w:pict>
      </w:r>
    </w:p>
    <w:p w14:paraId="746EFB47" w14:textId="77777777" w:rsidR="008E7A10" w:rsidRDefault="008E7A10"/>
    <w:p w14:paraId="746EFB48" w14:textId="77777777" w:rsidR="008E7A10" w:rsidRDefault="00E047B2">
      <w:hyperlink r:id="rId7" w:anchor="i31a624617c6c41b38f8f700fa0df5bde_7" w:history="1">
        <w:r>
          <w:rPr>
            <w:rStyle w:val="a5"/>
            <w:rFonts w:ascii="sans-serif" w:eastAsia="sans-serif" w:hAnsi="sans-serif" w:cs="sans-serif"/>
            <w:sz w:val="17"/>
            <w:szCs w:val="17"/>
          </w:rPr>
          <w:t>Table of Contents</w:t>
        </w:r>
      </w:hyperlink>
    </w:p>
    <w:p w14:paraId="746EFB49" w14:textId="77777777" w:rsidR="008E7A10" w:rsidRDefault="008E7A10"/>
    <w:p w14:paraId="746EFB4A" w14:textId="77777777" w:rsidR="008E7A10" w:rsidRDefault="00E047B2">
      <w:r>
        <w:rPr>
          <w:rFonts w:ascii="sans-serif" w:eastAsia="sans-serif" w:hAnsi="sans-serif" w:cs="sans-serif"/>
          <w:color w:val="000000"/>
          <w:sz w:val="44"/>
          <w:szCs w:val="44"/>
        </w:rPr>
        <w:t>NIKE, INC.</w:t>
      </w:r>
    </w:p>
    <w:p w14:paraId="746EFB4B" w14:textId="77777777" w:rsidR="008E7A10" w:rsidRDefault="00E047B2">
      <w:r>
        <w:rPr>
          <w:rFonts w:ascii="sans-serif" w:eastAsia="sans-serif" w:hAnsi="sans-serif" w:cs="sans-serif"/>
          <w:color w:val="000000"/>
          <w:sz w:val="44"/>
          <w:szCs w:val="44"/>
        </w:rPr>
        <w:t>FORM 10-Q</w:t>
      </w:r>
    </w:p>
    <w:p w14:paraId="746EFB4C" w14:textId="77777777" w:rsidR="008E7A10" w:rsidRDefault="00E047B2">
      <w:r>
        <w:rPr>
          <w:rFonts w:ascii="sans-serif" w:eastAsia="sans-serif" w:hAnsi="sans-serif" w:cs="sans-serif"/>
          <w:color w:val="000000"/>
          <w:sz w:val="44"/>
          <w:szCs w:val="44"/>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2"/>
        <w:gridCol w:w="585"/>
        <w:gridCol w:w="37"/>
        <w:gridCol w:w="61"/>
        <w:gridCol w:w="7069"/>
        <w:gridCol w:w="36"/>
        <w:gridCol w:w="84"/>
        <w:gridCol w:w="356"/>
        <w:gridCol w:w="36"/>
      </w:tblGrid>
      <w:tr w:rsidR="008E7A10" w14:paraId="746EFB56" w14:textId="77777777">
        <w:tc>
          <w:tcPr>
            <w:tcW w:w="50" w:type="pct"/>
            <w:shd w:val="clear" w:color="auto" w:fill="auto"/>
          </w:tcPr>
          <w:p w14:paraId="746EFB4D" w14:textId="77777777" w:rsidR="008E7A10" w:rsidRDefault="008E7A10">
            <w:pPr>
              <w:rPr>
                <w:rFonts w:ascii="宋体"/>
              </w:rPr>
            </w:pPr>
          </w:p>
        </w:tc>
        <w:tc>
          <w:tcPr>
            <w:tcW w:w="368" w:type="pct"/>
            <w:shd w:val="clear" w:color="auto" w:fill="auto"/>
          </w:tcPr>
          <w:p w14:paraId="746EFB4E" w14:textId="77777777" w:rsidR="008E7A10" w:rsidRDefault="008E7A10">
            <w:pPr>
              <w:rPr>
                <w:rFonts w:ascii="宋体"/>
              </w:rPr>
            </w:pPr>
          </w:p>
        </w:tc>
        <w:tc>
          <w:tcPr>
            <w:tcW w:w="5" w:type="pct"/>
            <w:shd w:val="clear" w:color="auto" w:fill="auto"/>
          </w:tcPr>
          <w:p w14:paraId="746EFB4F" w14:textId="77777777" w:rsidR="008E7A10" w:rsidRDefault="008E7A10">
            <w:pPr>
              <w:rPr>
                <w:rFonts w:ascii="宋体"/>
              </w:rPr>
            </w:pPr>
          </w:p>
        </w:tc>
        <w:tc>
          <w:tcPr>
            <w:tcW w:w="50" w:type="pct"/>
            <w:shd w:val="clear" w:color="auto" w:fill="auto"/>
          </w:tcPr>
          <w:p w14:paraId="746EFB50" w14:textId="77777777" w:rsidR="008E7A10" w:rsidRDefault="008E7A10">
            <w:pPr>
              <w:rPr>
                <w:rFonts w:ascii="宋体"/>
              </w:rPr>
            </w:pPr>
          </w:p>
        </w:tc>
        <w:tc>
          <w:tcPr>
            <w:tcW w:w="4251" w:type="pct"/>
            <w:shd w:val="clear" w:color="auto" w:fill="auto"/>
          </w:tcPr>
          <w:p w14:paraId="746EFB51" w14:textId="77777777" w:rsidR="008E7A10" w:rsidRDefault="008E7A10">
            <w:pPr>
              <w:rPr>
                <w:rFonts w:ascii="宋体"/>
              </w:rPr>
            </w:pPr>
          </w:p>
        </w:tc>
        <w:tc>
          <w:tcPr>
            <w:tcW w:w="5" w:type="pct"/>
            <w:shd w:val="clear" w:color="auto" w:fill="auto"/>
          </w:tcPr>
          <w:p w14:paraId="746EFB52" w14:textId="77777777" w:rsidR="008E7A10" w:rsidRDefault="008E7A10">
            <w:pPr>
              <w:rPr>
                <w:rFonts w:ascii="宋体"/>
              </w:rPr>
            </w:pPr>
          </w:p>
        </w:tc>
        <w:tc>
          <w:tcPr>
            <w:tcW w:w="50" w:type="pct"/>
            <w:shd w:val="clear" w:color="auto" w:fill="auto"/>
          </w:tcPr>
          <w:p w14:paraId="746EFB53" w14:textId="77777777" w:rsidR="008E7A10" w:rsidRDefault="008E7A10">
            <w:pPr>
              <w:rPr>
                <w:rFonts w:ascii="宋体"/>
              </w:rPr>
            </w:pPr>
          </w:p>
        </w:tc>
        <w:tc>
          <w:tcPr>
            <w:tcW w:w="214" w:type="pct"/>
            <w:shd w:val="clear" w:color="auto" w:fill="auto"/>
          </w:tcPr>
          <w:p w14:paraId="746EFB54" w14:textId="77777777" w:rsidR="008E7A10" w:rsidRDefault="008E7A10">
            <w:pPr>
              <w:rPr>
                <w:rFonts w:ascii="宋体"/>
              </w:rPr>
            </w:pPr>
          </w:p>
        </w:tc>
        <w:tc>
          <w:tcPr>
            <w:tcW w:w="5" w:type="pct"/>
            <w:shd w:val="clear" w:color="auto" w:fill="auto"/>
          </w:tcPr>
          <w:p w14:paraId="746EFB55" w14:textId="77777777" w:rsidR="008E7A10" w:rsidRDefault="008E7A10">
            <w:pPr>
              <w:rPr>
                <w:rFonts w:ascii="宋体"/>
              </w:rPr>
            </w:pPr>
          </w:p>
        </w:tc>
      </w:tr>
      <w:tr w:rsidR="008E7A10" w14:paraId="746EFB5A" w14:textId="77777777">
        <w:tc>
          <w:tcPr>
            <w:tcW w:w="0" w:type="auto"/>
            <w:gridSpan w:val="3"/>
            <w:shd w:val="clear" w:color="auto" w:fill="auto"/>
            <w:tcMar>
              <w:top w:w="0" w:type="dxa"/>
              <w:left w:w="20" w:type="dxa"/>
              <w:bottom w:w="0" w:type="dxa"/>
              <w:right w:w="20" w:type="dxa"/>
            </w:tcMar>
          </w:tcPr>
          <w:p w14:paraId="746EFB57" w14:textId="77777777" w:rsidR="008E7A10" w:rsidRDefault="008E7A10">
            <w:pPr>
              <w:rPr>
                <w:rFonts w:ascii="宋体"/>
              </w:rPr>
            </w:pPr>
          </w:p>
        </w:tc>
        <w:tc>
          <w:tcPr>
            <w:tcW w:w="0" w:type="auto"/>
            <w:gridSpan w:val="3"/>
            <w:shd w:val="clear" w:color="auto" w:fill="auto"/>
            <w:tcMar>
              <w:top w:w="0" w:type="dxa"/>
              <w:left w:w="20" w:type="dxa"/>
              <w:bottom w:w="0" w:type="dxa"/>
              <w:right w:w="20" w:type="dxa"/>
            </w:tcMar>
          </w:tcPr>
          <w:p w14:paraId="746EFB58" w14:textId="77777777" w:rsidR="008E7A10" w:rsidRDefault="008E7A10">
            <w:pPr>
              <w:rPr>
                <w:rFonts w:ascii="宋体"/>
              </w:rPr>
            </w:pPr>
          </w:p>
        </w:tc>
        <w:tc>
          <w:tcPr>
            <w:tcW w:w="0" w:type="auto"/>
            <w:gridSpan w:val="3"/>
            <w:shd w:val="clear" w:color="auto" w:fill="auto"/>
            <w:tcMar>
              <w:top w:w="40" w:type="dxa"/>
              <w:left w:w="20" w:type="dxa"/>
              <w:bottom w:w="40" w:type="dxa"/>
              <w:right w:w="20" w:type="dxa"/>
            </w:tcMar>
          </w:tcPr>
          <w:p w14:paraId="746EFB59" w14:textId="77777777" w:rsidR="008E7A10" w:rsidRDefault="00E047B2">
            <w:pPr>
              <w:textAlignment w:val="top"/>
            </w:pPr>
            <w:r>
              <w:rPr>
                <w:rFonts w:ascii="sans-serif" w:eastAsia="sans-serif" w:hAnsi="sans-serif" w:cs="sans-serif"/>
                <w:b/>
                <w:bCs/>
                <w:color w:val="000000"/>
                <w:sz w:val="18"/>
                <w:szCs w:val="18"/>
              </w:rPr>
              <w:t>PAGE</w:t>
            </w:r>
          </w:p>
        </w:tc>
      </w:tr>
      <w:tr w:rsidR="008E7A10" w14:paraId="746EFB5D" w14:textId="77777777">
        <w:tc>
          <w:tcPr>
            <w:tcW w:w="0" w:type="auto"/>
            <w:gridSpan w:val="6"/>
            <w:shd w:val="clear" w:color="auto" w:fill="auto"/>
            <w:tcMar>
              <w:top w:w="40" w:type="dxa"/>
              <w:left w:w="20" w:type="dxa"/>
              <w:bottom w:w="40" w:type="dxa"/>
              <w:right w:w="20" w:type="dxa"/>
            </w:tcMar>
            <w:vAlign w:val="bottom"/>
          </w:tcPr>
          <w:p w14:paraId="746EFB5B" w14:textId="77777777" w:rsidR="008E7A10" w:rsidRDefault="00E047B2">
            <w:pPr>
              <w:spacing w:before="120" w:after="120"/>
              <w:textAlignment w:val="bottom"/>
            </w:pPr>
            <w:hyperlink r:id="rId8" w:anchor="i31a624617c6c41b38f8f700fa0df5bde_10" w:history="1">
              <w:r>
                <w:rPr>
                  <w:rStyle w:val="a5"/>
                  <w:rFonts w:ascii="sans-serif" w:eastAsia="sans-serif" w:hAnsi="sans-serif" w:cs="sans-serif"/>
                  <w:color w:val="E87722"/>
                  <w:u w:val="none"/>
                </w:rPr>
                <w:t>PART I</w:t>
              </w:r>
            </w:hyperlink>
            <w:r>
              <w:rPr>
                <w:rFonts w:ascii="sans-serif" w:eastAsia="sans-serif" w:hAnsi="sans-serif" w:cs="sans-serif"/>
                <w:color w:val="E87722"/>
              </w:rPr>
              <w:t xml:space="preserve"> - FINANCIAL INFORMATION</w:t>
            </w:r>
          </w:p>
        </w:tc>
        <w:tc>
          <w:tcPr>
            <w:tcW w:w="0" w:type="auto"/>
            <w:gridSpan w:val="3"/>
            <w:shd w:val="clear" w:color="auto" w:fill="auto"/>
            <w:tcMar>
              <w:top w:w="40" w:type="dxa"/>
              <w:left w:w="20" w:type="dxa"/>
              <w:bottom w:w="40" w:type="dxa"/>
              <w:right w:w="20" w:type="dxa"/>
            </w:tcMar>
            <w:vAlign w:val="bottom"/>
          </w:tcPr>
          <w:p w14:paraId="746EFB5C" w14:textId="77777777" w:rsidR="008E7A10" w:rsidRDefault="00E047B2">
            <w:pPr>
              <w:spacing w:before="120" w:after="120"/>
              <w:textAlignment w:val="bottom"/>
            </w:pPr>
            <w:hyperlink r:id="rId9" w:anchor="i31a624617c6c41b38f8f700fa0df5bde_10" w:history="1">
              <w:r>
                <w:rPr>
                  <w:rStyle w:val="a5"/>
                  <w:rFonts w:ascii="sans-serif" w:eastAsia="sans-serif" w:hAnsi="sans-serif" w:cs="sans-serif"/>
                  <w:color w:val="E87722"/>
                  <w:u w:val="none"/>
                </w:rPr>
                <w:t>1</w:t>
              </w:r>
            </w:hyperlink>
          </w:p>
        </w:tc>
      </w:tr>
      <w:tr w:rsidR="008E7A10" w14:paraId="746EFB6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B5E" w14:textId="77777777" w:rsidR="008E7A10" w:rsidRDefault="00E047B2">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B5F" w14:textId="77777777" w:rsidR="008E7A10" w:rsidRDefault="00E047B2">
            <w:pPr>
              <w:textAlignment w:val="bottom"/>
            </w:pPr>
            <w:hyperlink r:id="rId10" w:anchor="i31a624617c6c41b38f8f700fa0df5bde_13" w:history="1">
              <w:r>
                <w:rPr>
                  <w:rStyle w:val="a5"/>
                  <w:rFonts w:ascii="sans-serif" w:eastAsia="sans-serif" w:hAnsi="sans-serif" w:cs="sans-serif"/>
                  <w:color w:val="000000"/>
                  <w:sz w:val="16"/>
                  <w:szCs w:val="16"/>
                  <w:u w:val="none"/>
                </w:rPr>
                <w:t>Financial Statements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B60" w14:textId="77777777" w:rsidR="008E7A10" w:rsidRDefault="00E047B2">
            <w:pPr>
              <w:textAlignment w:val="bottom"/>
            </w:pPr>
            <w:hyperlink r:id="rId11" w:anchor="i31a624617c6c41b38f8f700fa0df5bde_13" w:history="1">
              <w:r>
                <w:rPr>
                  <w:rStyle w:val="a5"/>
                  <w:rFonts w:ascii="sans-serif" w:eastAsia="sans-serif" w:hAnsi="sans-serif" w:cs="sans-serif"/>
                  <w:color w:val="000000"/>
                  <w:sz w:val="16"/>
                  <w:szCs w:val="16"/>
                  <w:u w:val="none"/>
                </w:rPr>
                <w:t>1</w:t>
              </w:r>
            </w:hyperlink>
          </w:p>
        </w:tc>
      </w:tr>
      <w:tr w:rsidR="008E7A10" w14:paraId="746EFB65" w14:textId="77777777">
        <w:tc>
          <w:tcPr>
            <w:tcW w:w="0" w:type="auto"/>
            <w:gridSpan w:val="3"/>
            <w:shd w:val="clear" w:color="auto" w:fill="auto"/>
            <w:tcMar>
              <w:top w:w="0" w:type="dxa"/>
              <w:left w:w="20" w:type="dxa"/>
              <w:bottom w:w="0" w:type="dxa"/>
              <w:right w:w="20" w:type="dxa"/>
            </w:tcMar>
          </w:tcPr>
          <w:p w14:paraId="746EFB62"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63" w14:textId="77777777" w:rsidR="008E7A10" w:rsidRDefault="00E047B2">
            <w:pPr>
              <w:textAlignment w:val="bottom"/>
            </w:pPr>
            <w:hyperlink r:id="rId12" w:anchor="i31a624617c6c41b38f8f700fa0df5bde_16" w:history="1">
              <w:r>
                <w:rPr>
                  <w:rStyle w:val="a5"/>
                  <w:rFonts w:ascii="sans-serif" w:eastAsia="sans-serif" w:hAnsi="sans-serif" w:cs="sans-serif"/>
                  <w:color w:val="000000"/>
                  <w:sz w:val="16"/>
                  <w:szCs w:val="16"/>
                  <w:u w:val="none"/>
                </w:rPr>
                <w:t>Unaudited Condensed Consolidated Statements of Income</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64" w14:textId="77777777" w:rsidR="008E7A10" w:rsidRDefault="00E047B2">
            <w:pPr>
              <w:textAlignment w:val="bottom"/>
            </w:pPr>
            <w:hyperlink r:id="rId13" w:anchor="i31a624617c6c41b38f8f700fa0df5bde_16" w:history="1">
              <w:r>
                <w:rPr>
                  <w:rStyle w:val="a5"/>
                  <w:rFonts w:ascii="sans-serif" w:eastAsia="sans-serif" w:hAnsi="sans-serif" w:cs="sans-serif"/>
                  <w:color w:val="000000"/>
                  <w:sz w:val="16"/>
                  <w:szCs w:val="16"/>
                  <w:u w:val="none"/>
                </w:rPr>
                <w:t>1</w:t>
              </w:r>
            </w:hyperlink>
          </w:p>
        </w:tc>
      </w:tr>
      <w:tr w:rsidR="008E7A10" w14:paraId="746EFB69" w14:textId="77777777">
        <w:tc>
          <w:tcPr>
            <w:tcW w:w="0" w:type="auto"/>
            <w:gridSpan w:val="3"/>
            <w:shd w:val="clear" w:color="auto" w:fill="auto"/>
            <w:tcMar>
              <w:top w:w="0" w:type="dxa"/>
              <w:left w:w="20" w:type="dxa"/>
              <w:bottom w:w="0" w:type="dxa"/>
              <w:right w:w="20" w:type="dxa"/>
            </w:tcMar>
          </w:tcPr>
          <w:p w14:paraId="746EFB66"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67" w14:textId="77777777" w:rsidR="008E7A10" w:rsidRDefault="00E047B2">
            <w:pPr>
              <w:textAlignment w:val="bottom"/>
            </w:pPr>
            <w:hyperlink r:id="rId14" w:anchor="i31a624617c6c41b38f8f700fa0df5bde_19" w:history="1">
              <w:r>
                <w:rPr>
                  <w:rStyle w:val="a5"/>
                  <w:rFonts w:ascii="sans-serif" w:eastAsia="sans-serif" w:hAnsi="sans-serif" w:cs="sans-serif"/>
                  <w:color w:val="000000"/>
                  <w:sz w:val="16"/>
                  <w:szCs w:val="16"/>
                  <w:u w:val="none"/>
                </w:rPr>
                <w:t>Unaudited Condensed Consolidated Statements of Comprehensive Income</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68" w14:textId="77777777" w:rsidR="008E7A10" w:rsidRDefault="00E047B2">
            <w:pPr>
              <w:textAlignment w:val="bottom"/>
            </w:pPr>
            <w:hyperlink r:id="rId15" w:anchor="i31a624617c6c41b38f8f700fa0df5bde_19" w:history="1">
              <w:r>
                <w:rPr>
                  <w:rStyle w:val="a5"/>
                  <w:rFonts w:ascii="sans-serif" w:eastAsia="sans-serif" w:hAnsi="sans-serif" w:cs="sans-serif"/>
                  <w:color w:val="000000"/>
                  <w:sz w:val="16"/>
                  <w:szCs w:val="16"/>
                  <w:u w:val="none"/>
                </w:rPr>
                <w:t>2</w:t>
              </w:r>
            </w:hyperlink>
          </w:p>
        </w:tc>
      </w:tr>
      <w:tr w:rsidR="008E7A10" w14:paraId="746EFB6D" w14:textId="77777777">
        <w:tc>
          <w:tcPr>
            <w:tcW w:w="0" w:type="auto"/>
            <w:gridSpan w:val="3"/>
            <w:shd w:val="clear" w:color="auto" w:fill="auto"/>
            <w:tcMar>
              <w:top w:w="0" w:type="dxa"/>
              <w:left w:w="20" w:type="dxa"/>
              <w:bottom w:w="0" w:type="dxa"/>
              <w:right w:w="20" w:type="dxa"/>
            </w:tcMar>
          </w:tcPr>
          <w:p w14:paraId="746EFB6A"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6B" w14:textId="77777777" w:rsidR="008E7A10" w:rsidRDefault="00E047B2">
            <w:pPr>
              <w:textAlignment w:val="bottom"/>
            </w:pPr>
            <w:hyperlink r:id="rId16" w:anchor="i31a624617c6c41b38f8f700fa0df5bde_22" w:history="1">
              <w:r>
                <w:rPr>
                  <w:rStyle w:val="a5"/>
                  <w:rFonts w:ascii="sans-serif" w:eastAsia="sans-serif" w:hAnsi="sans-serif" w:cs="sans-serif"/>
                  <w:color w:val="000000"/>
                  <w:sz w:val="16"/>
                  <w:szCs w:val="16"/>
                  <w:u w:val="none"/>
                </w:rPr>
                <w:t>Unaudited Condensed Consolidated Balance Sheets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6C" w14:textId="77777777" w:rsidR="008E7A10" w:rsidRDefault="00E047B2">
            <w:pPr>
              <w:textAlignment w:val="bottom"/>
            </w:pPr>
            <w:hyperlink r:id="rId17" w:anchor="i31a624617c6c41b38f8f700fa0df5bde_22" w:history="1">
              <w:r>
                <w:rPr>
                  <w:rStyle w:val="a5"/>
                  <w:rFonts w:ascii="sans-serif" w:eastAsia="sans-serif" w:hAnsi="sans-serif" w:cs="sans-serif"/>
                  <w:color w:val="000000"/>
                  <w:sz w:val="16"/>
                  <w:szCs w:val="16"/>
                  <w:u w:val="none"/>
                </w:rPr>
                <w:t>3</w:t>
              </w:r>
            </w:hyperlink>
          </w:p>
        </w:tc>
      </w:tr>
      <w:tr w:rsidR="008E7A10" w14:paraId="746EFB71" w14:textId="77777777">
        <w:tc>
          <w:tcPr>
            <w:tcW w:w="0" w:type="auto"/>
            <w:gridSpan w:val="3"/>
            <w:shd w:val="clear" w:color="auto" w:fill="auto"/>
            <w:tcMar>
              <w:top w:w="0" w:type="dxa"/>
              <w:left w:w="20" w:type="dxa"/>
              <w:bottom w:w="0" w:type="dxa"/>
              <w:right w:w="20" w:type="dxa"/>
            </w:tcMar>
          </w:tcPr>
          <w:p w14:paraId="746EFB6E"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6F" w14:textId="77777777" w:rsidR="008E7A10" w:rsidRDefault="00E047B2">
            <w:pPr>
              <w:textAlignment w:val="bottom"/>
            </w:pPr>
            <w:hyperlink r:id="rId18" w:anchor="i31a624617c6c41b38f8f700fa0df5bde_25" w:history="1">
              <w:r>
                <w:rPr>
                  <w:rStyle w:val="a5"/>
                  <w:rFonts w:ascii="sans-serif" w:eastAsia="sans-serif" w:hAnsi="sans-serif" w:cs="sans-serif"/>
                  <w:color w:val="000000"/>
                  <w:sz w:val="16"/>
                  <w:szCs w:val="16"/>
                  <w:u w:val="none"/>
                </w:rPr>
                <w:t>Unaudited Condensed Consolidated Statements of Cash Flows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70" w14:textId="77777777" w:rsidR="008E7A10" w:rsidRDefault="00E047B2">
            <w:pPr>
              <w:textAlignment w:val="bottom"/>
            </w:pPr>
            <w:hyperlink r:id="rId19" w:anchor="i31a624617c6c41b38f8f700fa0df5bde_25" w:history="1">
              <w:r>
                <w:rPr>
                  <w:rStyle w:val="a5"/>
                  <w:rFonts w:ascii="sans-serif" w:eastAsia="sans-serif" w:hAnsi="sans-serif" w:cs="sans-serif"/>
                  <w:color w:val="000000"/>
                  <w:sz w:val="16"/>
                  <w:szCs w:val="16"/>
                  <w:u w:val="none"/>
                </w:rPr>
                <w:t>4</w:t>
              </w:r>
            </w:hyperlink>
          </w:p>
        </w:tc>
      </w:tr>
      <w:tr w:rsidR="008E7A10" w14:paraId="746EFB75" w14:textId="77777777">
        <w:tc>
          <w:tcPr>
            <w:tcW w:w="0" w:type="auto"/>
            <w:gridSpan w:val="3"/>
            <w:shd w:val="clear" w:color="auto" w:fill="auto"/>
            <w:tcMar>
              <w:top w:w="0" w:type="dxa"/>
              <w:left w:w="20" w:type="dxa"/>
              <w:bottom w:w="0" w:type="dxa"/>
              <w:right w:w="20" w:type="dxa"/>
            </w:tcMar>
          </w:tcPr>
          <w:p w14:paraId="746EFB72"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73" w14:textId="77777777" w:rsidR="008E7A10" w:rsidRDefault="00E047B2">
            <w:pPr>
              <w:textAlignment w:val="bottom"/>
            </w:pPr>
            <w:hyperlink r:id="rId20" w:anchor="i31a624617c6c41b38f8f700fa0df5bde_28" w:history="1">
              <w:r>
                <w:rPr>
                  <w:rStyle w:val="a5"/>
                  <w:rFonts w:ascii="sans-serif" w:eastAsia="sans-serif" w:hAnsi="sans-serif" w:cs="sans-serif"/>
                  <w:color w:val="000000"/>
                  <w:sz w:val="16"/>
                  <w:szCs w:val="16"/>
                  <w:u w:val="none"/>
                </w:rPr>
                <w:t>Unaudited Condensed Consolidated Statements of Shareholders' Equity</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74" w14:textId="77777777" w:rsidR="008E7A10" w:rsidRDefault="00E047B2">
            <w:pPr>
              <w:textAlignment w:val="bottom"/>
            </w:pPr>
            <w:hyperlink r:id="rId21" w:anchor="i31a624617c6c41b38f8f700fa0df5bde_28" w:history="1">
              <w:r>
                <w:rPr>
                  <w:rStyle w:val="a5"/>
                  <w:rFonts w:ascii="sans-serif" w:eastAsia="sans-serif" w:hAnsi="sans-serif" w:cs="sans-serif"/>
                  <w:color w:val="000000"/>
                  <w:sz w:val="16"/>
                  <w:szCs w:val="16"/>
                  <w:u w:val="none"/>
                </w:rPr>
                <w:t>5</w:t>
              </w:r>
            </w:hyperlink>
          </w:p>
        </w:tc>
      </w:tr>
      <w:tr w:rsidR="008E7A10" w14:paraId="746EFB79" w14:textId="77777777">
        <w:tc>
          <w:tcPr>
            <w:tcW w:w="0" w:type="auto"/>
            <w:gridSpan w:val="3"/>
            <w:shd w:val="clear" w:color="auto" w:fill="auto"/>
            <w:tcMar>
              <w:top w:w="0" w:type="dxa"/>
              <w:left w:w="20" w:type="dxa"/>
              <w:bottom w:w="0" w:type="dxa"/>
              <w:right w:w="20" w:type="dxa"/>
            </w:tcMar>
          </w:tcPr>
          <w:p w14:paraId="746EFB76"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77" w14:textId="77777777" w:rsidR="008E7A10" w:rsidRDefault="00E047B2">
            <w:pPr>
              <w:textAlignment w:val="bottom"/>
            </w:pPr>
            <w:hyperlink r:id="rId22" w:anchor="i31a624617c6c41b38f8f700fa0df5bde_31" w:history="1">
              <w:r>
                <w:rPr>
                  <w:rStyle w:val="a5"/>
                  <w:rFonts w:ascii="sans-serif" w:eastAsia="sans-serif" w:hAnsi="sans-serif" w:cs="sans-serif"/>
                  <w:color w:val="000000"/>
                  <w:sz w:val="16"/>
                  <w:szCs w:val="16"/>
                  <w:u w:val="none"/>
                </w:rPr>
                <w:t xml:space="preserve">Notes to the Unaudited Condensed Consolidated Financial Statements </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78" w14:textId="77777777" w:rsidR="008E7A10" w:rsidRDefault="00E047B2">
            <w:pPr>
              <w:textAlignment w:val="bottom"/>
            </w:pPr>
            <w:hyperlink r:id="rId23" w:anchor="i31a624617c6c41b38f8f700fa0df5bde_31" w:history="1">
              <w:r>
                <w:rPr>
                  <w:rStyle w:val="a5"/>
                  <w:rFonts w:ascii="sans-serif" w:eastAsia="sans-serif" w:hAnsi="sans-serif" w:cs="sans-serif"/>
                  <w:color w:val="000000"/>
                  <w:sz w:val="16"/>
                  <w:szCs w:val="16"/>
                  <w:u w:val="none"/>
                </w:rPr>
                <w:t>7</w:t>
              </w:r>
            </w:hyperlink>
          </w:p>
        </w:tc>
      </w:tr>
      <w:tr w:rsidR="008E7A10" w14:paraId="746EFB7D" w14:textId="77777777">
        <w:tc>
          <w:tcPr>
            <w:tcW w:w="0" w:type="auto"/>
            <w:gridSpan w:val="3"/>
            <w:shd w:val="clear" w:color="auto" w:fill="auto"/>
            <w:tcMar>
              <w:top w:w="40" w:type="dxa"/>
              <w:left w:w="20" w:type="dxa"/>
              <w:bottom w:w="40" w:type="dxa"/>
              <w:right w:w="20" w:type="dxa"/>
            </w:tcMar>
            <w:vAlign w:val="bottom"/>
          </w:tcPr>
          <w:p w14:paraId="746EFB7A" w14:textId="77777777" w:rsidR="008E7A10" w:rsidRDefault="00E047B2">
            <w:pPr>
              <w:textAlignment w:val="bottom"/>
            </w:pPr>
            <w:hyperlink r:id="rId24" w:anchor="i31a624617c6c41b38f8f700fa0df5bde_136" w:history="1">
              <w:r>
                <w:rPr>
                  <w:rStyle w:val="a5"/>
                  <w:rFonts w:ascii="sans-serif" w:eastAsia="sans-serif" w:hAnsi="sans-serif" w:cs="sans-serif"/>
                  <w:b/>
                  <w:bCs/>
                  <w:color w:val="000000"/>
                  <w:sz w:val="18"/>
                  <w:szCs w:val="18"/>
                  <w:u w:val="none"/>
                </w:rPr>
                <w:t>ITEM </w:t>
              </w:r>
            </w:hyperlink>
            <w:r>
              <w:rPr>
                <w:rFonts w:ascii="sans-serif" w:eastAsia="sans-serif" w:hAnsi="sans-serif" w:cs="sans-serif"/>
                <w:b/>
                <w:bCs/>
                <w:color w:val="000000"/>
                <w:sz w:val="18"/>
                <w:szCs w:val="18"/>
              </w:rPr>
              <w:t>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7B" w14:textId="77777777" w:rsidR="008E7A10" w:rsidRDefault="00E047B2">
            <w:pPr>
              <w:textAlignment w:val="bottom"/>
            </w:pPr>
            <w:hyperlink r:id="rId25" w:anchor="i31a624617c6c41b38f8f700fa0df5bde_76"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7C" w14:textId="77777777" w:rsidR="008E7A10" w:rsidRDefault="00E047B2">
            <w:pPr>
              <w:textAlignment w:val="bottom"/>
            </w:pPr>
            <w:hyperlink r:id="rId26" w:anchor="i31a624617c6c41b38f8f700fa0df5bde_76" w:history="1">
              <w:r>
                <w:rPr>
                  <w:rStyle w:val="a5"/>
                  <w:rFonts w:ascii="sans-serif" w:eastAsia="sans-serif" w:hAnsi="sans-serif" w:cs="sans-serif"/>
                  <w:color w:val="000000"/>
                  <w:sz w:val="16"/>
                  <w:szCs w:val="16"/>
                  <w:u w:val="none"/>
                </w:rPr>
                <w:t>25</w:t>
              </w:r>
            </w:hyperlink>
          </w:p>
        </w:tc>
      </w:tr>
      <w:tr w:rsidR="008E7A10" w14:paraId="746EFB8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7E" w14:textId="77777777" w:rsidR="008E7A10" w:rsidRDefault="00E047B2">
            <w:pPr>
              <w:textAlignment w:val="bottom"/>
            </w:pPr>
            <w:r>
              <w:rPr>
                <w:rFonts w:ascii="sans-serif" w:eastAsia="sans-serif" w:hAnsi="sans-serif" w:cs="sans-serif"/>
                <w:b/>
                <w:bCs/>
                <w:color w:val="000000"/>
                <w:sz w:val="18"/>
                <w:szCs w:val="18"/>
              </w:rPr>
              <w:t>ITEM 3.</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7F" w14:textId="77777777" w:rsidR="008E7A10" w:rsidRDefault="00E047B2">
            <w:pPr>
              <w:textAlignment w:val="bottom"/>
            </w:pPr>
            <w:hyperlink r:id="rId27" w:anchor="i31a624617c6c41b38f8f700fa0df5bde_121" w:history="1">
              <w:r>
                <w:rPr>
                  <w:rStyle w:val="a5"/>
                  <w:rFonts w:ascii="sans-serif" w:eastAsia="sans-serif" w:hAnsi="sans-serif" w:cs="sans-serif"/>
                  <w:color w:val="000000"/>
                  <w:sz w:val="16"/>
                  <w:szCs w:val="16"/>
                  <w:u w:val="none"/>
                </w:rPr>
                <w:t>Quantitative and Qualitative Disclosures about Market Risk</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80" w14:textId="77777777" w:rsidR="008E7A10" w:rsidRDefault="00E047B2">
            <w:pPr>
              <w:textAlignment w:val="bottom"/>
            </w:pPr>
            <w:hyperlink r:id="rId28" w:anchor="i31a624617c6c41b38f8f700fa0df5bde_121" w:history="1">
              <w:r>
                <w:rPr>
                  <w:rStyle w:val="a5"/>
                  <w:rFonts w:ascii="sans-serif" w:eastAsia="sans-serif" w:hAnsi="sans-serif" w:cs="sans-serif"/>
                  <w:color w:val="000000"/>
                  <w:sz w:val="16"/>
                  <w:szCs w:val="16"/>
                  <w:u w:val="none"/>
                </w:rPr>
                <w:t>45</w:t>
              </w:r>
            </w:hyperlink>
          </w:p>
        </w:tc>
      </w:tr>
      <w:tr w:rsidR="008E7A10" w14:paraId="746EFB8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82" w14:textId="77777777" w:rsidR="008E7A10" w:rsidRDefault="00E047B2">
            <w:pPr>
              <w:textAlignment w:val="bottom"/>
            </w:pPr>
            <w:r>
              <w:rPr>
                <w:rFonts w:ascii="sans-serif" w:eastAsia="sans-serif" w:hAnsi="sans-serif" w:cs="sans-serif"/>
                <w:b/>
                <w:bCs/>
                <w:color w:val="000000"/>
                <w:sz w:val="18"/>
                <w:szCs w:val="18"/>
              </w:rPr>
              <w:t>ITEM 4.</w:t>
            </w:r>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vAlign w:val="bottom"/>
          </w:tcPr>
          <w:p w14:paraId="746EFB83" w14:textId="77777777" w:rsidR="008E7A10" w:rsidRDefault="00E047B2">
            <w:pPr>
              <w:textAlignment w:val="bottom"/>
            </w:pPr>
            <w:hyperlink r:id="rId29" w:anchor="i31a624617c6c41b38f8f700fa0df5bde_124" w:history="1">
              <w:r>
                <w:rPr>
                  <w:rStyle w:val="a5"/>
                  <w:rFonts w:ascii="sans-serif" w:eastAsia="sans-serif" w:hAnsi="sans-serif" w:cs="sans-serif"/>
                  <w:color w:val="000000"/>
                  <w:sz w:val="16"/>
                  <w:szCs w:val="16"/>
                  <w:u w:val="none"/>
                </w:rPr>
                <w:t>Controls and Procedures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84" w14:textId="77777777" w:rsidR="008E7A10" w:rsidRDefault="00E047B2">
            <w:pPr>
              <w:textAlignment w:val="bottom"/>
            </w:pPr>
            <w:hyperlink r:id="rId30" w:anchor="i31a624617c6c41b38f8f700fa0df5bde_124" w:history="1">
              <w:r>
                <w:rPr>
                  <w:rStyle w:val="a5"/>
                  <w:rFonts w:ascii="sans-serif" w:eastAsia="sans-serif" w:hAnsi="sans-serif" w:cs="sans-serif"/>
                  <w:color w:val="000000"/>
                  <w:sz w:val="16"/>
                  <w:szCs w:val="16"/>
                  <w:u w:val="none"/>
                </w:rPr>
                <w:t>45</w:t>
              </w:r>
            </w:hyperlink>
          </w:p>
        </w:tc>
      </w:tr>
      <w:tr w:rsidR="008E7A10" w14:paraId="746EFB88" w14:textId="77777777">
        <w:tc>
          <w:tcPr>
            <w:tcW w:w="0" w:type="auto"/>
            <w:gridSpan w:val="6"/>
            <w:tcBorders>
              <w:top w:val="single" w:sz="8" w:space="0" w:color="808080"/>
            </w:tcBorders>
            <w:shd w:val="clear" w:color="auto" w:fill="auto"/>
            <w:tcMar>
              <w:top w:w="40" w:type="dxa"/>
              <w:left w:w="20" w:type="dxa"/>
              <w:bottom w:w="40" w:type="dxa"/>
              <w:right w:w="20" w:type="dxa"/>
            </w:tcMar>
            <w:vAlign w:val="bottom"/>
          </w:tcPr>
          <w:p w14:paraId="746EFB86" w14:textId="77777777" w:rsidR="008E7A10" w:rsidRDefault="00E047B2">
            <w:pPr>
              <w:spacing w:before="120" w:after="120"/>
              <w:textAlignment w:val="bottom"/>
            </w:pPr>
            <w:hyperlink r:id="rId31" w:anchor="i31a624617c6c41b38f8f700fa0df5bde_130" w:history="1">
              <w:r>
                <w:rPr>
                  <w:rStyle w:val="a5"/>
                  <w:rFonts w:ascii="sans-serif" w:eastAsia="sans-serif" w:hAnsi="sans-serif" w:cs="sans-serif"/>
                  <w:color w:val="E87722"/>
                  <w:u w:val="none"/>
                </w:rPr>
                <w:t>PART II</w:t>
              </w:r>
            </w:hyperlink>
            <w:r>
              <w:rPr>
                <w:rFonts w:ascii="sans-serif" w:eastAsia="sans-serif" w:hAnsi="sans-serif" w:cs="sans-serif"/>
                <w:color w:val="E87722"/>
              </w:rPr>
              <w:t xml:space="preserve"> - OTHER INFORMATION</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87" w14:textId="77777777" w:rsidR="008E7A10" w:rsidRDefault="00E047B2">
            <w:pPr>
              <w:spacing w:before="120" w:after="120"/>
              <w:textAlignment w:val="bottom"/>
            </w:pPr>
            <w:hyperlink r:id="rId32" w:anchor="i31a624617c6c41b38f8f700fa0df5bde_130" w:history="1">
              <w:r>
                <w:rPr>
                  <w:rStyle w:val="a5"/>
                  <w:rFonts w:ascii="sans-serif" w:eastAsia="sans-serif" w:hAnsi="sans-serif" w:cs="sans-serif"/>
                  <w:color w:val="E87722"/>
                  <w:u w:val="none"/>
                </w:rPr>
                <w:t>47</w:t>
              </w:r>
            </w:hyperlink>
          </w:p>
        </w:tc>
      </w:tr>
      <w:tr w:rsidR="008E7A10" w14:paraId="746EFB8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B89" w14:textId="77777777" w:rsidR="008E7A10" w:rsidRDefault="00E047B2">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B8A" w14:textId="77777777" w:rsidR="008E7A10" w:rsidRDefault="00E047B2">
            <w:pPr>
              <w:textAlignment w:val="bottom"/>
            </w:pPr>
            <w:hyperlink r:id="rId33" w:anchor="i31a624617c6c41b38f8f700fa0df5bde_133" w:history="1">
              <w:r>
                <w:rPr>
                  <w:rStyle w:val="a5"/>
                  <w:rFonts w:ascii="sans-serif" w:eastAsia="sans-serif" w:hAnsi="sans-serif" w:cs="sans-serif"/>
                  <w:color w:val="000000"/>
                  <w:sz w:val="16"/>
                  <w:szCs w:val="16"/>
                  <w:u w:val="none"/>
                </w:rPr>
                <w:t>Legal Proceedings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B8B" w14:textId="77777777" w:rsidR="008E7A10" w:rsidRDefault="00E047B2">
            <w:pPr>
              <w:textAlignment w:val="bottom"/>
            </w:pPr>
            <w:hyperlink r:id="rId34" w:anchor="i31a624617c6c41b38f8f700fa0df5bde_133" w:history="1">
              <w:r>
                <w:rPr>
                  <w:rStyle w:val="a5"/>
                  <w:rFonts w:ascii="sans-serif" w:eastAsia="sans-serif" w:hAnsi="sans-serif" w:cs="sans-serif"/>
                  <w:color w:val="000000"/>
                  <w:sz w:val="16"/>
                  <w:szCs w:val="16"/>
                  <w:u w:val="none"/>
                </w:rPr>
                <w:t>47</w:t>
              </w:r>
            </w:hyperlink>
          </w:p>
        </w:tc>
      </w:tr>
      <w:tr w:rsidR="008E7A10" w14:paraId="746EFB9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8D" w14:textId="77777777" w:rsidR="008E7A10" w:rsidRDefault="00E047B2">
            <w:pPr>
              <w:textAlignment w:val="bottom"/>
            </w:pPr>
            <w:r>
              <w:rPr>
                <w:rFonts w:ascii="sans-serif" w:eastAsia="sans-serif" w:hAnsi="sans-serif" w:cs="sans-serif"/>
                <w:b/>
                <w:bCs/>
                <w:color w:val="000000"/>
                <w:sz w:val="18"/>
                <w:szCs w:val="18"/>
              </w:rPr>
              <w:t>ITEM 1A.</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8E" w14:textId="77777777" w:rsidR="008E7A10" w:rsidRDefault="00E047B2">
            <w:pPr>
              <w:textAlignment w:val="bottom"/>
            </w:pPr>
            <w:hyperlink r:id="rId35" w:anchor="i31a624617c6c41b38f8f700fa0df5bde_136" w:history="1">
              <w:r>
                <w:rPr>
                  <w:rStyle w:val="a5"/>
                  <w:rFonts w:ascii="sans-serif" w:eastAsia="sans-serif" w:hAnsi="sans-serif" w:cs="sans-serif"/>
                  <w:color w:val="000000"/>
                  <w:sz w:val="16"/>
                  <w:szCs w:val="16"/>
                  <w:u w:val="none"/>
                </w:rPr>
                <w:t>Risk Factors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8F" w14:textId="77777777" w:rsidR="008E7A10" w:rsidRDefault="00E047B2">
            <w:pPr>
              <w:textAlignment w:val="bottom"/>
            </w:pPr>
            <w:hyperlink r:id="rId36" w:anchor="i31a624617c6c41b38f8f700fa0df5bde_136" w:history="1">
              <w:r>
                <w:rPr>
                  <w:rStyle w:val="a5"/>
                  <w:rFonts w:ascii="sans-serif" w:eastAsia="sans-serif" w:hAnsi="sans-serif" w:cs="sans-serif"/>
                  <w:color w:val="000000"/>
                  <w:sz w:val="16"/>
                  <w:szCs w:val="16"/>
                  <w:u w:val="none"/>
                </w:rPr>
                <w:t>47</w:t>
              </w:r>
            </w:hyperlink>
          </w:p>
        </w:tc>
      </w:tr>
      <w:tr w:rsidR="008E7A10" w14:paraId="746EFB9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91" w14:textId="77777777" w:rsidR="008E7A10" w:rsidRDefault="00E047B2">
            <w:pPr>
              <w:textAlignment w:val="bottom"/>
            </w:pPr>
            <w:r>
              <w:rPr>
                <w:rFonts w:ascii="sans-serif" w:eastAsia="sans-serif" w:hAnsi="sans-serif" w:cs="sans-serif"/>
                <w:b/>
                <w:bCs/>
                <w:color w:val="000000"/>
                <w:sz w:val="18"/>
                <w:szCs w:val="18"/>
              </w:rPr>
              <w:t>ITEM 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92" w14:textId="77777777" w:rsidR="008E7A10" w:rsidRDefault="00E047B2">
            <w:pPr>
              <w:textAlignment w:val="bottom"/>
            </w:pPr>
            <w:hyperlink r:id="rId37" w:anchor="i31a624617c6c41b38f8f700fa0df5bde_139" w:history="1">
              <w:r>
                <w:rPr>
                  <w:rStyle w:val="a5"/>
                  <w:rFonts w:ascii="sans-serif" w:eastAsia="sans-serif" w:hAnsi="sans-serif" w:cs="sans-serif"/>
                  <w:color w:val="000000"/>
                  <w:sz w:val="16"/>
                  <w:szCs w:val="16"/>
                  <w:u w:val="none"/>
                </w:rPr>
                <w:t>Unregistered Sales of Equity Securities and Use of Proceeds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93" w14:textId="77777777" w:rsidR="008E7A10" w:rsidRDefault="00E047B2">
            <w:pPr>
              <w:textAlignment w:val="bottom"/>
            </w:pPr>
            <w:hyperlink r:id="rId38" w:anchor="i31a624617c6c41b38f8f700fa0df5bde_139" w:history="1">
              <w:r>
                <w:rPr>
                  <w:rStyle w:val="a5"/>
                  <w:rFonts w:ascii="sans-serif" w:eastAsia="sans-serif" w:hAnsi="sans-serif" w:cs="sans-serif"/>
                  <w:color w:val="000000"/>
                  <w:sz w:val="16"/>
                  <w:szCs w:val="16"/>
                  <w:u w:val="none"/>
                </w:rPr>
                <w:t>48</w:t>
              </w:r>
            </w:hyperlink>
          </w:p>
        </w:tc>
      </w:tr>
      <w:tr w:rsidR="008E7A10" w14:paraId="746EFB9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95" w14:textId="77777777" w:rsidR="008E7A10" w:rsidRDefault="00E047B2">
            <w:pPr>
              <w:textAlignment w:val="bottom"/>
            </w:pPr>
            <w:r>
              <w:rPr>
                <w:rFonts w:ascii="sans-serif" w:eastAsia="sans-serif" w:hAnsi="sans-serif" w:cs="sans-serif"/>
                <w:b/>
                <w:bCs/>
                <w:color w:val="000000"/>
                <w:sz w:val="18"/>
                <w:szCs w:val="18"/>
              </w:rPr>
              <w:t>ITEM 6.</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96" w14:textId="77777777" w:rsidR="008E7A10" w:rsidRDefault="00E047B2">
            <w:pPr>
              <w:textAlignment w:val="bottom"/>
            </w:pPr>
            <w:hyperlink r:id="rId39" w:anchor="i31a624617c6c41b38f8f700fa0df5bde_142" w:history="1">
              <w:r>
                <w:rPr>
                  <w:rStyle w:val="a5"/>
                  <w:rFonts w:ascii="sans-serif" w:eastAsia="sans-serif" w:hAnsi="sans-serif" w:cs="sans-serif"/>
                  <w:color w:val="000000"/>
                  <w:sz w:val="16"/>
                  <w:szCs w:val="16"/>
                  <w:u w:val="none"/>
                </w:rPr>
                <w:t>Exhibits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97" w14:textId="77777777" w:rsidR="008E7A10" w:rsidRDefault="00E047B2">
            <w:pPr>
              <w:textAlignment w:val="bottom"/>
            </w:pPr>
            <w:hyperlink r:id="rId40" w:anchor="i31a624617c6c41b38f8f700fa0df5bde_142" w:history="1">
              <w:r>
                <w:rPr>
                  <w:rStyle w:val="a5"/>
                  <w:rFonts w:ascii="sans-serif" w:eastAsia="sans-serif" w:hAnsi="sans-serif" w:cs="sans-serif"/>
                  <w:color w:val="000000"/>
                  <w:sz w:val="16"/>
                  <w:szCs w:val="16"/>
                  <w:u w:val="none"/>
                </w:rPr>
                <w:t>49</w:t>
              </w:r>
            </w:hyperlink>
          </w:p>
        </w:tc>
      </w:tr>
      <w:tr w:rsidR="008E7A10" w14:paraId="746EFB9C" w14:textId="77777777">
        <w:tc>
          <w:tcPr>
            <w:tcW w:w="0" w:type="auto"/>
            <w:gridSpan w:val="3"/>
            <w:tcBorders>
              <w:top w:val="single" w:sz="8" w:space="0" w:color="808080"/>
              <w:bottom w:val="single" w:sz="8" w:space="0" w:color="808080"/>
            </w:tcBorders>
            <w:shd w:val="clear" w:color="auto" w:fill="auto"/>
            <w:tcMar>
              <w:top w:w="0" w:type="dxa"/>
              <w:left w:w="20" w:type="dxa"/>
              <w:bottom w:w="0" w:type="dxa"/>
              <w:right w:w="20" w:type="dxa"/>
            </w:tcMar>
          </w:tcPr>
          <w:p w14:paraId="746EFB99" w14:textId="77777777" w:rsidR="008E7A10" w:rsidRDefault="008E7A10">
            <w:pPr>
              <w:rPr>
                <w:rFonts w:ascii="宋体"/>
              </w:rPr>
            </w:pPr>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vAlign w:val="bottom"/>
          </w:tcPr>
          <w:p w14:paraId="746EFB9A" w14:textId="77777777" w:rsidR="008E7A10" w:rsidRDefault="00E047B2">
            <w:pPr>
              <w:textAlignment w:val="bottom"/>
            </w:pPr>
            <w:hyperlink r:id="rId41" w:anchor="i31a624617c6c41b38f8f700fa0df5bde_145" w:history="1">
              <w:r>
                <w:rPr>
                  <w:rStyle w:val="a5"/>
                  <w:rFonts w:ascii="sans-serif" w:eastAsia="sans-serif" w:hAnsi="sans-serif" w:cs="sans-serif"/>
                  <w:color w:val="000000"/>
                  <w:sz w:val="16"/>
                  <w:szCs w:val="16"/>
                  <w:u w:val="none"/>
                </w:rPr>
                <w:t>Signatures</w:t>
              </w:r>
            </w:hyperlink>
          </w:p>
        </w:tc>
        <w:tc>
          <w:tcPr>
            <w:tcW w:w="0" w:type="auto"/>
            <w:gridSpan w:val="3"/>
            <w:tcBorders>
              <w:top w:val="single" w:sz="8" w:space="0" w:color="808080"/>
              <w:bottom w:val="single" w:sz="8" w:space="0" w:color="808080"/>
            </w:tcBorders>
            <w:shd w:val="clear" w:color="auto" w:fill="auto"/>
            <w:tcMar>
              <w:top w:w="40" w:type="dxa"/>
              <w:left w:w="20" w:type="dxa"/>
              <w:bottom w:w="40" w:type="dxa"/>
              <w:right w:w="20" w:type="dxa"/>
            </w:tcMar>
            <w:vAlign w:val="bottom"/>
          </w:tcPr>
          <w:p w14:paraId="746EFB9B" w14:textId="77777777" w:rsidR="008E7A10" w:rsidRDefault="00E047B2">
            <w:pPr>
              <w:textAlignment w:val="bottom"/>
            </w:pPr>
            <w:hyperlink r:id="rId42" w:anchor="i31a624617c6c41b38f8f700fa0df5bde_145" w:history="1">
              <w:r>
                <w:rPr>
                  <w:rStyle w:val="a5"/>
                  <w:rFonts w:ascii="sans-serif" w:eastAsia="sans-serif" w:hAnsi="sans-serif" w:cs="sans-serif"/>
                  <w:color w:val="000000"/>
                  <w:sz w:val="16"/>
                  <w:szCs w:val="16"/>
                  <w:u w:val="none"/>
                </w:rPr>
                <w:t>50</w:t>
              </w:r>
            </w:hyperlink>
          </w:p>
        </w:tc>
      </w:tr>
    </w:tbl>
    <w:p w14:paraId="746EFB9D" w14:textId="77777777" w:rsidR="008E7A10" w:rsidRDefault="008E7A10">
      <w:pPr>
        <w:spacing w:before="120" w:after="120"/>
      </w:pPr>
    </w:p>
    <w:p w14:paraId="746EFB9E" w14:textId="77777777" w:rsidR="008E7A10" w:rsidRDefault="00E047B2">
      <w:r>
        <w:pict w14:anchorId="746F2008">
          <v:rect id="_x0000_i1026" style="width:415.3pt;height:1.5pt" o:hralign="center" o:hrstd="t" o:hr="t" fillcolor="#a0a0a0" stroked="f"/>
        </w:pict>
      </w:r>
    </w:p>
    <w:p w14:paraId="746EFB9F" w14:textId="77777777" w:rsidR="008E7A10" w:rsidRDefault="008E7A10"/>
    <w:p w14:paraId="746EFBA0" w14:textId="77777777" w:rsidR="008E7A10" w:rsidRDefault="00E047B2">
      <w:hyperlink r:id="rId43" w:anchor="i31a624617c6c41b38f8f700fa0df5bde_7" w:history="1">
        <w:r>
          <w:rPr>
            <w:rStyle w:val="a5"/>
            <w:rFonts w:ascii="sans-serif" w:eastAsia="sans-serif" w:hAnsi="sans-serif" w:cs="sans-serif"/>
            <w:sz w:val="17"/>
            <w:szCs w:val="17"/>
          </w:rPr>
          <w:t>Table of Contents</w:t>
        </w:r>
      </w:hyperlink>
    </w:p>
    <w:p w14:paraId="746EFBA1" w14:textId="77777777" w:rsidR="008E7A10" w:rsidRDefault="008E7A10"/>
    <w:p w14:paraId="746EFBA2" w14:textId="77777777" w:rsidR="008E7A10" w:rsidRDefault="00E047B2">
      <w:r>
        <w:rPr>
          <w:rFonts w:ascii="sans-serif" w:eastAsia="sans-serif" w:hAnsi="sans-serif" w:cs="sans-serif"/>
          <w:color w:val="E87722"/>
          <w:sz w:val="68"/>
          <w:szCs w:val="68"/>
        </w:rPr>
        <w:lastRenderedPageBreak/>
        <w:t>PART I - FINANCIAL INFORMATION</w:t>
      </w:r>
    </w:p>
    <w:p w14:paraId="746EFBA3" w14:textId="77777777" w:rsidR="008E7A10" w:rsidRDefault="00E047B2">
      <w:pPr>
        <w:spacing w:before="120" w:after="300"/>
      </w:pPr>
      <w:r>
        <w:rPr>
          <w:rFonts w:ascii="sans-serif" w:eastAsia="sans-serif" w:hAnsi="sans-serif" w:cs="sans-serif"/>
          <w:color w:val="000000"/>
          <w:sz w:val="44"/>
          <w:szCs w:val="44"/>
        </w:rPr>
        <w:t>ITEM 1. FINANCIAL STATEMENTS</w:t>
      </w:r>
    </w:p>
    <w:p w14:paraId="746EFBA4" w14:textId="77777777" w:rsidR="008E7A10" w:rsidRDefault="00E047B2">
      <w:pPr>
        <w:spacing w:before="300"/>
      </w:pPr>
      <w:r>
        <w:rPr>
          <w:rFonts w:ascii="sans-serif" w:eastAsia="sans-serif" w:hAnsi="sans-serif" w:cs="sans-serif"/>
          <w:b/>
          <w:bCs/>
          <w:color w:val="E87722"/>
          <w:sz w:val="36"/>
          <w:szCs w:val="36"/>
        </w:rPr>
        <w:t>NIKE, INC.</w:t>
      </w:r>
    </w:p>
    <w:p w14:paraId="746EFBA5" w14:textId="77777777" w:rsidR="008E7A10" w:rsidRDefault="00E047B2">
      <w:pPr>
        <w:spacing w:before="120" w:after="120"/>
      </w:pPr>
      <w:r>
        <w:rPr>
          <w:rFonts w:ascii="sans-serif" w:eastAsia="sans-serif" w:hAnsi="sans-serif" w:cs="sans-serif"/>
          <w:b/>
          <w:bCs/>
          <w:color w:val="000000"/>
          <w:sz w:val="28"/>
          <w:szCs w:val="28"/>
        </w:rPr>
        <w:t>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3488"/>
        <w:gridCol w:w="38"/>
        <w:gridCol w:w="115"/>
        <w:gridCol w:w="987"/>
        <w:gridCol w:w="36"/>
        <w:gridCol w:w="115"/>
        <w:gridCol w:w="988"/>
        <w:gridCol w:w="36"/>
        <w:gridCol w:w="36"/>
        <w:gridCol w:w="36"/>
        <w:gridCol w:w="36"/>
        <w:gridCol w:w="115"/>
        <w:gridCol w:w="952"/>
        <w:gridCol w:w="36"/>
        <w:gridCol w:w="115"/>
        <w:gridCol w:w="988"/>
        <w:gridCol w:w="36"/>
        <w:gridCol w:w="36"/>
        <w:gridCol w:w="36"/>
        <w:gridCol w:w="36"/>
        <w:gridCol w:w="36"/>
      </w:tblGrid>
      <w:tr w:rsidR="008E7A10" w14:paraId="746EFBBA" w14:textId="77777777">
        <w:tc>
          <w:tcPr>
            <w:tcW w:w="50" w:type="pct"/>
            <w:shd w:val="clear" w:color="auto" w:fill="auto"/>
          </w:tcPr>
          <w:p w14:paraId="746EFBA6" w14:textId="77777777" w:rsidR="008E7A10" w:rsidRDefault="008E7A10">
            <w:pPr>
              <w:rPr>
                <w:rFonts w:ascii="宋体"/>
              </w:rPr>
            </w:pPr>
          </w:p>
        </w:tc>
        <w:tc>
          <w:tcPr>
            <w:tcW w:w="2159" w:type="pct"/>
            <w:shd w:val="clear" w:color="auto" w:fill="auto"/>
          </w:tcPr>
          <w:p w14:paraId="746EFBA7" w14:textId="77777777" w:rsidR="008E7A10" w:rsidRDefault="008E7A10">
            <w:pPr>
              <w:rPr>
                <w:rFonts w:ascii="宋体"/>
              </w:rPr>
            </w:pPr>
          </w:p>
        </w:tc>
        <w:tc>
          <w:tcPr>
            <w:tcW w:w="5" w:type="pct"/>
            <w:shd w:val="clear" w:color="auto" w:fill="auto"/>
          </w:tcPr>
          <w:p w14:paraId="746EFBA8" w14:textId="77777777" w:rsidR="008E7A10" w:rsidRDefault="008E7A10">
            <w:pPr>
              <w:rPr>
                <w:rFonts w:ascii="宋体"/>
              </w:rPr>
            </w:pPr>
          </w:p>
        </w:tc>
        <w:tc>
          <w:tcPr>
            <w:tcW w:w="50" w:type="pct"/>
            <w:shd w:val="clear" w:color="auto" w:fill="auto"/>
          </w:tcPr>
          <w:p w14:paraId="746EFBA9" w14:textId="77777777" w:rsidR="008E7A10" w:rsidRDefault="008E7A10">
            <w:pPr>
              <w:rPr>
                <w:rFonts w:ascii="宋体"/>
              </w:rPr>
            </w:pPr>
          </w:p>
        </w:tc>
        <w:tc>
          <w:tcPr>
            <w:tcW w:w="631" w:type="pct"/>
            <w:shd w:val="clear" w:color="auto" w:fill="auto"/>
          </w:tcPr>
          <w:p w14:paraId="746EFBAA" w14:textId="77777777" w:rsidR="008E7A10" w:rsidRDefault="008E7A10">
            <w:pPr>
              <w:rPr>
                <w:rFonts w:ascii="宋体"/>
              </w:rPr>
            </w:pPr>
          </w:p>
        </w:tc>
        <w:tc>
          <w:tcPr>
            <w:tcW w:w="5" w:type="pct"/>
            <w:shd w:val="clear" w:color="auto" w:fill="auto"/>
          </w:tcPr>
          <w:p w14:paraId="746EFBAB" w14:textId="77777777" w:rsidR="008E7A10" w:rsidRDefault="008E7A10">
            <w:pPr>
              <w:rPr>
                <w:rFonts w:ascii="宋体"/>
              </w:rPr>
            </w:pPr>
          </w:p>
        </w:tc>
        <w:tc>
          <w:tcPr>
            <w:tcW w:w="50" w:type="pct"/>
            <w:shd w:val="clear" w:color="auto" w:fill="auto"/>
          </w:tcPr>
          <w:p w14:paraId="746EFBAC" w14:textId="77777777" w:rsidR="008E7A10" w:rsidRDefault="008E7A10">
            <w:pPr>
              <w:rPr>
                <w:rFonts w:ascii="宋体"/>
              </w:rPr>
            </w:pPr>
          </w:p>
        </w:tc>
        <w:tc>
          <w:tcPr>
            <w:tcW w:w="631" w:type="pct"/>
            <w:shd w:val="clear" w:color="auto" w:fill="auto"/>
          </w:tcPr>
          <w:p w14:paraId="746EFBAD" w14:textId="77777777" w:rsidR="008E7A10" w:rsidRDefault="008E7A10">
            <w:pPr>
              <w:rPr>
                <w:rFonts w:ascii="宋体"/>
              </w:rPr>
            </w:pPr>
          </w:p>
        </w:tc>
        <w:tc>
          <w:tcPr>
            <w:tcW w:w="5" w:type="pct"/>
            <w:shd w:val="clear" w:color="auto" w:fill="auto"/>
          </w:tcPr>
          <w:p w14:paraId="746EFBAE" w14:textId="77777777" w:rsidR="008E7A10" w:rsidRDefault="008E7A10">
            <w:pPr>
              <w:rPr>
                <w:rFonts w:ascii="宋体"/>
              </w:rPr>
            </w:pPr>
          </w:p>
        </w:tc>
        <w:tc>
          <w:tcPr>
            <w:tcW w:w="5" w:type="pct"/>
            <w:shd w:val="clear" w:color="auto" w:fill="auto"/>
          </w:tcPr>
          <w:p w14:paraId="746EFBAF" w14:textId="77777777" w:rsidR="008E7A10" w:rsidRDefault="008E7A10">
            <w:pPr>
              <w:rPr>
                <w:rFonts w:ascii="宋体"/>
              </w:rPr>
            </w:pPr>
          </w:p>
        </w:tc>
        <w:tc>
          <w:tcPr>
            <w:tcW w:w="28" w:type="pct"/>
            <w:shd w:val="clear" w:color="auto" w:fill="auto"/>
          </w:tcPr>
          <w:p w14:paraId="746EFBB0" w14:textId="77777777" w:rsidR="008E7A10" w:rsidRDefault="008E7A10">
            <w:pPr>
              <w:rPr>
                <w:rFonts w:ascii="宋体"/>
              </w:rPr>
            </w:pPr>
          </w:p>
        </w:tc>
        <w:tc>
          <w:tcPr>
            <w:tcW w:w="5" w:type="pct"/>
            <w:shd w:val="clear" w:color="auto" w:fill="auto"/>
          </w:tcPr>
          <w:p w14:paraId="746EFBB1" w14:textId="77777777" w:rsidR="008E7A10" w:rsidRDefault="008E7A10">
            <w:pPr>
              <w:rPr>
                <w:rFonts w:ascii="宋体"/>
              </w:rPr>
            </w:pPr>
          </w:p>
        </w:tc>
        <w:tc>
          <w:tcPr>
            <w:tcW w:w="50" w:type="pct"/>
            <w:shd w:val="clear" w:color="auto" w:fill="auto"/>
          </w:tcPr>
          <w:p w14:paraId="746EFBB2" w14:textId="77777777" w:rsidR="008E7A10" w:rsidRDefault="008E7A10">
            <w:pPr>
              <w:rPr>
                <w:rFonts w:ascii="宋体"/>
              </w:rPr>
            </w:pPr>
          </w:p>
        </w:tc>
        <w:tc>
          <w:tcPr>
            <w:tcW w:w="631" w:type="pct"/>
            <w:shd w:val="clear" w:color="auto" w:fill="auto"/>
          </w:tcPr>
          <w:p w14:paraId="746EFBB3" w14:textId="77777777" w:rsidR="008E7A10" w:rsidRDefault="008E7A10">
            <w:pPr>
              <w:rPr>
                <w:rFonts w:ascii="宋体"/>
              </w:rPr>
            </w:pPr>
          </w:p>
        </w:tc>
        <w:tc>
          <w:tcPr>
            <w:tcW w:w="5" w:type="pct"/>
            <w:shd w:val="clear" w:color="auto" w:fill="auto"/>
          </w:tcPr>
          <w:p w14:paraId="746EFBB4" w14:textId="77777777" w:rsidR="008E7A10" w:rsidRDefault="008E7A10">
            <w:pPr>
              <w:rPr>
                <w:rFonts w:ascii="宋体"/>
              </w:rPr>
            </w:pPr>
          </w:p>
        </w:tc>
        <w:tc>
          <w:tcPr>
            <w:tcW w:w="50" w:type="pct"/>
            <w:shd w:val="clear" w:color="auto" w:fill="auto"/>
          </w:tcPr>
          <w:p w14:paraId="746EFBB5" w14:textId="77777777" w:rsidR="008E7A10" w:rsidRDefault="008E7A10">
            <w:pPr>
              <w:rPr>
                <w:rFonts w:ascii="宋体"/>
              </w:rPr>
            </w:pPr>
          </w:p>
        </w:tc>
        <w:tc>
          <w:tcPr>
            <w:tcW w:w="631" w:type="pct"/>
            <w:shd w:val="clear" w:color="auto" w:fill="auto"/>
          </w:tcPr>
          <w:p w14:paraId="746EFBB6" w14:textId="77777777" w:rsidR="008E7A10" w:rsidRDefault="008E7A10">
            <w:pPr>
              <w:rPr>
                <w:rFonts w:ascii="宋体"/>
              </w:rPr>
            </w:pPr>
          </w:p>
        </w:tc>
        <w:tc>
          <w:tcPr>
            <w:tcW w:w="5" w:type="pct"/>
            <w:shd w:val="clear" w:color="auto" w:fill="auto"/>
          </w:tcPr>
          <w:p w14:paraId="746EFBB7" w14:textId="77777777" w:rsidR="008E7A10" w:rsidRDefault="008E7A10">
            <w:pPr>
              <w:rPr>
                <w:rFonts w:ascii="宋体"/>
              </w:rPr>
            </w:pPr>
          </w:p>
        </w:tc>
        <w:tc>
          <w:tcPr>
            <w:tcW w:w="0" w:type="auto"/>
            <w:shd w:val="clear" w:color="auto" w:fill="auto"/>
          </w:tcPr>
          <w:p w14:paraId="746EFBB8" w14:textId="77777777" w:rsidR="008E7A10" w:rsidRDefault="008E7A10">
            <w:pPr>
              <w:rPr>
                <w:rFonts w:ascii="宋体"/>
                <w:vanish/>
              </w:rPr>
            </w:pPr>
          </w:p>
        </w:tc>
        <w:tc>
          <w:tcPr>
            <w:tcW w:w="0" w:type="auto"/>
            <w:gridSpan w:val="3"/>
            <w:shd w:val="clear" w:color="auto" w:fill="auto"/>
          </w:tcPr>
          <w:p w14:paraId="746EFBB9" w14:textId="77777777" w:rsidR="008E7A10" w:rsidRDefault="008E7A10">
            <w:pPr>
              <w:rPr>
                <w:rFonts w:ascii="宋体"/>
                <w:vanish/>
              </w:rPr>
            </w:pPr>
          </w:p>
        </w:tc>
      </w:tr>
      <w:tr w:rsidR="008E7A10" w14:paraId="746EFBC3" w14:textId="77777777">
        <w:tc>
          <w:tcPr>
            <w:tcW w:w="0" w:type="auto"/>
            <w:gridSpan w:val="3"/>
            <w:shd w:val="clear" w:color="auto" w:fill="auto"/>
            <w:tcMar>
              <w:top w:w="0" w:type="dxa"/>
              <w:left w:w="20" w:type="dxa"/>
              <w:bottom w:w="0" w:type="dxa"/>
              <w:right w:w="20" w:type="dxa"/>
            </w:tcMar>
          </w:tcPr>
          <w:p w14:paraId="746EFBBB" w14:textId="77777777" w:rsidR="008E7A10" w:rsidRDefault="008E7A10">
            <w:pPr>
              <w:rPr>
                <w:rFonts w:ascii="宋体"/>
              </w:rPr>
            </w:pPr>
          </w:p>
        </w:tc>
        <w:tc>
          <w:tcPr>
            <w:tcW w:w="0" w:type="auto"/>
            <w:gridSpan w:val="6"/>
            <w:shd w:val="clear" w:color="auto" w:fill="auto"/>
            <w:tcMar>
              <w:top w:w="40" w:type="dxa"/>
              <w:left w:w="20" w:type="dxa"/>
              <w:bottom w:w="40" w:type="dxa"/>
              <w:right w:w="20" w:type="dxa"/>
            </w:tcMar>
            <w:vAlign w:val="bottom"/>
          </w:tcPr>
          <w:p w14:paraId="746EFBBC" w14:textId="77777777" w:rsidR="008E7A10" w:rsidRDefault="00E047B2">
            <w:pPr>
              <w:jc w:val="center"/>
              <w:textAlignment w:val="bottom"/>
            </w:pPr>
            <w:r>
              <w:rPr>
                <w:rFonts w:ascii="sans-serif" w:eastAsia="sans-serif" w:hAnsi="sans-serif" w:cs="sans-serif"/>
                <w:b/>
                <w:bCs/>
                <w:color w:val="000000"/>
                <w:sz w:val="17"/>
                <w:szCs w:val="17"/>
              </w:rPr>
              <w:t>THREE</w:t>
            </w:r>
            <w:r>
              <w:rPr>
                <w:rFonts w:ascii="sans-serif" w:eastAsia="sans-serif" w:hAnsi="sans-serif" w:cs="sans-serif"/>
                <w:b/>
                <w:bCs/>
                <w:color w:val="000000"/>
                <w:sz w:val="17"/>
                <w:szCs w:val="17"/>
              </w:rPr>
              <w:t xml:space="preserve"> MONTHS ENDED NOVEMBER 30,</w:t>
            </w:r>
          </w:p>
        </w:tc>
        <w:tc>
          <w:tcPr>
            <w:tcW w:w="0" w:type="auto"/>
            <w:gridSpan w:val="3"/>
            <w:shd w:val="clear" w:color="auto" w:fill="auto"/>
            <w:tcMar>
              <w:top w:w="0" w:type="dxa"/>
              <w:left w:w="20" w:type="dxa"/>
              <w:bottom w:w="0" w:type="dxa"/>
              <w:right w:w="20" w:type="dxa"/>
            </w:tcMar>
          </w:tcPr>
          <w:p w14:paraId="746EFBBD" w14:textId="77777777" w:rsidR="008E7A10" w:rsidRDefault="008E7A10">
            <w:pPr>
              <w:rPr>
                <w:rFonts w:ascii="宋体"/>
              </w:rPr>
            </w:pPr>
          </w:p>
        </w:tc>
        <w:tc>
          <w:tcPr>
            <w:tcW w:w="0" w:type="auto"/>
            <w:gridSpan w:val="6"/>
            <w:shd w:val="clear" w:color="auto" w:fill="auto"/>
            <w:tcMar>
              <w:top w:w="40" w:type="dxa"/>
              <w:left w:w="20" w:type="dxa"/>
              <w:bottom w:w="40" w:type="dxa"/>
              <w:right w:w="20" w:type="dxa"/>
            </w:tcMar>
            <w:vAlign w:val="bottom"/>
          </w:tcPr>
          <w:p w14:paraId="746EFBBE"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tcPr>
          <w:p w14:paraId="746EFBBF" w14:textId="77777777" w:rsidR="008E7A10" w:rsidRDefault="008E7A10">
            <w:pPr>
              <w:rPr>
                <w:rFonts w:ascii="宋体"/>
                <w:vanish/>
              </w:rPr>
            </w:pPr>
          </w:p>
        </w:tc>
        <w:tc>
          <w:tcPr>
            <w:tcW w:w="0" w:type="auto"/>
            <w:shd w:val="clear" w:color="auto" w:fill="auto"/>
          </w:tcPr>
          <w:p w14:paraId="746EFBC0" w14:textId="77777777" w:rsidR="008E7A10" w:rsidRDefault="008E7A10">
            <w:pPr>
              <w:rPr>
                <w:rFonts w:ascii="宋体"/>
              </w:rPr>
            </w:pPr>
          </w:p>
        </w:tc>
        <w:tc>
          <w:tcPr>
            <w:tcW w:w="0" w:type="auto"/>
            <w:shd w:val="clear" w:color="auto" w:fill="auto"/>
          </w:tcPr>
          <w:p w14:paraId="746EFBC1" w14:textId="77777777" w:rsidR="008E7A10" w:rsidRDefault="008E7A10">
            <w:pPr>
              <w:rPr>
                <w:rFonts w:ascii="宋体"/>
              </w:rPr>
            </w:pPr>
          </w:p>
        </w:tc>
        <w:tc>
          <w:tcPr>
            <w:tcW w:w="0" w:type="auto"/>
            <w:shd w:val="clear" w:color="auto" w:fill="auto"/>
          </w:tcPr>
          <w:p w14:paraId="746EFBC2" w14:textId="77777777" w:rsidR="008E7A10" w:rsidRDefault="008E7A10">
            <w:pPr>
              <w:rPr>
                <w:rFonts w:ascii="宋体"/>
              </w:rPr>
            </w:pPr>
          </w:p>
        </w:tc>
      </w:tr>
      <w:tr w:rsidR="008E7A10" w14:paraId="746EFBCC" w14:textId="77777777">
        <w:tc>
          <w:tcPr>
            <w:tcW w:w="0" w:type="auto"/>
            <w:gridSpan w:val="3"/>
            <w:shd w:val="clear" w:color="auto" w:fill="auto"/>
            <w:tcMar>
              <w:top w:w="40" w:type="dxa"/>
              <w:left w:w="20" w:type="dxa"/>
              <w:bottom w:w="40" w:type="dxa"/>
              <w:right w:w="20" w:type="dxa"/>
            </w:tcMar>
            <w:vAlign w:val="bottom"/>
          </w:tcPr>
          <w:p w14:paraId="746EFBC4" w14:textId="77777777" w:rsidR="008E7A10" w:rsidRDefault="00E047B2">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BC5"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BC6"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tcPr>
          <w:p w14:paraId="746EFBC7"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BC8"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BC9"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shd w:val="clear" w:color="auto" w:fill="auto"/>
          </w:tcPr>
          <w:p w14:paraId="746EFBCA" w14:textId="77777777" w:rsidR="008E7A10" w:rsidRDefault="008E7A10">
            <w:pPr>
              <w:rPr>
                <w:rFonts w:ascii="宋体"/>
                <w:vanish/>
              </w:rPr>
            </w:pPr>
          </w:p>
        </w:tc>
        <w:tc>
          <w:tcPr>
            <w:tcW w:w="0" w:type="auto"/>
            <w:gridSpan w:val="3"/>
            <w:shd w:val="clear" w:color="auto" w:fill="auto"/>
          </w:tcPr>
          <w:p w14:paraId="746EFBCB" w14:textId="77777777" w:rsidR="008E7A10" w:rsidRDefault="008E7A10">
            <w:pPr>
              <w:rPr>
                <w:rFonts w:ascii="宋体"/>
                <w:vanish/>
              </w:rPr>
            </w:pPr>
          </w:p>
        </w:tc>
      </w:tr>
      <w:tr w:rsidR="008E7A10" w14:paraId="746EFBD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BCD" w14:textId="77777777" w:rsidR="008E7A10" w:rsidRDefault="00E047B2">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EFBC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EFBCF" w14:textId="77777777" w:rsidR="008E7A10" w:rsidRDefault="00E047B2">
            <w:pPr>
              <w:jc w:val="right"/>
              <w:textAlignment w:val="bottom"/>
            </w:pPr>
            <w:r>
              <w:rPr>
                <w:rFonts w:ascii="Arial" w:eastAsia="宋体" w:hAnsi="Arial" w:cs="Arial"/>
                <w:color w:val="000000"/>
                <w:sz w:val="17"/>
                <w:szCs w:val="17"/>
              </w:rPr>
              <w:t>11,243 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BD0"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BD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BD2" w14:textId="77777777" w:rsidR="008E7A10" w:rsidRDefault="00E047B2">
            <w:pPr>
              <w:jc w:val="right"/>
              <w:textAlignment w:val="bottom"/>
            </w:pPr>
            <w:r>
              <w:rPr>
                <w:rFonts w:ascii="Arial" w:eastAsia="宋体" w:hAnsi="Arial" w:cs="Arial"/>
                <w:color w:val="000000"/>
                <w:sz w:val="17"/>
                <w:szCs w:val="17"/>
              </w:rPr>
              <w:t>10,326 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BD3"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BD4"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EFBD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EFBD6" w14:textId="77777777" w:rsidR="008E7A10" w:rsidRDefault="00E047B2">
            <w:pPr>
              <w:jc w:val="right"/>
              <w:textAlignment w:val="bottom"/>
            </w:pPr>
            <w:r>
              <w:rPr>
                <w:rFonts w:ascii="Arial" w:eastAsia="宋体" w:hAnsi="Arial" w:cs="Arial"/>
                <w:color w:val="000000"/>
                <w:sz w:val="17"/>
                <w:szCs w:val="17"/>
              </w:rPr>
              <w:t>21,837 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BD7"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BD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BD9" w14:textId="77777777" w:rsidR="008E7A10" w:rsidRDefault="00E047B2">
            <w:pPr>
              <w:jc w:val="right"/>
              <w:textAlignment w:val="bottom"/>
            </w:pPr>
            <w:r>
              <w:rPr>
                <w:rFonts w:ascii="Arial" w:eastAsia="宋体" w:hAnsi="Arial" w:cs="Arial"/>
                <w:color w:val="000000"/>
                <w:sz w:val="17"/>
                <w:szCs w:val="17"/>
              </w:rPr>
              <w:t>20,986 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BDA" w14:textId="77777777" w:rsidR="008E7A10" w:rsidRDefault="008E7A10">
            <w:pPr>
              <w:jc w:val="right"/>
              <w:rPr>
                <w:rFonts w:ascii="宋体"/>
              </w:rPr>
            </w:pPr>
          </w:p>
        </w:tc>
        <w:tc>
          <w:tcPr>
            <w:tcW w:w="0" w:type="auto"/>
            <w:shd w:val="clear" w:color="auto" w:fill="auto"/>
          </w:tcPr>
          <w:p w14:paraId="746EFBDB" w14:textId="77777777" w:rsidR="008E7A10" w:rsidRDefault="008E7A10">
            <w:pPr>
              <w:rPr>
                <w:rFonts w:ascii="宋体"/>
                <w:vanish/>
              </w:rPr>
            </w:pPr>
          </w:p>
        </w:tc>
        <w:tc>
          <w:tcPr>
            <w:tcW w:w="0" w:type="auto"/>
            <w:gridSpan w:val="3"/>
            <w:shd w:val="clear" w:color="auto" w:fill="auto"/>
          </w:tcPr>
          <w:p w14:paraId="746EFBDC" w14:textId="77777777" w:rsidR="008E7A10" w:rsidRDefault="008E7A10">
            <w:pPr>
              <w:rPr>
                <w:rFonts w:ascii="宋体"/>
                <w:vanish/>
              </w:rPr>
            </w:pPr>
          </w:p>
        </w:tc>
      </w:tr>
      <w:tr w:rsidR="008E7A10" w14:paraId="746EFBE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DE" w14:textId="77777777" w:rsidR="008E7A10" w:rsidRDefault="00E047B2">
            <w:pPr>
              <w:textAlignment w:val="bottom"/>
            </w:pPr>
            <w:r>
              <w:rPr>
                <w:rFonts w:ascii="Arial" w:eastAsia="宋体" w:hAnsi="Arial" w:cs="Arial"/>
                <w:color w:val="000000"/>
                <w:sz w:val="17"/>
                <w:szCs w:val="17"/>
              </w:rPr>
              <w:t>Cost of sales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BDF" w14:textId="77777777" w:rsidR="008E7A10" w:rsidRDefault="00E047B2">
            <w:pPr>
              <w:jc w:val="right"/>
              <w:textAlignment w:val="bottom"/>
            </w:pPr>
            <w:r>
              <w:rPr>
                <w:rFonts w:ascii="Arial" w:eastAsia="宋体" w:hAnsi="Arial" w:cs="Arial"/>
                <w:color w:val="000000"/>
                <w:sz w:val="17"/>
                <w:szCs w:val="17"/>
              </w:rPr>
              <w:t>6,396 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BE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BE1" w14:textId="77777777" w:rsidR="008E7A10" w:rsidRDefault="00E047B2">
            <w:pPr>
              <w:jc w:val="right"/>
              <w:textAlignment w:val="bottom"/>
            </w:pPr>
            <w:r>
              <w:rPr>
                <w:rFonts w:ascii="Arial" w:eastAsia="宋体" w:hAnsi="Arial" w:cs="Arial"/>
                <w:color w:val="000000"/>
                <w:sz w:val="17"/>
                <w:szCs w:val="17"/>
              </w:rPr>
              <w:t>5,782 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BE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BE3"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BE4" w14:textId="77777777" w:rsidR="008E7A10" w:rsidRDefault="00E047B2">
            <w:pPr>
              <w:jc w:val="right"/>
              <w:textAlignment w:val="bottom"/>
            </w:pPr>
            <w:r>
              <w:rPr>
                <w:rFonts w:ascii="Arial" w:eastAsia="宋体" w:hAnsi="Arial" w:cs="Arial"/>
                <w:color w:val="000000"/>
                <w:sz w:val="17"/>
                <w:szCs w:val="17"/>
              </w:rPr>
              <w:t>12,249 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BE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BE6" w14:textId="77777777" w:rsidR="008E7A10" w:rsidRDefault="00E047B2">
            <w:pPr>
              <w:jc w:val="right"/>
              <w:textAlignment w:val="bottom"/>
            </w:pPr>
            <w:r>
              <w:rPr>
                <w:rFonts w:ascii="Arial" w:eastAsia="宋体" w:hAnsi="Arial" w:cs="Arial"/>
                <w:color w:val="000000"/>
                <w:sz w:val="17"/>
                <w:szCs w:val="17"/>
              </w:rPr>
              <w:t>11,571 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BE7" w14:textId="77777777" w:rsidR="008E7A10" w:rsidRDefault="008E7A10">
            <w:pPr>
              <w:jc w:val="right"/>
              <w:rPr>
                <w:rFonts w:ascii="宋体"/>
              </w:rPr>
            </w:pPr>
          </w:p>
        </w:tc>
        <w:tc>
          <w:tcPr>
            <w:tcW w:w="0" w:type="auto"/>
            <w:shd w:val="clear" w:color="auto" w:fill="auto"/>
          </w:tcPr>
          <w:p w14:paraId="746EFBE8" w14:textId="77777777" w:rsidR="008E7A10" w:rsidRDefault="008E7A10">
            <w:pPr>
              <w:rPr>
                <w:rFonts w:ascii="宋体"/>
                <w:vanish/>
              </w:rPr>
            </w:pPr>
          </w:p>
        </w:tc>
        <w:tc>
          <w:tcPr>
            <w:tcW w:w="0" w:type="auto"/>
            <w:gridSpan w:val="3"/>
            <w:shd w:val="clear" w:color="auto" w:fill="auto"/>
          </w:tcPr>
          <w:p w14:paraId="746EFBE9" w14:textId="77777777" w:rsidR="008E7A10" w:rsidRDefault="008E7A10">
            <w:pPr>
              <w:rPr>
                <w:rFonts w:ascii="宋体"/>
                <w:vanish/>
              </w:rPr>
            </w:pPr>
          </w:p>
        </w:tc>
      </w:tr>
      <w:tr w:rsidR="008E7A10" w14:paraId="746EFBF7"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746EFBEB" w14:textId="77777777" w:rsidR="008E7A10" w:rsidRDefault="00E047B2">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BEC" w14:textId="77777777" w:rsidR="008E7A10" w:rsidRDefault="00E047B2">
            <w:pPr>
              <w:jc w:val="right"/>
              <w:textAlignment w:val="bottom"/>
            </w:pPr>
            <w:r>
              <w:rPr>
                <w:rFonts w:ascii="Arial" w:eastAsia="宋体" w:hAnsi="Arial" w:cs="Arial"/>
                <w:color w:val="000000"/>
                <w:sz w:val="17"/>
                <w:szCs w:val="17"/>
              </w:rPr>
              <w:t>4,847 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BED"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BEE" w14:textId="77777777" w:rsidR="008E7A10" w:rsidRDefault="00E047B2">
            <w:pPr>
              <w:jc w:val="right"/>
              <w:textAlignment w:val="bottom"/>
            </w:pPr>
            <w:r>
              <w:rPr>
                <w:rFonts w:ascii="Arial" w:eastAsia="宋体" w:hAnsi="Arial" w:cs="Arial"/>
                <w:color w:val="000000"/>
                <w:sz w:val="17"/>
                <w:szCs w:val="17"/>
              </w:rPr>
              <w:t>4,544 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BEF"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BF0"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BF1" w14:textId="77777777" w:rsidR="008E7A10" w:rsidRDefault="00E047B2">
            <w:pPr>
              <w:jc w:val="right"/>
              <w:textAlignment w:val="bottom"/>
            </w:pPr>
            <w:r>
              <w:rPr>
                <w:rFonts w:ascii="Arial" w:eastAsia="宋体" w:hAnsi="Arial" w:cs="Arial"/>
                <w:color w:val="000000"/>
                <w:sz w:val="17"/>
                <w:szCs w:val="17"/>
              </w:rPr>
              <w:t>9,588 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BF2"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BF3" w14:textId="77777777" w:rsidR="008E7A10" w:rsidRDefault="00E047B2">
            <w:pPr>
              <w:jc w:val="right"/>
              <w:textAlignment w:val="bottom"/>
            </w:pPr>
            <w:r>
              <w:rPr>
                <w:rFonts w:ascii="Arial" w:eastAsia="宋体" w:hAnsi="Arial" w:cs="Arial"/>
                <w:color w:val="000000"/>
                <w:sz w:val="17"/>
                <w:szCs w:val="17"/>
              </w:rPr>
              <w:t>9,415 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BF4" w14:textId="77777777" w:rsidR="008E7A10" w:rsidRDefault="008E7A10">
            <w:pPr>
              <w:jc w:val="right"/>
              <w:rPr>
                <w:rFonts w:ascii="宋体"/>
              </w:rPr>
            </w:pPr>
          </w:p>
        </w:tc>
        <w:tc>
          <w:tcPr>
            <w:tcW w:w="0" w:type="auto"/>
            <w:shd w:val="clear" w:color="auto" w:fill="auto"/>
          </w:tcPr>
          <w:p w14:paraId="746EFBF5" w14:textId="77777777" w:rsidR="008E7A10" w:rsidRDefault="008E7A10">
            <w:pPr>
              <w:rPr>
                <w:rFonts w:ascii="宋体"/>
                <w:vanish/>
              </w:rPr>
            </w:pPr>
          </w:p>
        </w:tc>
        <w:tc>
          <w:tcPr>
            <w:tcW w:w="0" w:type="auto"/>
            <w:gridSpan w:val="3"/>
            <w:shd w:val="clear" w:color="auto" w:fill="auto"/>
          </w:tcPr>
          <w:p w14:paraId="746EFBF6" w14:textId="77777777" w:rsidR="008E7A10" w:rsidRDefault="008E7A10">
            <w:pPr>
              <w:rPr>
                <w:rFonts w:ascii="宋体"/>
                <w:vanish/>
              </w:rPr>
            </w:pPr>
          </w:p>
        </w:tc>
      </w:tr>
      <w:tr w:rsidR="008E7A10" w14:paraId="746EFC0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BF8" w14:textId="77777777" w:rsidR="008E7A10" w:rsidRDefault="00E047B2">
            <w:pPr>
              <w:textAlignment w:val="bottom"/>
            </w:pPr>
            <w:r>
              <w:rPr>
                <w:rFonts w:ascii="Arial" w:eastAsia="宋体" w:hAnsi="Arial" w:cs="Arial"/>
                <w:color w:val="000000"/>
                <w:sz w:val="17"/>
                <w:szCs w:val="17"/>
              </w:rPr>
              <w:t>Demand creation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BF9" w14:textId="77777777" w:rsidR="008E7A10" w:rsidRDefault="00E047B2">
            <w:pPr>
              <w:jc w:val="right"/>
              <w:textAlignment w:val="bottom"/>
            </w:pPr>
            <w:r>
              <w:rPr>
                <w:rFonts w:ascii="Arial" w:eastAsia="宋体" w:hAnsi="Arial" w:cs="Arial"/>
                <w:color w:val="000000"/>
                <w:sz w:val="17"/>
                <w:szCs w:val="17"/>
              </w:rPr>
              <w:t>729 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BF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BFB" w14:textId="77777777" w:rsidR="008E7A10" w:rsidRDefault="00E047B2">
            <w:pPr>
              <w:jc w:val="right"/>
              <w:textAlignment w:val="bottom"/>
            </w:pPr>
            <w:r>
              <w:rPr>
                <w:rFonts w:ascii="Arial" w:eastAsia="宋体" w:hAnsi="Arial" w:cs="Arial"/>
                <w:color w:val="000000"/>
                <w:sz w:val="17"/>
                <w:szCs w:val="17"/>
              </w:rPr>
              <w:t>881 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BF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BFD"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BFE" w14:textId="77777777" w:rsidR="008E7A10" w:rsidRDefault="00E047B2">
            <w:pPr>
              <w:jc w:val="right"/>
              <w:textAlignment w:val="bottom"/>
            </w:pPr>
            <w:r>
              <w:rPr>
                <w:rFonts w:ascii="Arial" w:eastAsia="宋体" w:hAnsi="Arial" w:cs="Arial"/>
                <w:color w:val="000000"/>
                <w:sz w:val="17"/>
                <w:szCs w:val="17"/>
              </w:rPr>
              <w:t>1,406 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BF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00" w14:textId="77777777" w:rsidR="008E7A10" w:rsidRDefault="00E047B2">
            <w:pPr>
              <w:jc w:val="right"/>
              <w:textAlignment w:val="bottom"/>
            </w:pPr>
            <w:r>
              <w:rPr>
                <w:rFonts w:ascii="Arial" w:eastAsia="宋体" w:hAnsi="Arial" w:cs="Arial"/>
                <w:color w:val="000000"/>
                <w:sz w:val="17"/>
                <w:szCs w:val="17"/>
              </w:rPr>
              <w:t>1,899 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01" w14:textId="77777777" w:rsidR="008E7A10" w:rsidRDefault="008E7A10">
            <w:pPr>
              <w:jc w:val="right"/>
              <w:rPr>
                <w:rFonts w:ascii="宋体"/>
              </w:rPr>
            </w:pPr>
          </w:p>
        </w:tc>
        <w:tc>
          <w:tcPr>
            <w:tcW w:w="0" w:type="auto"/>
            <w:shd w:val="clear" w:color="auto" w:fill="auto"/>
          </w:tcPr>
          <w:p w14:paraId="746EFC02" w14:textId="77777777" w:rsidR="008E7A10" w:rsidRDefault="008E7A10">
            <w:pPr>
              <w:rPr>
                <w:rFonts w:ascii="宋体"/>
                <w:vanish/>
              </w:rPr>
            </w:pPr>
          </w:p>
        </w:tc>
        <w:tc>
          <w:tcPr>
            <w:tcW w:w="0" w:type="auto"/>
            <w:gridSpan w:val="3"/>
            <w:shd w:val="clear" w:color="auto" w:fill="auto"/>
          </w:tcPr>
          <w:p w14:paraId="746EFC03" w14:textId="77777777" w:rsidR="008E7A10" w:rsidRDefault="008E7A10">
            <w:pPr>
              <w:rPr>
                <w:rFonts w:ascii="宋体"/>
                <w:vanish/>
              </w:rPr>
            </w:pPr>
          </w:p>
        </w:tc>
      </w:tr>
      <w:tr w:rsidR="008E7A10" w14:paraId="746EFC1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C05" w14:textId="77777777" w:rsidR="008E7A10" w:rsidRDefault="00E047B2">
            <w:pPr>
              <w:textAlignment w:val="bottom"/>
            </w:pPr>
            <w:r>
              <w:rPr>
                <w:rFonts w:ascii="Arial" w:eastAsia="宋体" w:hAnsi="Arial" w:cs="Arial"/>
                <w:color w:val="000000"/>
                <w:sz w:val="17"/>
                <w:szCs w:val="17"/>
              </w:rPr>
              <w:t>Operating overhead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C06" w14:textId="77777777" w:rsidR="008E7A10" w:rsidRDefault="00E047B2">
            <w:pPr>
              <w:jc w:val="right"/>
              <w:textAlignment w:val="bottom"/>
            </w:pPr>
            <w:r>
              <w:rPr>
                <w:rFonts w:ascii="Arial" w:eastAsia="宋体" w:hAnsi="Arial" w:cs="Arial"/>
                <w:color w:val="000000"/>
                <w:sz w:val="17"/>
                <w:szCs w:val="17"/>
              </w:rPr>
              <w:t>2,538 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0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08" w14:textId="77777777" w:rsidR="008E7A10" w:rsidRDefault="00E047B2">
            <w:pPr>
              <w:jc w:val="right"/>
              <w:textAlignment w:val="bottom"/>
            </w:pPr>
            <w:r>
              <w:rPr>
                <w:rFonts w:ascii="Arial" w:eastAsia="宋体" w:hAnsi="Arial" w:cs="Arial"/>
                <w:color w:val="000000"/>
                <w:sz w:val="17"/>
                <w:szCs w:val="17"/>
              </w:rPr>
              <w:t>2,443 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0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0A"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C0B" w14:textId="77777777" w:rsidR="008E7A10" w:rsidRDefault="00E047B2">
            <w:pPr>
              <w:jc w:val="right"/>
              <w:textAlignment w:val="bottom"/>
            </w:pPr>
            <w:r>
              <w:rPr>
                <w:rFonts w:ascii="Arial" w:eastAsia="宋体" w:hAnsi="Arial" w:cs="Arial"/>
                <w:color w:val="000000"/>
                <w:sz w:val="17"/>
                <w:szCs w:val="17"/>
              </w:rPr>
              <w:t>4,836 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0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0D" w14:textId="77777777" w:rsidR="008E7A10" w:rsidRDefault="00E047B2">
            <w:pPr>
              <w:jc w:val="right"/>
              <w:textAlignment w:val="bottom"/>
            </w:pPr>
            <w:r>
              <w:rPr>
                <w:rFonts w:ascii="Arial" w:eastAsia="宋体" w:hAnsi="Arial" w:cs="Arial"/>
                <w:color w:val="000000"/>
                <w:sz w:val="17"/>
                <w:szCs w:val="17"/>
              </w:rPr>
              <w:t>4,753 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0E" w14:textId="77777777" w:rsidR="008E7A10" w:rsidRDefault="008E7A10">
            <w:pPr>
              <w:jc w:val="right"/>
              <w:rPr>
                <w:rFonts w:ascii="宋体"/>
              </w:rPr>
            </w:pPr>
          </w:p>
        </w:tc>
        <w:tc>
          <w:tcPr>
            <w:tcW w:w="0" w:type="auto"/>
            <w:shd w:val="clear" w:color="auto" w:fill="auto"/>
          </w:tcPr>
          <w:p w14:paraId="746EFC0F" w14:textId="77777777" w:rsidR="008E7A10" w:rsidRDefault="008E7A10">
            <w:pPr>
              <w:rPr>
                <w:rFonts w:ascii="宋体"/>
                <w:vanish/>
              </w:rPr>
            </w:pPr>
          </w:p>
        </w:tc>
        <w:tc>
          <w:tcPr>
            <w:tcW w:w="0" w:type="auto"/>
            <w:gridSpan w:val="3"/>
            <w:shd w:val="clear" w:color="auto" w:fill="auto"/>
          </w:tcPr>
          <w:p w14:paraId="746EFC10" w14:textId="77777777" w:rsidR="008E7A10" w:rsidRDefault="008E7A10">
            <w:pPr>
              <w:rPr>
                <w:rFonts w:ascii="宋体"/>
                <w:vanish/>
              </w:rPr>
            </w:pPr>
          </w:p>
        </w:tc>
      </w:tr>
      <w:tr w:rsidR="008E7A10" w14:paraId="746EFC1E"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746EFC12" w14:textId="77777777" w:rsidR="008E7A10" w:rsidRDefault="00E047B2">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C13" w14:textId="77777777" w:rsidR="008E7A10" w:rsidRDefault="00E047B2">
            <w:pPr>
              <w:jc w:val="right"/>
              <w:textAlignment w:val="bottom"/>
            </w:pPr>
            <w:r>
              <w:rPr>
                <w:rFonts w:ascii="Arial" w:eastAsia="宋体" w:hAnsi="Arial" w:cs="Arial"/>
                <w:color w:val="000000"/>
                <w:sz w:val="17"/>
                <w:szCs w:val="17"/>
              </w:rPr>
              <w:t>3,267 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C14"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C15" w14:textId="77777777" w:rsidR="008E7A10" w:rsidRDefault="00E047B2">
            <w:pPr>
              <w:jc w:val="right"/>
              <w:textAlignment w:val="bottom"/>
            </w:pPr>
            <w:r>
              <w:rPr>
                <w:rFonts w:ascii="Arial" w:eastAsia="宋体" w:hAnsi="Arial" w:cs="Arial"/>
                <w:color w:val="000000"/>
                <w:sz w:val="17"/>
                <w:szCs w:val="17"/>
              </w:rPr>
              <w:t>3,324 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C16"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C17"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C18" w14:textId="77777777" w:rsidR="008E7A10" w:rsidRDefault="00E047B2">
            <w:pPr>
              <w:jc w:val="right"/>
              <w:textAlignment w:val="bottom"/>
            </w:pPr>
            <w:r>
              <w:rPr>
                <w:rFonts w:ascii="Arial" w:eastAsia="宋体" w:hAnsi="Arial" w:cs="Arial"/>
                <w:color w:val="000000"/>
                <w:sz w:val="17"/>
                <w:szCs w:val="17"/>
              </w:rPr>
              <w:t>6,242 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C19"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C1A" w14:textId="77777777" w:rsidR="008E7A10" w:rsidRDefault="00E047B2">
            <w:pPr>
              <w:jc w:val="right"/>
              <w:textAlignment w:val="bottom"/>
            </w:pPr>
            <w:r>
              <w:rPr>
                <w:rFonts w:ascii="Arial" w:eastAsia="宋体" w:hAnsi="Arial" w:cs="Arial"/>
                <w:color w:val="000000"/>
                <w:sz w:val="17"/>
                <w:szCs w:val="17"/>
              </w:rPr>
              <w:t>6,652 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C1B" w14:textId="77777777" w:rsidR="008E7A10" w:rsidRDefault="008E7A10">
            <w:pPr>
              <w:jc w:val="right"/>
              <w:rPr>
                <w:rFonts w:ascii="宋体"/>
              </w:rPr>
            </w:pPr>
          </w:p>
        </w:tc>
        <w:tc>
          <w:tcPr>
            <w:tcW w:w="0" w:type="auto"/>
            <w:shd w:val="clear" w:color="auto" w:fill="auto"/>
          </w:tcPr>
          <w:p w14:paraId="746EFC1C" w14:textId="77777777" w:rsidR="008E7A10" w:rsidRDefault="008E7A10">
            <w:pPr>
              <w:rPr>
                <w:rFonts w:ascii="宋体"/>
                <w:vanish/>
              </w:rPr>
            </w:pPr>
          </w:p>
        </w:tc>
        <w:tc>
          <w:tcPr>
            <w:tcW w:w="0" w:type="auto"/>
            <w:gridSpan w:val="3"/>
            <w:shd w:val="clear" w:color="auto" w:fill="auto"/>
          </w:tcPr>
          <w:p w14:paraId="746EFC1D" w14:textId="77777777" w:rsidR="008E7A10" w:rsidRDefault="008E7A10">
            <w:pPr>
              <w:rPr>
                <w:rFonts w:ascii="宋体"/>
                <w:vanish/>
              </w:rPr>
            </w:pPr>
          </w:p>
        </w:tc>
      </w:tr>
      <w:tr w:rsidR="008E7A10" w14:paraId="746EFC2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C1F" w14:textId="77777777" w:rsidR="008E7A10" w:rsidRDefault="00E047B2">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C20" w14:textId="77777777" w:rsidR="008E7A10" w:rsidRDefault="00E047B2">
            <w:pPr>
              <w:jc w:val="right"/>
              <w:textAlignment w:val="bottom"/>
            </w:pPr>
            <w:r>
              <w:rPr>
                <w:rFonts w:ascii="Arial" w:eastAsia="宋体" w:hAnsi="Arial" w:cs="Arial"/>
                <w:color w:val="000000"/>
                <w:sz w:val="17"/>
                <w:szCs w:val="17"/>
              </w:rPr>
              <w:t>70 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2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22"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23"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24"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C25" w14:textId="77777777" w:rsidR="008E7A10" w:rsidRDefault="00E047B2">
            <w:pPr>
              <w:jc w:val="right"/>
              <w:textAlignment w:val="bottom"/>
            </w:pPr>
            <w:r>
              <w:rPr>
                <w:rFonts w:ascii="Arial" w:eastAsia="宋体" w:hAnsi="Arial" w:cs="Arial"/>
                <w:color w:val="000000"/>
                <w:sz w:val="17"/>
                <w:szCs w:val="17"/>
              </w:rPr>
              <w:t>135 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2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27" w14:textId="77777777" w:rsidR="008E7A10" w:rsidRDefault="00E047B2">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28" w14:textId="77777777" w:rsidR="008E7A10" w:rsidRDefault="008E7A10">
            <w:pPr>
              <w:jc w:val="right"/>
              <w:rPr>
                <w:rFonts w:ascii="宋体"/>
              </w:rPr>
            </w:pPr>
          </w:p>
        </w:tc>
        <w:tc>
          <w:tcPr>
            <w:tcW w:w="0" w:type="auto"/>
            <w:shd w:val="clear" w:color="auto" w:fill="auto"/>
          </w:tcPr>
          <w:p w14:paraId="746EFC29" w14:textId="77777777" w:rsidR="008E7A10" w:rsidRDefault="008E7A10">
            <w:pPr>
              <w:rPr>
                <w:rFonts w:ascii="宋体"/>
                <w:vanish/>
              </w:rPr>
            </w:pPr>
          </w:p>
        </w:tc>
        <w:tc>
          <w:tcPr>
            <w:tcW w:w="0" w:type="auto"/>
            <w:gridSpan w:val="3"/>
            <w:shd w:val="clear" w:color="auto" w:fill="auto"/>
          </w:tcPr>
          <w:p w14:paraId="746EFC2A" w14:textId="77777777" w:rsidR="008E7A10" w:rsidRDefault="008E7A10">
            <w:pPr>
              <w:rPr>
                <w:rFonts w:ascii="宋体"/>
                <w:vanish/>
              </w:rPr>
            </w:pPr>
          </w:p>
        </w:tc>
      </w:tr>
      <w:tr w:rsidR="008E7A10" w14:paraId="746EFC3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C2C" w14:textId="77777777" w:rsidR="008E7A10" w:rsidRDefault="00E047B2">
            <w:pPr>
              <w:textAlignment w:val="bottom"/>
            </w:pPr>
            <w:r>
              <w:rPr>
                <w:rFonts w:ascii="Arial" w:eastAsia="宋体" w:hAnsi="Arial" w:cs="Arial"/>
                <w:color w:val="000000"/>
                <w:sz w:val="17"/>
                <w:szCs w:val="17"/>
              </w:rPr>
              <w:t>Other (income) expense,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C2D" w14:textId="77777777" w:rsidR="008E7A10" w:rsidRDefault="00E047B2">
            <w:pPr>
              <w:jc w:val="right"/>
              <w:textAlignment w:val="bottom"/>
            </w:pPr>
            <w:r>
              <w:rPr>
                <w:rFonts w:ascii="Arial" w:eastAsia="宋体" w:hAnsi="Arial" w:cs="Arial"/>
                <w:color w:val="000000"/>
                <w:sz w:val="17"/>
                <w:szCs w:val="17"/>
              </w:rPr>
              <w:t>54 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2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2F" w14:textId="77777777" w:rsidR="008E7A10" w:rsidRDefault="00E047B2">
            <w:pPr>
              <w:jc w:val="right"/>
              <w:textAlignment w:val="bottom"/>
            </w:pPr>
            <w:r>
              <w:rPr>
                <w:rFonts w:ascii="Arial" w:eastAsia="宋体" w:hAnsi="Arial" w:cs="Arial"/>
                <w:color w:val="000000"/>
                <w:sz w:val="17"/>
                <w:szCs w:val="17"/>
              </w:rPr>
              <w:t>(41)</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30"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31"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C32"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3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34" w14:textId="77777777" w:rsidR="008E7A10" w:rsidRDefault="00E047B2">
            <w:pPr>
              <w:jc w:val="right"/>
              <w:textAlignment w:val="bottom"/>
            </w:pPr>
            <w:r>
              <w:rPr>
                <w:rFonts w:ascii="Arial" w:eastAsia="宋体" w:hAnsi="Arial" w:cs="Arial"/>
                <w:color w:val="000000"/>
                <w:sz w:val="17"/>
                <w:szCs w:val="17"/>
              </w:rPr>
              <w:t>(74)</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35" w14:textId="77777777" w:rsidR="008E7A10" w:rsidRDefault="008E7A10">
            <w:pPr>
              <w:jc w:val="right"/>
              <w:rPr>
                <w:rFonts w:ascii="宋体"/>
              </w:rPr>
            </w:pPr>
          </w:p>
        </w:tc>
        <w:tc>
          <w:tcPr>
            <w:tcW w:w="0" w:type="auto"/>
            <w:shd w:val="clear" w:color="auto" w:fill="auto"/>
          </w:tcPr>
          <w:p w14:paraId="746EFC36" w14:textId="77777777" w:rsidR="008E7A10" w:rsidRDefault="008E7A10">
            <w:pPr>
              <w:rPr>
                <w:rFonts w:ascii="宋体"/>
                <w:vanish/>
              </w:rPr>
            </w:pPr>
          </w:p>
        </w:tc>
        <w:tc>
          <w:tcPr>
            <w:tcW w:w="0" w:type="auto"/>
            <w:gridSpan w:val="3"/>
            <w:shd w:val="clear" w:color="auto" w:fill="auto"/>
          </w:tcPr>
          <w:p w14:paraId="746EFC37" w14:textId="77777777" w:rsidR="008E7A10" w:rsidRDefault="008E7A10">
            <w:pPr>
              <w:rPr>
                <w:rFonts w:ascii="宋体"/>
                <w:vanish/>
              </w:rPr>
            </w:pPr>
          </w:p>
        </w:tc>
      </w:tr>
      <w:tr w:rsidR="008E7A10" w14:paraId="746EFC4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C39" w14:textId="77777777" w:rsidR="008E7A10" w:rsidRDefault="00E047B2">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C3A" w14:textId="77777777" w:rsidR="008E7A10" w:rsidRDefault="00E047B2">
            <w:pPr>
              <w:jc w:val="right"/>
              <w:textAlignment w:val="bottom"/>
            </w:pPr>
            <w:r>
              <w:rPr>
                <w:rFonts w:ascii="Arial" w:eastAsia="宋体" w:hAnsi="Arial" w:cs="Arial"/>
                <w:color w:val="000000"/>
                <w:sz w:val="17"/>
                <w:szCs w:val="17"/>
              </w:rPr>
              <w:t>1,456 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C3B"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C3C" w14:textId="77777777" w:rsidR="008E7A10" w:rsidRDefault="00E047B2">
            <w:pPr>
              <w:jc w:val="right"/>
              <w:textAlignment w:val="bottom"/>
            </w:pPr>
            <w:r>
              <w:rPr>
                <w:rFonts w:ascii="Arial" w:eastAsia="宋体" w:hAnsi="Arial" w:cs="Arial"/>
                <w:color w:val="000000"/>
                <w:sz w:val="17"/>
                <w:szCs w:val="17"/>
              </w:rPr>
              <w:t>1,249 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C3D"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C3E"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C3F" w14:textId="77777777" w:rsidR="008E7A10" w:rsidRDefault="00E047B2">
            <w:pPr>
              <w:jc w:val="right"/>
              <w:textAlignment w:val="bottom"/>
            </w:pPr>
            <w:r>
              <w:rPr>
                <w:rFonts w:ascii="Arial" w:eastAsia="宋体" w:hAnsi="Arial" w:cs="Arial"/>
                <w:color w:val="000000"/>
                <w:sz w:val="17"/>
                <w:szCs w:val="17"/>
              </w:rPr>
              <w:t>3,171 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C40"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C41" w14:textId="77777777" w:rsidR="008E7A10" w:rsidRDefault="00E047B2">
            <w:pPr>
              <w:jc w:val="right"/>
              <w:textAlignment w:val="bottom"/>
            </w:pPr>
            <w:r>
              <w:rPr>
                <w:rFonts w:ascii="Arial" w:eastAsia="宋体" w:hAnsi="Arial" w:cs="Arial"/>
                <w:color w:val="000000"/>
                <w:sz w:val="17"/>
                <w:szCs w:val="17"/>
              </w:rPr>
              <w:t>2,810 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C42" w14:textId="77777777" w:rsidR="008E7A10" w:rsidRDefault="008E7A10">
            <w:pPr>
              <w:jc w:val="right"/>
              <w:rPr>
                <w:rFonts w:ascii="宋体"/>
              </w:rPr>
            </w:pPr>
          </w:p>
        </w:tc>
        <w:tc>
          <w:tcPr>
            <w:tcW w:w="0" w:type="auto"/>
            <w:shd w:val="clear" w:color="auto" w:fill="auto"/>
          </w:tcPr>
          <w:p w14:paraId="746EFC43" w14:textId="77777777" w:rsidR="008E7A10" w:rsidRDefault="008E7A10">
            <w:pPr>
              <w:rPr>
                <w:rFonts w:ascii="宋体"/>
                <w:vanish/>
              </w:rPr>
            </w:pPr>
          </w:p>
        </w:tc>
        <w:tc>
          <w:tcPr>
            <w:tcW w:w="0" w:type="auto"/>
            <w:gridSpan w:val="3"/>
            <w:shd w:val="clear" w:color="auto" w:fill="auto"/>
          </w:tcPr>
          <w:p w14:paraId="746EFC44" w14:textId="77777777" w:rsidR="008E7A10" w:rsidRDefault="008E7A10">
            <w:pPr>
              <w:rPr>
                <w:rFonts w:ascii="宋体"/>
                <w:vanish/>
              </w:rPr>
            </w:pPr>
          </w:p>
        </w:tc>
      </w:tr>
      <w:tr w:rsidR="008E7A10" w14:paraId="746EFC5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C46" w14:textId="77777777" w:rsidR="008E7A10" w:rsidRDefault="00E047B2">
            <w:pPr>
              <w:textAlignment w:val="bottom"/>
            </w:pPr>
            <w:r>
              <w:rPr>
                <w:rFonts w:ascii="Arial" w:eastAsia="宋体" w:hAnsi="Arial" w:cs="Arial"/>
                <w:color w:val="000000"/>
                <w:sz w:val="17"/>
                <w:szCs w:val="17"/>
              </w:rPr>
              <w:t>Income tax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C47" w14:textId="77777777" w:rsidR="008E7A10" w:rsidRDefault="00E047B2">
            <w:pPr>
              <w:jc w:val="right"/>
              <w:textAlignment w:val="bottom"/>
            </w:pPr>
            <w:r>
              <w:rPr>
                <w:rFonts w:ascii="Arial" w:eastAsia="宋体" w:hAnsi="Arial" w:cs="Arial"/>
                <w:color w:val="000000"/>
                <w:sz w:val="17"/>
                <w:szCs w:val="17"/>
              </w:rPr>
              <w:t>205 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4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49" w14:textId="77777777" w:rsidR="008E7A10" w:rsidRDefault="00E047B2">
            <w:pPr>
              <w:jc w:val="right"/>
              <w:textAlignment w:val="bottom"/>
            </w:pPr>
            <w:r>
              <w:rPr>
                <w:rFonts w:ascii="Arial" w:eastAsia="宋体" w:hAnsi="Arial" w:cs="Arial"/>
                <w:color w:val="000000"/>
                <w:sz w:val="17"/>
                <w:szCs w:val="17"/>
              </w:rPr>
              <w:t>134 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4A"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4B"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C4C" w14:textId="77777777" w:rsidR="008E7A10" w:rsidRDefault="00E047B2">
            <w:pPr>
              <w:jc w:val="right"/>
              <w:textAlignment w:val="bottom"/>
            </w:pPr>
            <w:r>
              <w:rPr>
                <w:rFonts w:ascii="Arial" w:eastAsia="宋体" w:hAnsi="Arial" w:cs="Arial"/>
                <w:color w:val="000000"/>
                <w:sz w:val="17"/>
                <w:szCs w:val="17"/>
              </w:rPr>
              <w:t>402 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4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4E" w14:textId="77777777" w:rsidR="008E7A10" w:rsidRDefault="00E047B2">
            <w:pPr>
              <w:jc w:val="right"/>
              <w:textAlignment w:val="bottom"/>
            </w:pPr>
            <w:r>
              <w:rPr>
                <w:rFonts w:ascii="Arial" w:eastAsia="宋体" w:hAnsi="Arial" w:cs="Arial"/>
                <w:color w:val="000000"/>
                <w:sz w:val="17"/>
                <w:szCs w:val="17"/>
              </w:rPr>
              <w:t>328 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4F" w14:textId="77777777" w:rsidR="008E7A10" w:rsidRDefault="008E7A10">
            <w:pPr>
              <w:jc w:val="right"/>
              <w:rPr>
                <w:rFonts w:ascii="宋体"/>
              </w:rPr>
            </w:pPr>
          </w:p>
        </w:tc>
        <w:tc>
          <w:tcPr>
            <w:tcW w:w="0" w:type="auto"/>
            <w:shd w:val="clear" w:color="auto" w:fill="auto"/>
          </w:tcPr>
          <w:p w14:paraId="746EFC50" w14:textId="77777777" w:rsidR="008E7A10" w:rsidRDefault="008E7A10">
            <w:pPr>
              <w:rPr>
                <w:rFonts w:ascii="宋体"/>
                <w:vanish/>
              </w:rPr>
            </w:pPr>
          </w:p>
        </w:tc>
        <w:tc>
          <w:tcPr>
            <w:tcW w:w="0" w:type="auto"/>
            <w:gridSpan w:val="3"/>
            <w:shd w:val="clear" w:color="auto" w:fill="auto"/>
          </w:tcPr>
          <w:p w14:paraId="746EFC51" w14:textId="77777777" w:rsidR="008E7A10" w:rsidRDefault="008E7A10">
            <w:pPr>
              <w:rPr>
                <w:rFonts w:ascii="宋体"/>
                <w:vanish/>
              </w:rPr>
            </w:pPr>
          </w:p>
        </w:tc>
      </w:tr>
      <w:tr w:rsidR="008E7A10" w14:paraId="746EFC6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C53" w14:textId="77777777" w:rsidR="008E7A10" w:rsidRDefault="00E047B2">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746EFC5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EFC55" w14:textId="77777777" w:rsidR="008E7A10" w:rsidRDefault="00E047B2">
            <w:pPr>
              <w:jc w:val="right"/>
              <w:textAlignment w:val="bottom"/>
            </w:pPr>
            <w:r>
              <w:rPr>
                <w:rFonts w:ascii="Arial" w:eastAsia="宋体" w:hAnsi="Arial" w:cs="Arial"/>
                <w:b/>
                <w:bCs/>
                <w:color w:val="000000"/>
                <w:sz w:val="17"/>
                <w:szCs w:val="17"/>
              </w:rPr>
              <w:t>1,251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C56"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C5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C58" w14:textId="77777777" w:rsidR="008E7A10" w:rsidRDefault="00E047B2">
            <w:pPr>
              <w:jc w:val="right"/>
              <w:textAlignment w:val="bottom"/>
            </w:pPr>
            <w:r>
              <w:rPr>
                <w:rFonts w:ascii="Arial" w:eastAsia="宋体" w:hAnsi="Arial" w:cs="Arial"/>
                <w:b/>
                <w:bCs/>
                <w:color w:val="000000"/>
                <w:sz w:val="17"/>
                <w:szCs w:val="17"/>
              </w:rPr>
              <w:t>1,115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C59"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C5A"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EFC5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EFC5C" w14:textId="77777777" w:rsidR="008E7A10" w:rsidRDefault="00E047B2">
            <w:pPr>
              <w:jc w:val="right"/>
              <w:textAlignment w:val="bottom"/>
            </w:pPr>
            <w:r>
              <w:rPr>
                <w:rFonts w:ascii="Arial" w:eastAsia="宋体" w:hAnsi="Arial" w:cs="Arial"/>
                <w:b/>
                <w:bCs/>
                <w:color w:val="000000"/>
                <w:sz w:val="17"/>
                <w:szCs w:val="17"/>
              </w:rPr>
              <w:t>2,769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C5D"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C5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C5F" w14:textId="77777777" w:rsidR="008E7A10" w:rsidRDefault="00E047B2">
            <w:pPr>
              <w:jc w:val="right"/>
              <w:textAlignment w:val="bottom"/>
            </w:pPr>
            <w:r>
              <w:rPr>
                <w:rFonts w:ascii="Arial" w:eastAsia="宋体" w:hAnsi="Arial" w:cs="Arial"/>
                <w:b/>
                <w:bCs/>
                <w:color w:val="000000"/>
                <w:sz w:val="17"/>
                <w:szCs w:val="17"/>
              </w:rPr>
              <w:t>2,482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C60" w14:textId="77777777" w:rsidR="008E7A10" w:rsidRDefault="008E7A10">
            <w:pPr>
              <w:jc w:val="right"/>
              <w:rPr>
                <w:rFonts w:ascii="宋体"/>
              </w:rPr>
            </w:pPr>
          </w:p>
        </w:tc>
        <w:tc>
          <w:tcPr>
            <w:tcW w:w="0" w:type="auto"/>
            <w:shd w:val="clear" w:color="auto" w:fill="auto"/>
          </w:tcPr>
          <w:p w14:paraId="746EFC61" w14:textId="77777777" w:rsidR="008E7A10" w:rsidRDefault="008E7A10">
            <w:pPr>
              <w:rPr>
                <w:rFonts w:ascii="宋体"/>
                <w:vanish/>
              </w:rPr>
            </w:pPr>
          </w:p>
        </w:tc>
        <w:tc>
          <w:tcPr>
            <w:tcW w:w="0" w:type="auto"/>
            <w:gridSpan w:val="3"/>
            <w:shd w:val="clear" w:color="auto" w:fill="auto"/>
          </w:tcPr>
          <w:p w14:paraId="746EFC62" w14:textId="77777777" w:rsidR="008E7A10" w:rsidRDefault="008E7A10">
            <w:pPr>
              <w:rPr>
                <w:rFonts w:ascii="宋体"/>
                <w:vanish/>
              </w:rPr>
            </w:pPr>
          </w:p>
        </w:tc>
      </w:tr>
      <w:tr w:rsidR="008E7A10" w14:paraId="746EFC6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C64" w14:textId="77777777" w:rsidR="008E7A10" w:rsidRDefault="00E047B2">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tcPr>
          <w:p w14:paraId="746EFC65"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C66"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C67"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EFC6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C69" w14:textId="77777777" w:rsidR="008E7A10" w:rsidRDefault="008E7A10">
            <w:pPr>
              <w:rPr>
                <w:rFonts w:ascii="宋体"/>
              </w:rPr>
            </w:pPr>
          </w:p>
        </w:tc>
        <w:tc>
          <w:tcPr>
            <w:tcW w:w="0" w:type="auto"/>
            <w:shd w:val="clear" w:color="auto" w:fill="auto"/>
          </w:tcPr>
          <w:p w14:paraId="746EFC6A" w14:textId="77777777" w:rsidR="008E7A10" w:rsidRDefault="008E7A10">
            <w:pPr>
              <w:rPr>
                <w:rFonts w:ascii="宋体"/>
                <w:vanish/>
              </w:rPr>
            </w:pPr>
          </w:p>
        </w:tc>
        <w:tc>
          <w:tcPr>
            <w:tcW w:w="0" w:type="auto"/>
            <w:gridSpan w:val="3"/>
            <w:shd w:val="clear" w:color="auto" w:fill="auto"/>
          </w:tcPr>
          <w:p w14:paraId="746EFC6B" w14:textId="77777777" w:rsidR="008E7A10" w:rsidRDefault="008E7A10">
            <w:pPr>
              <w:rPr>
                <w:rFonts w:ascii="宋体"/>
                <w:vanish/>
              </w:rPr>
            </w:pPr>
          </w:p>
        </w:tc>
      </w:tr>
      <w:tr w:rsidR="008E7A10" w14:paraId="746EFC7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C6D" w14:textId="77777777" w:rsidR="008E7A10" w:rsidRDefault="00E047B2">
            <w:pPr>
              <w:textAlignment w:val="bottom"/>
            </w:pPr>
            <w:r>
              <w:rPr>
                <w:rFonts w:ascii="Arial" w:eastAsia="宋体" w:hAnsi="Arial" w:cs="Arial"/>
                <w:color w:val="000000"/>
                <w:sz w:val="17"/>
                <w:szCs w:val="17"/>
              </w:rPr>
              <w:t>Basic</w:t>
            </w:r>
          </w:p>
        </w:tc>
        <w:tc>
          <w:tcPr>
            <w:tcW w:w="0" w:type="auto"/>
            <w:tcBorders>
              <w:top w:val="single" w:sz="8" w:space="0" w:color="808080"/>
            </w:tcBorders>
            <w:shd w:val="clear" w:color="auto" w:fill="FFF1E7"/>
            <w:tcMar>
              <w:top w:w="40" w:type="dxa"/>
              <w:left w:w="20" w:type="dxa"/>
              <w:bottom w:w="40" w:type="dxa"/>
              <w:right w:w="0" w:type="dxa"/>
            </w:tcMar>
            <w:vAlign w:val="bottom"/>
          </w:tcPr>
          <w:p w14:paraId="746EFC6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EFC6F" w14:textId="77777777" w:rsidR="008E7A10" w:rsidRDefault="00E047B2">
            <w:pPr>
              <w:jc w:val="right"/>
              <w:textAlignment w:val="bottom"/>
            </w:pPr>
            <w:r>
              <w:rPr>
                <w:rFonts w:ascii="Arial" w:eastAsia="宋体" w:hAnsi="Arial" w:cs="Arial"/>
                <w:color w:val="000000"/>
                <w:sz w:val="17"/>
                <w:szCs w:val="17"/>
              </w:rPr>
              <w:t>0.80 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70"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EFC7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EFC72" w14:textId="77777777" w:rsidR="008E7A10" w:rsidRDefault="00E047B2">
            <w:pPr>
              <w:jc w:val="right"/>
              <w:textAlignment w:val="bottom"/>
            </w:pPr>
            <w:r>
              <w:rPr>
                <w:rFonts w:ascii="Arial" w:eastAsia="宋体" w:hAnsi="Arial" w:cs="Arial"/>
                <w:color w:val="000000"/>
                <w:sz w:val="17"/>
                <w:szCs w:val="17"/>
              </w:rPr>
              <w:t>0.71 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73"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74"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EFC7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EFC76" w14:textId="77777777" w:rsidR="008E7A10" w:rsidRDefault="00E047B2">
            <w:pPr>
              <w:jc w:val="right"/>
              <w:textAlignment w:val="bottom"/>
            </w:pPr>
            <w:r>
              <w:rPr>
                <w:rFonts w:ascii="Arial" w:eastAsia="宋体" w:hAnsi="Arial" w:cs="Arial"/>
                <w:color w:val="000000"/>
                <w:sz w:val="17"/>
                <w:szCs w:val="17"/>
              </w:rPr>
              <w:t>1.77 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77"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EFC7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EFC79" w14:textId="77777777" w:rsidR="008E7A10" w:rsidRDefault="00E047B2">
            <w:pPr>
              <w:jc w:val="right"/>
              <w:textAlignment w:val="bottom"/>
            </w:pPr>
            <w:r>
              <w:rPr>
                <w:rFonts w:ascii="Arial" w:eastAsia="宋体" w:hAnsi="Arial" w:cs="Arial"/>
                <w:color w:val="000000"/>
                <w:sz w:val="17"/>
                <w:szCs w:val="17"/>
              </w:rPr>
              <w:t>1.59 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7A" w14:textId="77777777" w:rsidR="008E7A10" w:rsidRDefault="008E7A10">
            <w:pPr>
              <w:jc w:val="right"/>
              <w:rPr>
                <w:rFonts w:ascii="宋体"/>
              </w:rPr>
            </w:pPr>
          </w:p>
        </w:tc>
        <w:tc>
          <w:tcPr>
            <w:tcW w:w="0" w:type="auto"/>
            <w:shd w:val="clear" w:color="auto" w:fill="auto"/>
          </w:tcPr>
          <w:p w14:paraId="746EFC7B" w14:textId="77777777" w:rsidR="008E7A10" w:rsidRDefault="008E7A10">
            <w:pPr>
              <w:rPr>
                <w:rFonts w:ascii="宋体"/>
                <w:vanish/>
              </w:rPr>
            </w:pPr>
          </w:p>
        </w:tc>
        <w:tc>
          <w:tcPr>
            <w:tcW w:w="0" w:type="auto"/>
            <w:gridSpan w:val="3"/>
            <w:shd w:val="clear" w:color="auto" w:fill="auto"/>
          </w:tcPr>
          <w:p w14:paraId="746EFC7C" w14:textId="77777777" w:rsidR="008E7A10" w:rsidRDefault="008E7A10">
            <w:pPr>
              <w:rPr>
                <w:rFonts w:ascii="宋体"/>
                <w:vanish/>
              </w:rPr>
            </w:pPr>
          </w:p>
        </w:tc>
      </w:tr>
      <w:tr w:rsidR="008E7A10" w14:paraId="746EFC8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C7E" w14:textId="77777777" w:rsidR="008E7A10" w:rsidRDefault="00E047B2">
            <w:pPr>
              <w:textAlignment w:val="bottom"/>
            </w:pPr>
            <w:r>
              <w:rPr>
                <w:rFonts w:ascii="Arial" w:eastAsia="宋体" w:hAnsi="Arial" w:cs="Arial"/>
                <w:color w:val="000000"/>
                <w:sz w:val="17"/>
                <w:szCs w:val="17"/>
              </w:rPr>
              <w:t>Diluted</w:t>
            </w:r>
          </w:p>
        </w:tc>
        <w:tc>
          <w:tcPr>
            <w:tcW w:w="0" w:type="auto"/>
            <w:tcBorders>
              <w:top w:val="single" w:sz="8" w:space="0" w:color="808080"/>
            </w:tcBorders>
            <w:shd w:val="clear" w:color="auto" w:fill="FFF1E7"/>
            <w:tcMar>
              <w:top w:w="40" w:type="dxa"/>
              <w:left w:w="20" w:type="dxa"/>
              <w:bottom w:w="40" w:type="dxa"/>
              <w:right w:w="0" w:type="dxa"/>
            </w:tcMar>
            <w:vAlign w:val="bottom"/>
          </w:tcPr>
          <w:p w14:paraId="746EFC7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EFC80" w14:textId="77777777" w:rsidR="008E7A10" w:rsidRDefault="00E047B2">
            <w:pPr>
              <w:jc w:val="right"/>
              <w:textAlignment w:val="bottom"/>
            </w:pPr>
            <w:r>
              <w:rPr>
                <w:rFonts w:ascii="Arial" w:eastAsia="宋体" w:hAnsi="Arial" w:cs="Arial"/>
                <w:color w:val="000000"/>
                <w:sz w:val="17"/>
                <w:szCs w:val="17"/>
              </w:rPr>
              <w:t>0.78 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81"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EFC8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EFC83" w14:textId="77777777" w:rsidR="008E7A10" w:rsidRDefault="00E047B2">
            <w:pPr>
              <w:jc w:val="right"/>
              <w:textAlignment w:val="bottom"/>
            </w:pPr>
            <w:r>
              <w:rPr>
                <w:rFonts w:ascii="Arial" w:eastAsia="宋体" w:hAnsi="Arial" w:cs="Arial"/>
                <w:color w:val="000000"/>
                <w:sz w:val="17"/>
                <w:szCs w:val="17"/>
              </w:rPr>
              <w:t>0.70 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84"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85"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EFC8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EFC87" w14:textId="77777777" w:rsidR="008E7A10" w:rsidRDefault="00E047B2">
            <w:pPr>
              <w:jc w:val="right"/>
              <w:textAlignment w:val="bottom"/>
            </w:pPr>
            <w:r>
              <w:rPr>
                <w:rFonts w:ascii="Arial" w:eastAsia="宋体" w:hAnsi="Arial" w:cs="Arial"/>
                <w:color w:val="000000"/>
                <w:sz w:val="17"/>
                <w:szCs w:val="17"/>
              </w:rPr>
              <w:t>1.73 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88"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EFC8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EFC8A" w14:textId="77777777" w:rsidR="008E7A10" w:rsidRDefault="00E047B2">
            <w:pPr>
              <w:jc w:val="right"/>
              <w:textAlignment w:val="bottom"/>
            </w:pPr>
            <w:r>
              <w:rPr>
                <w:rFonts w:ascii="Arial" w:eastAsia="宋体" w:hAnsi="Arial" w:cs="Arial"/>
                <w:color w:val="000000"/>
                <w:sz w:val="17"/>
                <w:szCs w:val="17"/>
              </w:rPr>
              <w:t>1.56 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8B" w14:textId="77777777" w:rsidR="008E7A10" w:rsidRDefault="008E7A10">
            <w:pPr>
              <w:jc w:val="right"/>
              <w:rPr>
                <w:rFonts w:ascii="宋体"/>
              </w:rPr>
            </w:pPr>
          </w:p>
        </w:tc>
        <w:tc>
          <w:tcPr>
            <w:tcW w:w="0" w:type="auto"/>
            <w:shd w:val="clear" w:color="auto" w:fill="auto"/>
          </w:tcPr>
          <w:p w14:paraId="746EFC8C" w14:textId="77777777" w:rsidR="008E7A10" w:rsidRDefault="008E7A10">
            <w:pPr>
              <w:rPr>
                <w:rFonts w:ascii="宋体"/>
                <w:vanish/>
              </w:rPr>
            </w:pPr>
          </w:p>
        </w:tc>
        <w:tc>
          <w:tcPr>
            <w:tcW w:w="0" w:type="auto"/>
            <w:gridSpan w:val="3"/>
            <w:shd w:val="clear" w:color="auto" w:fill="auto"/>
          </w:tcPr>
          <w:p w14:paraId="746EFC8D" w14:textId="77777777" w:rsidR="008E7A10" w:rsidRDefault="008E7A10">
            <w:pPr>
              <w:rPr>
                <w:rFonts w:ascii="宋体"/>
                <w:vanish/>
              </w:rPr>
            </w:pPr>
          </w:p>
        </w:tc>
      </w:tr>
      <w:tr w:rsidR="008E7A10" w14:paraId="746EFC9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C8F" w14:textId="77777777" w:rsidR="008E7A10" w:rsidRDefault="00E047B2">
            <w:pPr>
              <w:textAlignment w:val="bottom"/>
            </w:pPr>
            <w:r>
              <w:rPr>
                <w:rFonts w:ascii="Arial" w:eastAsia="宋体" w:hAnsi="Arial" w:cs="Arial"/>
                <w:color w:val="000000"/>
                <w:sz w:val="17"/>
                <w:szCs w:val="17"/>
              </w:rPr>
              <w:t>Weighted average common shares outstanding:</w:t>
            </w:r>
          </w:p>
        </w:tc>
        <w:tc>
          <w:tcPr>
            <w:tcW w:w="0" w:type="auto"/>
            <w:gridSpan w:val="3"/>
            <w:tcBorders>
              <w:top w:val="single" w:sz="8" w:space="0" w:color="808080"/>
            </w:tcBorders>
            <w:shd w:val="clear" w:color="auto" w:fill="FFF1E7"/>
            <w:tcMar>
              <w:top w:w="0" w:type="dxa"/>
              <w:left w:w="20" w:type="dxa"/>
              <w:bottom w:w="0" w:type="dxa"/>
              <w:right w:w="20" w:type="dxa"/>
            </w:tcMar>
          </w:tcPr>
          <w:p w14:paraId="746EFC90"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91"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92"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C93"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94" w14:textId="77777777" w:rsidR="008E7A10" w:rsidRDefault="008E7A10">
            <w:pPr>
              <w:rPr>
                <w:rFonts w:ascii="宋体"/>
              </w:rPr>
            </w:pPr>
          </w:p>
        </w:tc>
        <w:tc>
          <w:tcPr>
            <w:tcW w:w="0" w:type="auto"/>
            <w:shd w:val="clear" w:color="auto" w:fill="auto"/>
          </w:tcPr>
          <w:p w14:paraId="746EFC95" w14:textId="77777777" w:rsidR="008E7A10" w:rsidRDefault="008E7A10">
            <w:pPr>
              <w:rPr>
                <w:rFonts w:ascii="宋体"/>
                <w:vanish/>
              </w:rPr>
            </w:pPr>
          </w:p>
        </w:tc>
        <w:tc>
          <w:tcPr>
            <w:tcW w:w="0" w:type="auto"/>
            <w:gridSpan w:val="3"/>
            <w:shd w:val="clear" w:color="auto" w:fill="auto"/>
          </w:tcPr>
          <w:p w14:paraId="746EFC96" w14:textId="77777777" w:rsidR="008E7A10" w:rsidRDefault="008E7A10">
            <w:pPr>
              <w:rPr>
                <w:rFonts w:ascii="宋体"/>
                <w:vanish/>
              </w:rPr>
            </w:pPr>
          </w:p>
        </w:tc>
      </w:tr>
      <w:tr w:rsidR="008E7A10" w14:paraId="746EFCA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C98" w14:textId="77777777" w:rsidR="008E7A10" w:rsidRDefault="00E047B2">
            <w:pPr>
              <w:textAlignment w:val="bottom"/>
            </w:pPr>
            <w:r>
              <w:rPr>
                <w:rFonts w:ascii="Arial" w:eastAsia="宋体" w:hAnsi="Arial" w:cs="Arial"/>
                <w:color w:val="000000"/>
                <w:sz w:val="17"/>
                <w:szCs w:val="17"/>
              </w:rPr>
              <w:t>Basic</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C99" w14:textId="77777777" w:rsidR="008E7A10" w:rsidRDefault="00E047B2">
            <w:pPr>
              <w:jc w:val="right"/>
              <w:textAlignment w:val="bottom"/>
            </w:pPr>
            <w:r>
              <w:rPr>
                <w:rFonts w:ascii="Arial" w:eastAsia="宋体" w:hAnsi="Arial" w:cs="Arial"/>
                <w:color w:val="000000"/>
                <w:sz w:val="17"/>
                <w:szCs w:val="17"/>
              </w:rPr>
              <w:t>1,573.0 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9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9B" w14:textId="77777777" w:rsidR="008E7A10" w:rsidRDefault="00E047B2">
            <w:pPr>
              <w:jc w:val="right"/>
              <w:textAlignment w:val="bottom"/>
            </w:pPr>
            <w:r>
              <w:rPr>
                <w:rFonts w:ascii="Arial" w:eastAsia="宋体" w:hAnsi="Arial" w:cs="Arial"/>
                <w:color w:val="000000"/>
                <w:sz w:val="17"/>
                <w:szCs w:val="17"/>
              </w:rPr>
              <w:t>1,560.6 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9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9D"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C9E" w14:textId="77777777" w:rsidR="008E7A10" w:rsidRDefault="00E047B2">
            <w:pPr>
              <w:jc w:val="right"/>
              <w:textAlignment w:val="bottom"/>
            </w:pPr>
            <w:r>
              <w:rPr>
                <w:rFonts w:ascii="Arial" w:eastAsia="宋体" w:hAnsi="Arial" w:cs="Arial"/>
                <w:color w:val="000000"/>
                <w:sz w:val="17"/>
                <w:szCs w:val="17"/>
              </w:rPr>
              <w:t>1,567.4 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9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A0" w14:textId="77777777" w:rsidR="008E7A10" w:rsidRDefault="00E047B2">
            <w:pPr>
              <w:jc w:val="right"/>
              <w:textAlignment w:val="bottom"/>
            </w:pPr>
            <w:r>
              <w:rPr>
                <w:rFonts w:ascii="Arial" w:eastAsia="宋体" w:hAnsi="Arial" w:cs="Arial"/>
                <w:color w:val="000000"/>
                <w:sz w:val="17"/>
                <w:szCs w:val="17"/>
              </w:rPr>
              <w:t>1,561.5 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A1" w14:textId="77777777" w:rsidR="008E7A10" w:rsidRDefault="008E7A10">
            <w:pPr>
              <w:jc w:val="right"/>
              <w:rPr>
                <w:rFonts w:ascii="宋体"/>
              </w:rPr>
            </w:pPr>
          </w:p>
        </w:tc>
        <w:tc>
          <w:tcPr>
            <w:tcW w:w="0" w:type="auto"/>
            <w:shd w:val="clear" w:color="auto" w:fill="auto"/>
          </w:tcPr>
          <w:p w14:paraId="746EFCA2" w14:textId="77777777" w:rsidR="008E7A10" w:rsidRDefault="008E7A10">
            <w:pPr>
              <w:rPr>
                <w:rFonts w:ascii="宋体"/>
                <w:vanish/>
              </w:rPr>
            </w:pPr>
          </w:p>
        </w:tc>
        <w:tc>
          <w:tcPr>
            <w:tcW w:w="0" w:type="auto"/>
            <w:gridSpan w:val="3"/>
            <w:shd w:val="clear" w:color="auto" w:fill="auto"/>
          </w:tcPr>
          <w:p w14:paraId="746EFCA3" w14:textId="77777777" w:rsidR="008E7A10" w:rsidRDefault="008E7A10">
            <w:pPr>
              <w:rPr>
                <w:rFonts w:ascii="宋体"/>
                <w:vanish/>
              </w:rPr>
            </w:pPr>
          </w:p>
        </w:tc>
      </w:tr>
      <w:tr w:rsidR="008E7A10" w14:paraId="746EFCB1" w14:textId="77777777">
        <w:tc>
          <w:tcPr>
            <w:tcW w:w="0" w:type="auto"/>
            <w:gridSpan w:val="3"/>
            <w:tcBorders>
              <w:top w:val="single" w:sz="8" w:space="0" w:color="808080"/>
              <w:bottom w:val="single" w:sz="8" w:space="0" w:color="E87722"/>
            </w:tcBorders>
            <w:shd w:val="clear" w:color="auto" w:fill="auto"/>
            <w:tcMar>
              <w:top w:w="40" w:type="dxa"/>
              <w:left w:w="155" w:type="dxa"/>
              <w:bottom w:w="40" w:type="dxa"/>
              <w:right w:w="20" w:type="dxa"/>
            </w:tcMar>
            <w:vAlign w:val="bottom"/>
          </w:tcPr>
          <w:p w14:paraId="746EFCA5" w14:textId="77777777" w:rsidR="008E7A10" w:rsidRDefault="00E047B2">
            <w:pPr>
              <w:textAlignment w:val="bottom"/>
            </w:pPr>
            <w:r>
              <w:rPr>
                <w:rFonts w:ascii="Arial" w:eastAsia="宋体" w:hAnsi="Arial" w:cs="Arial"/>
                <w:color w:val="000000"/>
                <w:sz w:val="17"/>
                <w:szCs w:val="17"/>
              </w:rPr>
              <w:t>Diluted</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EFCA6" w14:textId="77777777" w:rsidR="008E7A10" w:rsidRDefault="00E047B2">
            <w:pPr>
              <w:jc w:val="right"/>
              <w:textAlignment w:val="bottom"/>
            </w:pPr>
            <w:r>
              <w:rPr>
                <w:rFonts w:ascii="Arial" w:eastAsia="宋体" w:hAnsi="Arial" w:cs="Arial"/>
                <w:color w:val="000000"/>
                <w:sz w:val="17"/>
                <w:szCs w:val="17"/>
              </w:rPr>
              <w:t>1,609.5 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EFCA7"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EFCA8" w14:textId="77777777" w:rsidR="008E7A10" w:rsidRDefault="00E047B2">
            <w:pPr>
              <w:jc w:val="right"/>
              <w:textAlignment w:val="bottom"/>
            </w:pPr>
            <w:r>
              <w:rPr>
                <w:rFonts w:ascii="Arial" w:eastAsia="宋体" w:hAnsi="Arial" w:cs="Arial"/>
                <w:color w:val="000000"/>
                <w:sz w:val="17"/>
                <w:szCs w:val="17"/>
              </w:rPr>
              <w:t>1,594.4 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EFCA9" w14:textId="77777777" w:rsidR="008E7A10" w:rsidRDefault="008E7A10">
            <w:pPr>
              <w:jc w:val="right"/>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EFCAA" w14:textId="77777777" w:rsidR="008E7A10" w:rsidRDefault="008E7A10">
            <w:pPr>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EFCAB" w14:textId="77777777" w:rsidR="008E7A10" w:rsidRDefault="00E047B2">
            <w:pPr>
              <w:jc w:val="right"/>
              <w:textAlignment w:val="bottom"/>
            </w:pPr>
            <w:r>
              <w:rPr>
                <w:rFonts w:ascii="Arial" w:eastAsia="宋体" w:hAnsi="Arial" w:cs="Arial"/>
                <w:color w:val="000000"/>
                <w:sz w:val="17"/>
                <w:szCs w:val="17"/>
              </w:rPr>
              <w:t>1,601.9 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EFCAC"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EFCAD" w14:textId="77777777" w:rsidR="008E7A10" w:rsidRDefault="00E047B2">
            <w:pPr>
              <w:jc w:val="right"/>
              <w:textAlignment w:val="bottom"/>
            </w:pPr>
            <w:r>
              <w:rPr>
                <w:rFonts w:ascii="Arial" w:eastAsia="宋体" w:hAnsi="Arial" w:cs="Arial"/>
                <w:color w:val="000000"/>
                <w:sz w:val="17"/>
                <w:szCs w:val="17"/>
              </w:rPr>
              <w:t>1,596.0 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EFCAE" w14:textId="77777777" w:rsidR="008E7A10" w:rsidRDefault="008E7A10">
            <w:pPr>
              <w:jc w:val="right"/>
              <w:rPr>
                <w:rFonts w:ascii="宋体"/>
              </w:rPr>
            </w:pPr>
          </w:p>
        </w:tc>
        <w:tc>
          <w:tcPr>
            <w:tcW w:w="0" w:type="auto"/>
            <w:shd w:val="clear" w:color="auto" w:fill="auto"/>
          </w:tcPr>
          <w:p w14:paraId="746EFCAF" w14:textId="77777777" w:rsidR="008E7A10" w:rsidRDefault="008E7A10">
            <w:pPr>
              <w:rPr>
                <w:rFonts w:ascii="宋体"/>
                <w:vanish/>
              </w:rPr>
            </w:pPr>
          </w:p>
        </w:tc>
        <w:tc>
          <w:tcPr>
            <w:tcW w:w="0" w:type="auto"/>
            <w:gridSpan w:val="3"/>
            <w:shd w:val="clear" w:color="auto" w:fill="auto"/>
          </w:tcPr>
          <w:p w14:paraId="746EFCB0" w14:textId="77777777" w:rsidR="008E7A10" w:rsidRDefault="008E7A10">
            <w:pPr>
              <w:rPr>
                <w:rFonts w:ascii="宋体"/>
                <w:vanish/>
              </w:rPr>
            </w:pPr>
          </w:p>
        </w:tc>
      </w:tr>
    </w:tbl>
    <w:p w14:paraId="746EFCB2" w14:textId="77777777" w:rsidR="008E7A10" w:rsidRDefault="00E047B2">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746EFCB3" w14:textId="77777777" w:rsidR="008E7A10" w:rsidRDefault="00E047B2">
      <w:pPr>
        <w:spacing w:before="120" w:after="120"/>
        <w:jc w:val="right"/>
      </w:pPr>
      <w:r>
        <w:rPr>
          <w:rFonts w:ascii="Arial" w:eastAsia="宋体" w:hAnsi="Arial" w:cs="Arial"/>
          <w:color w:val="E87722"/>
          <w:sz w:val="17"/>
          <w:szCs w:val="17"/>
        </w:rPr>
        <w:t>1</w:t>
      </w:r>
    </w:p>
    <w:p w14:paraId="746EFCB4" w14:textId="77777777" w:rsidR="008E7A10" w:rsidRDefault="00E047B2">
      <w:r>
        <w:pict w14:anchorId="746F2009">
          <v:rect id="_x0000_i1027" style="width:415.3pt;height:1.5pt" o:hralign="center" o:hrstd="t" o:hr="t" fillcolor="#a0a0a0" stroked="f"/>
        </w:pict>
      </w:r>
    </w:p>
    <w:p w14:paraId="746EFCB5" w14:textId="77777777" w:rsidR="008E7A10" w:rsidRDefault="008E7A10"/>
    <w:p w14:paraId="746EFCB6" w14:textId="77777777" w:rsidR="008E7A10" w:rsidRDefault="00E047B2">
      <w:hyperlink r:id="rId44" w:anchor="i31a624617c6c41b38f8f700fa0df5bde_7" w:history="1">
        <w:r>
          <w:rPr>
            <w:rStyle w:val="a5"/>
            <w:rFonts w:ascii="sans-serif" w:eastAsia="sans-serif" w:hAnsi="sans-serif" w:cs="sans-serif"/>
            <w:sz w:val="17"/>
            <w:szCs w:val="17"/>
          </w:rPr>
          <w:t>Table of Contents</w:t>
        </w:r>
      </w:hyperlink>
    </w:p>
    <w:p w14:paraId="746EFCB7" w14:textId="77777777" w:rsidR="008E7A10" w:rsidRDefault="008E7A10"/>
    <w:p w14:paraId="746EFCB8" w14:textId="77777777" w:rsidR="008E7A10" w:rsidRDefault="00E047B2">
      <w:pPr>
        <w:spacing w:before="300"/>
      </w:pPr>
      <w:r>
        <w:rPr>
          <w:rFonts w:ascii="sans-serif" w:eastAsia="sans-serif" w:hAnsi="sans-serif" w:cs="sans-serif"/>
          <w:b/>
          <w:bCs/>
          <w:color w:val="E87722"/>
          <w:sz w:val="36"/>
          <w:szCs w:val="36"/>
        </w:rPr>
        <w:t>NIKE, INC.</w:t>
      </w:r>
    </w:p>
    <w:p w14:paraId="746EFCB9" w14:textId="77777777" w:rsidR="008E7A10" w:rsidRDefault="00E047B2">
      <w:pPr>
        <w:spacing w:before="120" w:after="120"/>
      </w:pPr>
      <w:r>
        <w:rPr>
          <w:rFonts w:ascii="sans-serif" w:eastAsia="sans-serif" w:hAnsi="sans-serif" w:cs="sans-serif"/>
          <w:b/>
          <w:bCs/>
          <w:color w:val="000000"/>
          <w:sz w:val="28"/>
          <w:szCs w:val="28"/>
        </w:rPr>
        <w:t>UNAUDITED CONDENSED CONSOLIDATED STATEMENTS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3488"/>
        <w:gridCol w:w="38"/>
        <w:gridCol w:w="115"/>
        <w:gridCol w:w="987"/>
        <w:gridCol w:w="36"/>
        <w:gridCol w:w="115"/>
        <w:gridCol w:w="988"/>
        <w:gridCol w:w="36"/>
        <w:gridCol w:w="36"/>
        <w:gridCol w:w="36"/>
        <w:gridCol w:w="36"/>
        <w:gridCol w:w="115"/>
        <w:gridCol w:w="952"/>
        <w:gridCol w:w="36"/>
        <w:gridCol w:w="115"/>
        <w:gridCol w:w="988"/>
        <w:gridCol w:w="36"/>
        <w:gridCol w:w="36"/>
        <w:gridCol w:w="36"/>
        <w:gridCol w:w="36"/>
        <w:gridCol w:w="36"/>
      </w:tblGrid>
      <w:tr w:rsidR="008E7A10" w14:paraId="746EFCCE" w14:textId="77777777">
        <w:tc>
          <w:tcPr>
            <w:tcW w:w="50" w:type="pct"/>
            <w:shd w:val="clear" w:color="auto" w:fill="auto"/>
          </w:tcPr>
          <w:p w14:paraId="746EFCBA" w14:textId="77777777" w:rsidR="008E7A10" w:rsidRDefault="008E7A10">
            <w:pPr>
              <w:rPr>
                <w:rFonts w:ascii="宋体"/>
              </w:rPr>
            </w:pPr>
          </w:p>
        </w:tc>
        <w:tc>
          <w:tcPr>
            <w:tcW w:w="2159" w:type="pct"/>
            <w:shd w:val="clear" w:color="auto" w:fill="auto"/>
          </w:tcPr>
          <w:p w14:paraId="746EFCBB" w14:textId="77777777" w:rsidR="008E7A10" w:rsidRDefault="008E7A10">
            <w:pPr>
              <w:rPr>
                <w:rFonts w:ascii="宋体"/>
              </w:rPr>
            </w:pPr>
          </w:p>
        </w:tc>
        <w:tc>
          <w:tcPr>
            <w:tcW w:w="5" w:type="pct"/>
            <w:shd w:val="clear" w:color="auto" w:fill="auto"/>
          </w:tcPr>
          <w:p w14:paraId="746EFCBC" w14:textId="77777777" w:rsidR="008E7A10" w:rsidRDefault="008E7A10">
            <w:pPr>
              <w:rPr>
                <w:rFonts w:ascii="宋体"/>
              </w:rPr>
            </w:pPr>
          </w:p>
        </w:tc>
        <w:tc>
          <w:tcPr>
            <w:tcW w:w="50" w:type="pct"/>
            <w:shd w:val="clear" w:color="auto" w:fill="auto"/>
          </w:tcPr>
          <w:p w14:paraId="746EFCBD" w14:textId="77777777" w:rsidR="008E7A10" w:rsidRDefault="008E7A10">
            <w:pPr>
              <w:rPr>
                <w:rFonts w:ascii="宋体"/>
              </w:rPr>
            </w:pPr>
          </w:p>
        </w:tc>
        <w:tc>
          <w:tcPr>
            <w:tcW w:w="631" w:type="pct"/>
            <w:shd w:val="clear" w:color="auto" w:fill="auto"/>
          </w:tcPr>
          <w:p w14:paraId="746EFCBE" w14:textId="77777777" w:rsidR="008E7A10" w:rsidRDefault="008E7A10">
            <w:pPr>
              <w:rPr>
                <w:rFonts w:ascii="宋体"/>
              </w:rPr>
            </w:pPr>
          </w:p>
        </w:tc>
        <w:tc>
          <w:tcPr>
            <w:tcW w:w="5" w:type="pct"/>
            <w:shd w:val="clear" w:color="auto" w:fill="auto"/>
          </w:tcPr>
          <w:p w14:paraId="746EFCBF" w14:textId="77777777" w:rsidR="008E7A10" w:rsidRDefault="008E7A10">
            <w:pPr>
              <w:rPr>
                <w:rFonts w:ascii="宋体"/>
              </w:rPr>
            </w:pPr>
          </w:p>
        </w:tc>
        <w:tc>
          <w:tcPr>
            <w:tcW w:w="50" w:type="pct"/>
            <w:shd w:val="clear" w:color="auto" w:fill="auto"/>
          </w:tcPr>
          <w:p w14:paraId="746EFCC0" w14:textId="77777777" w:rsidR="008E7A10" w:rsidRDefault="008E7A10">
            <w:pPr>
              <w:rPr>
                <w:rFonts w:ascii="宋体"/>
              </w:rPr>
            </w:pPr>
          </w:p>
        </w:tc>
        <w:tc>
          <w:tcPr>
            <w:tcW w:w="631" w:type="pct"/>
            <w:shd w:val="clear" w:color="auto" w:fill="auto"/>
          </w:tcPr>
          <w:p w14:paraId="746EFCC1" w14:textId="77777777" w:rsidR="008E7A10" w:rsidRDefault="008E7A10">
            <w:pPr>
              <w:rPr>
                <w:rFonts w:ascii="宋体"/>
              </w:rPr>
            </w:pPr>
          </w:p>
        </w:tc>
        <w:tc>
          <w:tcPr>
            <w:tcW w:w="5" w:type="pct"/>
            <w:shd w:val="clear" w:color="auto" w:fill="auto"/>
          </w:tcPr>
          <w:p w14:paraId="746EFCC2" w14:textId="77777777" w:rsidR="008E7A10" w:rsidRDefault="008E7A10">
            <w:pPr>
              <w:rPr>
                <w:rFonts w:ascii="宋体"/>
              </w:rPr>
            </w:pPr>
          </w:p>
        </w:tc>
        <w:tc>
          <w:tcPr>
            <w:tcW w:w="5" w:type="pct"/>
            <w:shd w:val="clear" w:color="auto" w:fill="auto"/>
          </w:tcPr>
          <w:p w14:paraId="746EFCC3" w14:textId="77777777" w:rsidR="008E7A10" w:rsidRDefault="008E7A10">
            <w:pPr>
              <w:rPr>
                <w:rFonts w:ascii="宋体"/>
              </w:rPr>
            </w:pPr>
          </w:p>
        </w:tc>
        <w:tc>
          <w:tcPr>
            <w:tcW w:w="28" w:type="pct"/>
            <w:shd w:val="clear" w:color="auto" w:fill="auto"/>
          </w:tcPr>
          <w:p w14:paraId="746EFCC4" w14:textId="77777777" w:rsidR="008E7A10" w:rsidRDefault="008E7A10">
            <w:pPr>
              <w:rPr>
                <w:rFonts w:ascii="宋体"/>
              </w:rPr>
            </w:pPr>
          </w:p>
        </w:tc>
        <w:tc>
          <w:tcPr>
            <w:tcW w:w="5" w:type="pct"/>
            <w:shd w:val="clear" w:color="auto" w:fill="auto"/>
          </w:tcPr>
          <w:p w14:paraId="746EFCC5" w14:textId="77777777" w:rsidR="008E7A10" w:rsidRDefault="008E7A10">
            <w:pPr>
              <w:rPr>
                <w:rFonts w:ascii="宋体"/>
              </w:rPr>
            </w:pPr>
          </w:p>
        </w:tc>
        <w:tc>
          <w:tcPr>
            <w:tcW w:w="50" w:type="pct"/>
            <w:shd w:val="clear" w:color="auto" w:fill="auto"/>
          </w:tcPr>
          <w:p w14:paraId="746EFCC6" w14:textId="77777777" w:rsidR="008E7A10" w:rsidRDefault="008E7A10">
            <w:pPr>
              <w:rPr>
                <w:rFonts w:ascii="宋体"/>
              </w:rPr>
            </w:pPr>
          </w:p>
        </w:tc>
        <w:tc>
          <w:tcPr>
            <w:tcW w:w="631" w:type="pct"/>
            <w:shd w:val="clear" w:color="auto" w:fill="auto"/>
          </w:tcPr>
          <w:p w14:paraId="746EFCC7" w14:textId="77777777" w:rsidR="008E7A10" w:rsidRDefault="008E7A10">
            <w:pPr>
              <w:rPr>
                <w:rFonts w:ascii="宋体"/>
              </w:rPr>
            </w:pPr>
          </w:p>
        </w:tc>
        <w:tc>
          <w:tcPr>
            <w:tcW w:w="5" w:type="pct"/>
            <w:shd w:val="clear" w:color="auto" w:fill="auto"/>
          </w:tcPr>
          <w:p w14:paraId="746EFCC8" w14:textId="77777777" w:rsidR="008E7A10" w:rsidRDefault="008E7A10">
            <w:pPr>
              <w:rPr>
                <w:rFonts w:ascii="宋体"/>
              </w:rPr>
            </w:pPr>
          </w:p>
        </w:tc>
        <w:tc>
          <w:tcPr>
            <w:tcW w:w="50" w:type="pct"/>
            <w:shd w:val="clear" w:color="auto" w:fill="auto"/>
          </w:tcPr>
          <w:p w14:paraId="746EFCC9" w14:textId="77777777" w:rsidR="008E7A10" w:rsidRDefault="008E7A10">
            <w:pPr>
              <w:rPr>
                <w:rFonts w:ascii="宋体"/>
              </w:rPr>
            </w:pPr>
          </w:p>
        </w:tc>
        <w:tc>
          <w:tcPr>
            <w:tcW w:w="631" w:type="pct"/>
            <w:shd w:val="clear" w:color="auto" w:fill="auto"/>
          </w:tcPr>
          <w:p w14:paraId="746EFCCA" w14:textId="77777777" w:rsidR="008E7A10" w:rsidRDefault="008E7A10">
            <w:pPr>
              <w:rPr>
                <w:rFonts w:ascii="宋体"/>
              </w:rPr>
            </w:pPr>
          </w:p>
        </w:tc>
        <w:tc>
          <w:tcPr>
            <w:tcW w:w="5" w:type="pct"/>
            <w:shd w:val="clear" w:color="auto" w:fill="auto"/>
          </w:tcPr>
          <w:p w14:paraId="746EFCCB" w14:textId="77777777" w:rsidR="008E7A10" w:rsidRDefault="008E7A10">
            <w:pPr>
              <w:rPr>
                <w:rFonts w:ascii="宋体"/>
              </w:rPr>
            </w:pPr>
          </w:p>
        </w:tc>
        <w:tc>
          <w:tcPr>
            <w:tcW w:w="0" w:type="auto"/>
            <w:shd w:val="clear" w:color="auto" w:fill="auto"/>
          </w:tcPr>
          <w:p w14:paraId="746EFCCC" w14:textId="77777777" w:rsidR="008E7A10" w:rsidRDefault="008E7A10">
            <w:pPr>
              <w:rPr>
                <w:rFonts w:ascii="宋体"/>
                <w:vanish/>
              </w:rPr>
            </w:pPr>
          </w:p>
        </w:tc>
        <w:tc>
          <w:tcPr>
            <w:tcW w:w="0" w:type="auto"/>
            <w:gridSpan w:val="3"/>
            <w:shd w:val="clear" w:color="auto" w:fill="auto"/>
          </w:tcPr>
          <w:p w14:paraId="746EFCCD" w14:textId="77777777" w:rsidR="008E7A10" w:rsidRDefault="008E7A10">
            <w:pPr>
              <w:rPr>
                <w:rFonts w:ascii="宋体"/>
                <w:vanish/>
              </w:rPr>
            </w:pPr>
          </w:p>
        </w:tc>
      </w:tr>
      <w:tr w:rsidR="008E7A10" w14:paraId="746EFCD7" w14:textId="77777777">
        <w:tc>
          <w:tcPr>
            <w:tcW w:w="0" w:type="auto"/>
            <w:gridSpan w:val="3"/>
            <w:shd w:val="clear" w:color="auto" w:fill="auto"/>
            <w:tcMar>
              <w:top w:w="0" w:type="dxa"/>
              <w:left w:w="20" w:type="dxa"/>
              <w:bottom w:w="0" w:type="dxa"/>
              <w:right w:w="20" w:type="dxa"/>
            </w:tcMar>
          </w:tcPr>
          <w:p w14:paraId="746EFCCF" w14:textId="77777777" w:rsidR="008E7A10" w:rsidRDefault="008E7A10">
            <w:pPr>
              <w:rPr>
                <w:rFonts w:ascii="宋体"/>
              </w:rPr>
            </w:pPr>
          </w:p>
        </w:tc>
        <w:tc>
          <w:tcPr>
            <w:tcW w:w="0" w:type="auto"/>
            <w:gridSpan w:val="6"/>
            <w:shd w:val="clear" w:color="auto" w:fill="auto"/>
            <w:tcMar>
              <w:top w:w="40" w:type="dxa"/>
              <w:left w:w="20" w:type="dxa"/>
              <w:bottom w:w="40" w:type="dxa"/>
              <w:right w:w="20" w:type="dxa"/>
            </w:tcMar>
            <w:vAlign w:val="bottom"/>
          </w:tcPr>
          <w:p w14:paraId="746EFCD0" w14:textId="77777777" w:rsidR="008E7A10" w:rsidRDefault="00E047B2">
            <w:pPr>
              <w:jc w:val="center"/>
              <w:textAlignment w:val="bottom"/>
            </w:pPr>
            <w:r>
              <w:rPr>
                <w:rFonts w:ascii="sans-serif" w:eastAsia="sans-serif" w:hAnsi="sans-serif" w:cs="sans-serif"/>
                <w:b/>
                <w:bCs/>
                <w:color w:val="000000"/>
                <w:sz w:val="17"/>
                <w:szCs w:val="17"/>
              </w:rPr>
              <w:t>THREE</w:t>
            </w:r>
            <w:r>
              <w:rPr>
                <w:rFonts w:ascii="sans-serif" w:eastAsia="sans-serif" w:hAnsi="sans-serif" w:cs="sans-serif"/>
                <w:b/>
                <w:bCs/>
                <w:color w:val="000000"/>
                <w:sz w:val="17"/>
                <w:szCs w:val="17"/>
              </w:rPr>
              <w:t xml:space="preserve"> MONTHS ENDED NOVEMBER 30,</w:t>
            </w:r>
          </w:p>
        </w:tc>
        <w:tc>
          <w:tcPr>
            <w:tcW w:w="0" w:type="auto"/>
            <w:gridSpan w:val="3"/>
            <w:shd w:val="clear" w:color="auto" w:fill="auto"/>
            <w:tcMar>
              <w:top w:w="0" w:type="dxa"/>
              <w:left w:w="20" w:type="dxa"/>
              <w:bottom w:w="0" w:type="dxa"/>
              <w:right w:w="20" w:type="dxa"/>
            </w:tcMar>
          </w:tcPr>
          <w:p w14:paraId="746EFCD1" w14:textId="77777777" w:rsidR="008E7A10" w:rsidRDefault="008E7A10">
            <w:pPr>
              <w:rPr>
                <w:rFonts w:ascii="宋体"/>
              </w:rPr>
            </w:pPr>
          </w:p>
        </w:tc>
        <w:tc>
          <w:tcPr>
            <w:tcW w:w="0" w:type="auto"/>
            <w:gridSpan w:val="6"/>
            <w:shd w:val="clear" w:color="auto" w:fill="auto"/>
            <w:tcMar>
              <w:top w:w="40" w:type="dxa"/>
              <w:left w:w="20" w:type="dxa"/>
              <w:bottom w:w="40" w:type="dxa"/>
              <w:right w:w="20" w:type="dxa"/>
            </w:tcMar>
            <w:vAlign w:val="bottom"/>
          </w:tcPr>
          <w:p w14:paraId="746EFCD2"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tcPr>
          <w:p w14:paraId="746EFCD3" w14:textId="77777777" w:rsidR="008E7A10" w:rsidRDefault="008E7A10">
            <w:pPr>
              <w:rPr>
                <w:rFonts w:ascii="宋体"/>
                <w:vanish/>
              </w:rPr>
            </w:pPr>
          </w:p>
        </w:tc>
        <w:tc>
          <w:tcPr>
            <w:tcW w:w="0" w:type="auto"/>
            <w:shd w:val="clear" w:color="auto" w:fill="auto"/>
          </w:tcPr>
          <w:p w14:paraId="746EFCD4" w14:textId="77777777" w:rsidR="008E7A10" w:rsidRDefault="008E7A10">
            <w:pPr>
              <w:rPr>
                <w:rFonts w:ascii="宋体"/>
              </w:rPr>
            </w:pPr>
          </w:p>
        </w:tc>
        <w:tc>
          <w:tcPr>
            <w:tcW w:w="0" w:type="auto"/>
            <w:shd w:val="clear" w:color="auto" w:fill="auto"/>
          </w:tcPr>
          <w:p w14:paraId="746EFCD5" w14:textId="77777777" w:rsidR="008E7A10" w:rsidRDefault="008E7A10">
            <w:pPr>
              <w:rPr>
                <w:rFonts w:ascii="宋体"/>
              </w:rPr>
            </w:pPr>
          </w:p>
        </w:tc>
        <w:tc>
          <w:tcPr>
            <w:tcW w:w="0" w:type="auto"/>
            <w:shd w:val="clear" w:color="auto" w:fill="auto"/>
          </w:tcPr>
          <w:p w14:paraId="746EFCD6" w14:textId="77777777" w:rsidR="008E7A10" w:rsidRDefault="008E7A10">
            <w:pPr>
              <w:rPr>
                <w:rFonts w:ascii="宋体"/>
              </w:rPr>
            </w:pPr>
          </w:p>
        </w:tc>
      </w:tr>
      <w:tr w:rsidR="008E7A10" w14:paraId="746EFCE0" w14:textId="77777777">
        <w:tc>
          <w:tcPr>
            <w:tcW w:w="0" w:type="auto"/>
            <w:gridSpan w:val="3"/>
            <w:shd w:val="clear" w:color="auto" w:fill="auto"/>
            <w:tcMar>
              <w:top w:w="40" w:type="dxa"/>
              <w:left w:w="20" w:type="dxa"/>
              <w:bottom w:w="40" w:type="dxa"/>
              <w:right w:w="20" w:type="dxa"/>
            </w:tcMar>
            <w:vAlign w:val="bottom"/>
          </w:tcPr>
          <w:p w14:paraId="746EFCD8"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CD9"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CDA"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tcPr>
          <w:p w14:paraId="746EFCDB"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CDC"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CDD"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shd w:val="clear" w:color="auto" w:fill="auto"/>
          </w:tcPr>
          <w:p w14:paraId="746EFCDE" w14:textId="77777777" w:rsidR="008E7A10" w:rsidRDefault="008E7A10">
            <w:pPr>
              <w:rPr>
                <w:rFonts w:ascii="宋体"/>
                <w:vanish/>
              </w:rPr>
            </w:pPr>
          </w:p>
        </w:tc>
        <w:tc>
          <w:tcPr>
            <w:tcW w:w="0" w:type="auto"/>
            <w:gridSpan w:val="3"/>
            <w:shd w:val="clear" w:color="auto" w:fill="auto"/>
          </w:tcPr>
          <w:p w14:paraId="746EFCDF" w14:textId="77777777" w:rsidR="008E7A10" w:rsidRDefault="008E7A10">
            <w:pPr>
              <w:rPr>
                <w:rFonts w:ascii="宋体"/>
                <w:vanish/>
              </w:rPr>
            </w:pPr>
          </w:p>
        </w:tc>
      </w:tr>
      <w:tr w:rsidR="008E7A10" w14:paraId="746EFCF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CE1" w14:textId="77777777" w:rsidR="008E7A10" w:rsidRDefault="00E047B2">
            <w:pPr>
              <w:textAlignment w:val="bottom"/>
            </w:pPr>
            <w:r>
              <w:rPr>
                <w:rFonts w:ascii="Arial" w:eastAsia="宋体" w:hAnsi="Arial" w:cs="Arial"/>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746EFCE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EFCE3" w14:textId="77777777" w:rsidR="008E7A10" w:rsidRDefault="00E047B2">
            <w:pPr>
              <w:jc w:val="right"/>
              <w:textAlignment w:val="bottom"/>
            </w:pPr>
            <w:r>
              <w:rPr>
                <w:rFonts w:ascii="Arial" w:eastAsia="宋体" w:hAnsi="Arial" w:cs="Arial"/>
                <w:color w:val="000000"/>
                <w:sz w:val="17"/>
                <w:szCs w:val="17"/>
              </w:rPr>
              <w:t>1,251 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CE4"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CE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CE6" w14:textId="77777777" w:rsidR="008E7A10" w:rsidRDefault="00E047B2">
            <w:pPr>
              <w:jc w:val="right"/>
              <w:textAlignment w:val="bottom"/>
            </w:pPr>
            <w:r>
              <w:rPr>
                <w:rFonts w:ascii="Arial" w:eastAsia="宋体" w:hAnsi="Arial" w:cs="Arial"/>
                <w:color w:val="000000"/>
                <w:sz w:val="17"/>
                <w:szCs w:val="17"/>
              </w:rPr>
              <w:t>1,115 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CE7"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CE8"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EFCE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EFCEA" w14:textId="77777777" w:rsidR="008E7A10" w:rsidRDefault="00E047B2">
            <w:pPr>
              <w:jc w:val="right"/>
              <w:textAlignment w:val="bottom"/>
            </w:pPr>
            <w:r>
              <w:rPr>
                <w:rFonts w:ascii="Arial" w:eastAsia="宋体" w:hAnsi="Arial" w:cs="Arial"/>
                <w:color w:val="000000"/>
                <w:sz w:val="17"/>
                <w:szCs w:val="17"/>
              </w:rPr>
              <w:t>2,769 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CEB"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CE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CED" w14:textId="77777777" w:rsidR="008E7A10" w:rsidRDefault="00E047B2">
            <w:pPr>
              <w:jc w:val="right"/>
              <w:textAlignment w:val="bottom"/>
            </w:pPr>
            <w:r>
              <w:rPr>
                <w:rFonts w:ascii="Arial" w:eastAsia="宋体" w:hAnsi="Arial" w:cs="Arial"/>
                <w:color w:val="000000"/>
                <w:sz w:val="17"/>
                <w:szCs w:val="17"/>
              </w:rPr>
              <w:t>2,482 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CEE" w14:textId="77777777" w:rsidR="008E7A10" w:rsidRDefault="008E7A10">
            <w:pPr>
              <w:jc w:val="right"/>
              <w:rPr>
                <w:rFonts w:ascii="宋体"/>
              </w:rPr>
            </w:pPr>
          </w:p>
        </w:tc>
        <w:tc>
          <w:tcPr>
            <w:tcW w:w="0" w:type="auto"/>
            <w:shd w:val="clear" w:color="auto" w:fill="auto"/>
          </w:tcPr>
          <w:p w14:paraId="746EFCEF" w14:textId="77777777" w:rsidR="008E7A10" w:rsidRDefault="008E7A10">
            <w:pPr>
              <w:rPr>
                <w:rFonts w:ascii="宋体"/>
                <w:vanish/>
              </w:rPr>
            </w:pPr>
          </w:p>
        </w:tc>
        <w:tc>
          <w:tcPr>
            <w:tcW w:w="0" w:type="auto"/>
            <w:gridSpan w:val="3"/>
            <w:shd w:val="clear" w:color="auto" w:fill="auto"/>
          </w:tcPr>
          <w:p w14:paraId="746EFCF0" w14:textId="77777777" w:rsidR="008E7A10" w:rsidRDefault="008E7A10">
            <w:pPr>
              <w:rPr>
                <w:rFonts w:ascii="宋体"/>
                <w:vanish/>
              </w:rPr>
            </w:pPr>
          </w:p>
        </w:tc>
      </w:tr>
      <w:tr w:rsidR="008E7A10" w14:paraId="746EFCF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CF2" w14:textId="77777777" w:rsidR="008E7A10" w:rsidRDefault="00E047B2">
            <w:pPr>
              <w:textAlignment w:val="bottom"/>
            </w:pPr>
            <w:r>
              <w:rPr>
                <w:rFonts w:ascii="Arial" w:eastAsia="宋体" w:hAnsi="Arial" w:cs="Arial"/>
                <w:color w:val="000000"/>
                <w:sz w:val="17"/>
                <w:szCs w:val="17"/>
              </w:rPr>
              <w:t>Other comprehensive income (loss), net of tax:</w:t>
            </w:r>
          </w:p>
        </w:tc>
        <w:tc>
          <w:tcPr>
            <w:tcW w:w="0" w:type="auto"/>
            <w:gridSpan w:val="3"/>
            <w:tcBorders>
              <w:top w:val="single" w:sz="8" w:space="0" w:color="808080"/>
            </w:tcBorders>
            <w:shd w:val="clear" w:color="auto" w:fill="FFF1E7"/>
            <w:tcMar>
              <w:top w:w="0" w:type="dxa"/>
              <w:left w:w="20" w:type="dxa"/>
              <w:bottom w:w="0" w:type="dxa"/>
              <w:right w:w="20" w:type="dxa"/>
            </w:tcMar>
          </w:tcPr>
          <w:p w14:paraId="746EFCF3"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F4"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F5"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CF6"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CF7" w14:textId="77777777" w:rsidR="008E7A10" w:rsidRDefault="008E7A10">
            <w:pPr>
              <w:rPr>
                <w:rFonts w:ascii="宋体"/>
              </w:rPr>
            </w:pPr>
          </w:p>
        </w:tc>
        <w:tc>
          <w:tcPr>
            <w:tcW w:w="0" w:type="auto"/>
            <w:shd w:val="clear" w:color="auto" w:fill="auto"/>
          </w:tcPr>
          <w:p w14:paraId="746EFCF8" w14:textId="77777777" w:rsidR="008E7A10" w:rsidRDefault="008E7A10">
            <w:pPr>
              <w:rPr>
                <w:rFonts w:ascii="宋体"/>
                <w:vanish/>
              </w:rPr>
            </w:pPr>
          </w:p>
        </w:tc>
        <w:tc>
          <w:tcPr>
            <w:tcW w:w="0" w:type="auto"/>
            <w:gridSpan w:val="3"/>
            <w:shd w:val="clear" w:color="auto" w:fill="auto"/>
          </w:tcPr>
          <w:p w14:paraId="746EFCF9" w14:textId="77777777" w:rsidR="008E7A10" w:rsidRDefault="008E7A10">
            <w:pPr>
              <w:rPr>
                <w:rFonts w:ascii="宋体"/>
                <w:vanish/>
              </w:rPr>
            </w:pPr>
          </w:p>
        </w:tc>
      </w:tr>
      <w:tr w:rsidR="008E7A10" w14:paraId="746EFD0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CFB" w14:textId="77777777" w:rsidR="008E7A10" w:rsidRDefault="00E047B2">
            <w:pPr>
              <w:textAlignment w:val="bottom"/>
            </w:pPr>
            <w:r>
              <w:rPr>
                <w:rFonts w:ascii="Arial" w:eastAsia="宋体" w:hAnsi="Arial" w:cs="Arial"/>
                <w:color w:val="000000"/>
                <w:sz w:val="17"/>
                <w:szCs w:val="17"/>
              </w:rPr>
              <w:t>Change in net foreign currency translation adjustment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CFC" w14:textId="77777777" w:rsidR="008E7A10" w:rsidRDefault="00E047B2">
            <w:pPr>
              <w:jc w:val="right"/>
              <w:textAlignment w:val="bottom"/>
            </w:pPr>
            <w:r>
              <w:rPr>
                <w:rFonts w:ascii="Arial" w:eastAsia="宋体" w:hAnsi="Arial" w:cs="Arial"/>
                <w:color w:val="000000"/>
                <w:sz w:val="17"/>
                <w:szCs w:val="17"/>
              </w:rPr>
              <w:t>78 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CF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CFE" w14:textId="77777777" w:rsidR="008E7A10" w:rsidRDefault="00E047B2">
            <w:pPr>
              <w:jc w:val="right"/>
              <w:textAlignment w:val="bottom"/>
            </w:pPr>
            <w:r>
              <w:rPr>
                <w:rFonts w:ascii="Arial" w:eastAsia="宋体" w:hAnsi="Arial" w:cs="Arial"/>
                <w:color w:val="000000"/>
                <w:sz w:val="17"/>
                <w:szCs w:val="17"/>
              </w:rPr>
              <w:t>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CF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00"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01" w14:textId="77777777" w:rsidR="008E7A10" w:rsidRDefault="00E047B2">
            <w:pPr>
              <w:jc w:val="right"/>
              <w:textAlignment w:val="bottom"/>
            </w:pPr>
            <w:r>
              <w:rPr>
                <w:rFonts w:ascii="Arial" w:eastAsia="宋体" w:hAnsi="Arial" w:cs="Arial"/>
                <w:color w:val="000000"/>
                <w:sz w:val="17"/>
                <w:szCs w:val="17"/>
              </w:rPr>
              <w:t>396 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0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03" w14:textId="77777777" w:rsidR="008E7A10" w:rsidRDefault="00E047B2">
            <w:pPr>
              <w:jc w:val="right"/>
              <w:textAlignment w:val="bottom"/>
            </w:pPr>
            <w:r>
              <w:rPr>
                <w:rFonts w:ascii="Arial" w:eastAsia="宋体" w:hAnsi="Arial" w:cs="Arial"/>
                <w:color w:val="000000"/>
                <w:sz w:val="17"/>
                <w:szCs w:val="17"/>
              </w:rPr>
              <w:t>(61)</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04" w14:textId="77777777" w:rsidR="008E7A10" w:rsidRDefault="008E7A10">
            <w:pPr>
              <w:jc w:val="right"/>
              <w:rPr>
                <w:rFonts w:ascii="宋体"/>
              </w:rPr>
            </w:pPr>
          </w:p>
        </w:tc>
        <w:tc>
          <w:tcPr>
            <w:tcW w:w="0" w:type="auto"/>
            <w:shd w:val="clear" w:color="auto" w:fill="auto"/>
          </w:tcPr>
          <w:p w14:paraId="746EFD05" w14:textId="77777777" w:rsidR="008E7A10" w:rsidRDefault="008E7A10">
            <w:pPr>
              <w:rPr>
                <w:rFonts w:ascii="宋体"/>
                <w:vanish/>
              </w:rPr>
            </w:pPr>
          </w:p>
        </w:tc>
        <w:tc>
          <w:tcPr>
            <w:tcW w:w="0" w:type="auto"/>
            <w:gridSpan w:val="3"/>
            <w:shd w:val="clear" w:color="auto" w:fill="auto"/>
          </w:tcPr>
          <w:p w14:paraId="746EFD06" w14:textId="77777777" w:rsidR="008E7A10" w:rsidRDefault="008E7A10">
            <w:pPr>
              <w:rPr>
                <w:rFonts w:ascii="宋体"/>
                <w:vanish/>
              </w:rPr>
            </w:pPr>
          </w:p>
        </w:tc>
      </w:tr>
      <w:tr w:rsidR="008E7A10" w14:paraId="746EFD1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08" w14:textId="77777777" w:rsidR="008E7A10" w:rsidRDefault="00E047B2">
            <w:pPr>
              <w:textAlignment w:val="bottom"/>
            </w:pPr>
            <w:r>
              <w:rPr>
                <w:rFonts w:ascii="Arial" w:eastAsia="宋体" w:hAnsi="Arial" w:cs="Arial"/>
                <w:color w:val="000000"/>
                <w:sz w:val="17"/>
                <w:szCs w:val="17"/>
              </w:rPr>
              <w:t>Change in net gains (losses) on cash flow hedges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09" w14:textId="77777777" w:rsidR="008E7A10" w:rsidRDefault="00E047B2">
            <w:pPr>
              <w:jc w:val="right"/>
              <w:textAlignment w:val="bottom"/>
            </w:pPr>
            <w:r>
              <w:rPr>
                <w:rFonts w:ascii="Arial" w:eastAsia="宋体" w:hAnsi="Arial" w:cs="Arial"/>
                <w:color w:val="000000"/>
                <w:sz w:val="17"/>
                <w:szCs w:val="17"/>
              </w:rPr>
              <w:t>(103)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0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0B" w14:textId="77777777" w:rsidR="008E7A10" w:rsidRDefault="00E047B2">
            <w:pPr>
              <w:jc w:val="right"/>
              <w:textAlignment w:val="bottom"/>
            </w:pPr>
            <w:r>
              <w:rPr>
                <w:rFonts w:ascii="Arial" w:eastAsia="宋体" w:hAnsi="Arial" w:cs="Arial"/>
                <w:color w:val="000000"/>
                <w:sz w:val="17"/>
                <w:szCs w:val="17"/>
              </w:rPr>
              <w:t>(155)</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0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0D"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0E" w14:textId="77777777" w:rsidR="008E7A10" w:rsidRDefault="00E047B2">
            <w:pPr>
              <w:jc w:val="right"/>
              <w:textAlignment w:val="bottom"/>
            </w:pPr>
            <w:r>
              <w:rPr>
                <w:rFonts w:ascii="Arial" w:eastAsia="宋体" w:hAnsi="Arial" w:cs="Arial"/>
                <w:color w:val="000000"/>
                <w:sz w:val="17"/>
                <w:szCs w:val="17"/>
              </w:rPr>
              <w:t>(761)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0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10" w14:textId="77777777" w:rsidR="008E7A10" w:rsidRDefault="00E047B2">
            <w:pPr>
              <w:jc w:val="right"/>
              <w:textAlignment w:val="bottom"/>
            </w:pPr>
            <w:r>
              <w:rPr>
                <w:rFonts w:ascii="Arial" w:eastAsia="宋体" w:hAnsi="Arial" w:cs="Arial"/>
                <w:color w:val="000000"/>
                <w:sz w:val="17"/>
                <w:szCs w:val="17"/>
              </w:rPr>
              <w:t>(119)</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11" w14:textId="77777777" w:rsidR="008E7A10" w:rsidRDefault="008E7A10">
            <w:pPr>
              <w:jc w:val="right"/>
              <w:rPr>
                <w:rFonts w:ascii="宋体"/>
              </w:rPr>
            </w:pPr>
          </w:p>
        </w:tc>
        <w:tc>
          <w:tcPr>
            <w:tcW w:w="0" w:type="auto"/>
            <w:shd w:val="clear" w:color="auto" w:fill="auto"/>
          </w:tcPr>
          <w:p w14:paraId="746EFD12" w14:textId="77777777" w:rsidR="008E7A10" w:rsidRDefault="008E7A10">
            <w:pPr>
              <w:rPr>
                <w:rFonts w:ascii="宋体"/>
                <w:vanish/>
              </w:rPr>
            </w:pPr>
          </w:p>
        </w:tc>
        <w:tc>
          <w:tcPr>
            <w:tcW w:w="0" w:type="auto"/>
            <w:gridSpan w:val="3"/>
            <w:shd w:val="clear" w:color="auto" w:fill="auto"/>
          </w:tcPr>
          <w:p w14:paraId="746EFD13" w14:textId="77777777" w:rsidR="008E7A10" w:rsidRDefault="008E7A10">
            <w:pPr>
              <w:rPr>
                <w:rFonts w:ascii="宋体"/>
                <w:vanish/>
              </w:rPr>
            </w:pPr>
          </w:p>
        </w:tc>
      </w:tr>
      <w:tr w:rsidR="008E7A10" w14:paraId="746EFD2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15" w14:textId="77777777" w:rsidR="008E7A10" w:rsidRDefault="00E047B2">
            <w:pPr>
              <w:textAlignment w:val="bottom"/>
            </w:pPr>
            <w:r>
              <w:rPr>
                <w:rFonts w:ascii="Arial" w:eastAsia="宋体" w:hAnsi="Arial" w:cs="Arial"/>
                <w:color w:val="000000"/>
                <w:sz w:val="17"/>
                <w:szCs w:val="17"/>
              </w:rPr>
              <w:t>Change in net gains (losses) on 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16"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1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18"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1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1A"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1B" w14:textId="77777777" w:rsidR="008E7A10" w:rsidRDefault="00E047B2">
            <w:pPr>
              <w:jc w:val="right"/>
              <w:textAlignment w:val="bottom"/>
            </w:pPr>
            <w:r>
              <w:rPr>
                <w:rFonts w:ascii="Arial" w:eastAsia="宋体" w:hAnsi="Arial" w:cs="Arial"/>
                <w:color w:val="000000"/>
                <w:sz w:val="17"/>
                <w:szCs w:val="17"/>
              </w:rPr>
              <w:t>(8)</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1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1D"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1E" w14:textId="77777777" w:rsidR="008E7A10" w:rsidRDefault="008E7A10">
            <w:pPr>
              <w:jc w:val="right"/>
              <w:rPr>
                <w:rFonts w:ascii="宋体"/>
              </w:rPr>
            </w:pPr>
          </w:p>
        </w:tc>
        <w:tc>
          <w:tcPr>
            <w:tcW w:w="0" w:type="auto"/>
            <w:shd w:val="clear" w:color="auto" w:fill="auto"/>
          </w:tcPr>
          <w:p w14:paraId="746EFD1F" w14:textId="77777777" w:rsidR="008E7A10" w:rsidRDefault="008E7A10">
            <w:pPr>
              <w:rPr>
                <w:rFonts w:ascii="宋体"/>
                <w:vanish/>
              </w:rPr>
            </w:pPr>
          </w:p>
        </w:tc>
        <w:tc>
          <w:tcPr>
            <w:tcW w:w="0" w:type="auto"/>
            <w:gridSpan w:val="3"/>
            <w:shd w:val="clear" w:color="auto" w:fill="auto"/>
          </w:tcPr>
          <w:p w14:paraId="746EFD20" w14:textId="77777777" w:rsidR="008E7A10" w:rsidRDefault="008E7A10">
            <w:pPr>
              <w:rPr>
                <w:rFonts w:ascii="宋体"/>
                <w:vanish/>
              </w:rPr>
            </w:pPr>
          </w:p>
        </w:tc>
      </w:tr>
      <w:tr w:rsidR="008E7A10" w14:paraId="746EFD2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D22" w14:textId="77777777" w:rsidR="008E7A10" w:rsidRDefault="00E047B2">
            <w:pPr>
              <w:textAlignment w:val="bottom"/>
            </w:pPr>
            <w:r>
              <w:rPr>
                <w:rFonts w:ascii="Arial" w:eastAsia="宋体" w:hAnsi="Arial" w:cs="Arial"/>
                <w:color w:val="000000"/>
                <w:sz w:val="17"/>
                <w:szCs w:val="17"/>
              </w:rPr>
              <w:t>Total other comprehensive income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D23" w14:textId="77777777" w:rsidR="008E7A10" w:rsidRDefault="00E047B2">
            <w:pPr>
              <w:jc w:val="right"/>
              <w:textAlignment w:val="bottom"/>
            </w:pPr>
            <w:r>
              <w:rPr>
                <w:rFonts w:ascii="Arial" w:eastAsia="宋体" w:hAnsi="Arial" w:cs="Arial"/>
                <w:color w:val="000000"/>
                <w:sz w:val="17"/>
                <w:szCs w:val="17"/>
              </w:rPr>
              <w:t>(28)</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D24"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D25" w14:textId="77777777" w:rsidR="008E7A10" w:rsidRDefault="00E047B2">
            <w:pPr>
              <w:jc w:val="right"/>
              <w:textAlignment w:val="bottom"/>
            </w:pPr>
            <w:r>
              <w:rPr>
                <w:rFonts w:ascii="Arial" w:eastAsia="宋体" w:hAnsi="Arial" w:cs="Arial"/>
                <w:color w:val="000000"/>
                <w:sz w:val="17"/>
                <w:szCs w:val="17"/>
              </w:rPr>
              <w:t>(128)</w:t>
            </w:r>
          </w:p>
        </w:tc>
        <w:tc>
          <w:tcPr>
            <w:tcW w:w="0" w:type="auto"/>
            <w:tcBorders>
              <w:top w:val="single" w:sz="8" w:space="0" w:color="E87722"/>
            </w:tcBorders>
            <w:shd w:val="clear" w:color="auto" w:fill="auto"/>
            <w:tcMar>
              <w:top w:w="40" w:type="dxa"/>
              <w:left w:w="0" w:type="dxa"/>
              <w:bottom w:w="40" w:type="dxa"/>
              <w:right w:w="20" w:type="dxa"/>
            </w:tcMar>
            <w:vAlign w:val="bottom"/>
          </w:tcPr>
          <w:p w14:paraId="746EFD26"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D27"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D28" w14:textId="77777777" w:rsidR="008E7A10" w:rsidRDefault="00E047B2">
            <w:pPr>
              <w:jc w:val="right"/>
              <w:textAlignment w:val="bottom"/>
            </w:pPr>
            <w:r>
              <w:rPr>
                <w:rFonts w:ascii="Arial" w:eastAsia="宋体" w:hAnsi="Arial" w:cs="Arial"/>
                <w:color w:val="000000"/>
                <w:sz w:val="17"/>
                <w:szCs w:val="17"/>
              </w:rPr>
              <w:t>(373)</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D29"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D2A" w14:textId="77777777" w:rsidR="008E7A10" w:rsidRDefault="00E047B2">
            <w:pPr>
              <w:jc w:val="right"/>
              <w:textAlignment w:val="bottom"/>
            </w:pPr>
            <w:r>
              <w:rPr>
                <w:rFonts w:ascii="Arial" w:eastAsia="宋体" w:hAnsi="Arial" w:cs="Arial"/>
                <w:color w:val="000000"/>
                <w:sz w:val="17"/>
                <w:szCs w:val="17"/>
              </w:rPr>
              <w:t>(179)</w:t>
            </w:r>
          </w:p>
        </w:tc>
        <w:tc>
          <w:tcPr>
            <w:tcW w:w="0" w:type="auto"/>
            <w:tcBorders>
              <w:top w:val="single" w:sz="8" w:space="0" w:color="E87722"/>
            </w:tcBorders>
            <w:shd w:val="clear" w:color="auto" w:fill="auto"/>
            <w:tcMar>
              <w:top w:w="40" w:type="dxa"/>
              <w:left w:w="0" w:type="dxa"/>
              <w:bottom w:w="40" w:type="dxa"/>
              <w:right w:w="20" w:type="dxa"/>
            </w:tcMar>
            <w:vAlign w:val="bottom"/>
          </w:tcPr>
          <w:p w14:paraId="746EFD2B" w14:textId="77777777" w:rsidR="008E7A10" w:rsidRDefault="008E7A10">
            <w:pPr>
              <w:jc w:val="right"/>
              <w:rPr>
                <w:rFonts w:ascii="宋体"/>
              </w:rPr>
            </w:pPr>
          </w:p>
        </w:tc>
        <w:tc>
          <w:tcPr>
            <w:tcW w:w="0" w:type="auto"/>
            <w:shd w:val="clear" w:color="auto" w:fill="auto"/>
          </w:tcPr>
          <w:p w14:paraId="746EFD2C" w14:textId="77777777" w:rsidR="008E7A10" w:rsidRDefault="008E7A10">
            <w:pPr>
              <w:rPr>
                <w:rFonts w:ascii="宋体"/>
                <w:vanish/>
              </w:rPr>
            </w:pPr>
          </w:p>
        </w:tc>
        <w:tc>
          <w:tcPr>
            <w:tcW w:w="0" w:type="auto"/>
            <w:gridSpan w:val="3"/>
            <w:shd w:val="clear" w:color="auto" w:fill="auto"/>
          </w:tcPr>
          <w:p w14:paraId="746EFD2D" w14:textId="77777777" w:rsidR="008E7A10" w:rsidRDefault="008E7A10">
            <w:pPr>
              <w:rPr>
                <w:rFonts w:ascii="宋体"/>
                <w:vanish/>
              </w:rPr>
            </w:pPr>
          </w:p>
        </w:tc>
      </w:tr>
      <w:tr w:rsidR="008E7A10" w14:paraId="746EFD3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EFD2F" w14:textId="77777777" w:rsidR="008E7A10" w:rsidRDefault="00E047B2">
            <w:pPr>
              <w:textAlignment w:val="bottom"/>
            </w:pPr>
            <w:r>
              <w:rPr>
                <w:rFonts w:ascii="Arial" w:eastAsia="宋体" w:hAnsi="Arial" w:cs="Arial"/>
                <w:b/>
                <w:bCs/>
                <w:color w:val="000000"/>
                <w:sz w:val="17"/>
                <w:szCs w:val="17"/>
              </w:rPr>
              <w:t>TOTAL COMPREHENSIVE INCOME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EFD3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EFD31" w14:textId="77777777" w:rsidR="008E7A10" w:rsidRDefault="00E047B2">
            <w:pPr>
              <w:jc w:val="right"/>
              <w:textAlignment w:val="bottom"/>
            </w:pPr>
            <w:r>
              <w:rPr>
                <w:rFonts w:ascii="Arial" w:eastAsia="宋体" w:hAnsi="Arial" w:cs="Arial"/>
                <w:b/>
                <w:bCs/>
                <w:color w:val="000000"/>
                <w:sz w:val="17"/>
                <w:szCs w:val="17"/>
              </w:rPr>
              <w:t>1,223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EFD32"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EFD3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EFD34" w14:textId="77777777" w:rsidR="008E7A10" w:rsidRDefault="00E047B2">
            <w:pPr>
              <w:jc w:val="right"/>
              <w:textAlignment w:val="bottom"/>
            </w:pPr>
            <w:r>
              <w:rPr>
                <w:rFonts w:ascii="Arial" w:eastAsia="宋体" w:hAnsi="Arial" w:cs="Arial"/>
                <w:b/>
                <w:bCs/>
                <w:color w:val="000000"/>
                <w:sz w:val="17"/>
                <w:szCs w:val="17"/>
              </w:rPr>
              <w:t>987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EFD35"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EFD36"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EFD3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EFD38" w14:textId="77777777" w:rsidR="008E7A10" w:rsidRDefault="00E047B2">
            <w:pPr>
              <w:jc w:val="right"/>
              <w:textAlignment w:val="bottom"/>
            </w:pPr>
            <w:r>
              <w:rPr>
                <w:rFonts w:ascii="Arial" w:eastAsia="宋体" w:hAnsi="Arial" w:cs="Arial"/>
                <w:b/>
                <w:bCs/>
                <w:color w:val="000000"/>
                <w:sz w:val="17"/>
                <w:szCs w:val="17"/>
              </w:rPr>
              <w:t>2,396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EFD39"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EFD3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EFD3B" w14:textId="77777777" w:rsidR="008E7A10" w:rsidRDefault="00E047B2">
            <w:pPr>
              <w:jc w:val="right"/>
              <w:textAlignment w:val="bottom"/>
            </w:pPr>
            <w:r>
              <w:rPr>
                <w:rFonts w:ascii="Arial" w:eastAsia="宋体" w:hAnsi="Arial" w:cs="Arial"/>
                <w:b/>
                <w:bCs/>
                <w:color w:val="000000"/>
                <w:sz w:val="17"/>
                <w:szCs w:val="17"/>
              </w:rPr>
              <w:t>2,303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EFD3C" w14:textId="77777777" w:rsidR="008E7A10" w:rsidRDefault="008E7A10">
            <w:pPr>
              <w:jc w:val="right"/>
              <w:rPr>
                <w:rFonts w:ascii="宋体"/>
              </w:rPr>
            </w:pPr>
          </w:p>
        </w:tc>
        <w:tc>
          <w:tcPr>
            <w:tcW w:w="0" w:type="auto"/>
            <w:shd w:val="clear" w:color="auto" w:fill="auto"/>
          </w:tcPr>
          <w:p w14:paraId="746EFD3D" w14:textId="77777777" w:rsidR="008E7A10" w:rsidRDefault="008E7A10">
            <w:pPr>
              <w:rPr>
                <w:rFonts w:ascii="宋体"/>
                <w:vanish/>
              </w:rPr>
            </w:pPr>
          </w:p>
        </w:tc>
        <w:tc>
          <w:tcPr>
            <w:tcW w:w="0" w:type="auto"/>
            <w:gridSpan w:val="3"/>
            <w:shd w:val="clear" w:color="auto" w:fill="auto"/>
          </w:tcPr>
          <w:p w14:paraId="746EFD3E" w14:textId="77777777" w:rsidR="008E7A10" w:rsidRDefault="008E7A10">
            <w:pPr>
              <w:rPr>
                <w:rFonts w:ascii="宋体"/>
                <w:vanish/>
              </w:rPr>
            </w:pPr>
          </w:p>
        </w:tc>
      </w:tr>
    </w:tbl>
    <w:p w14:paraId="746EFD40" w14:textId="77777777" w:rsidR="008E7A10" w:rsidRDefault="00E047B2">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746EFD41" w14:textId="77777777" w:rsidR="008E7A10" w:rsidRDefault="00E047B2">
      <w:pPr>
        <w:spacing w:before="120" w:after="120"/>
      </w:pPr>
      <w:r>
        <w:rPr>
          <w:rFonts w:ascii="Arial" w:eastAsia="宋体" w:hAnsi="Arial" w:cs="Arial"/>
          <w:color w:val="E87722"/>
          <w:sz w:val="17"/>
          <w:szCs w:val="17"/>
        </w:rPr>
        <w:t>2</w:t>
      </w:r>
      <w:r>
        <w:rPr>
          <w:rFonts w:ascii="sans-serif" w:eastAsia="sans-serif" w:hAnsi="sans-serif" w:cs="sans-serif"/>
          <w:color w:val="000000"/>
          <w:sz w:val="17"/>
          <w:szCs w:val="17"/>
        </w:rPr>
        <w:t xml:space="preserve"> </w:t>
      </w:r>
    </w:p>
    <w:p w14:paraId="746EFD42" w14:textId="77777777" w:rsidR="008E7A10" w:rsidRDefault="00E047B2">
      <w:r>
        <w:pict w14:anchorId="746F200A">
          <v:rect id="_x0000_i1028" style="width:415.3pt;height:1.5pt" o:hralign="center" o:hrstd="t" o:hr="t" fillcolor="#a0a0a0" stroked="f"/>
        </w:pict>
      </w:r>
    </w:p>
    <w:p w14:paraId="746EFD43" w14:textId="77777777" w:rsidR="008E7A10" w:rsidRDefault="008E7A10"/>
    <w:p w14:paraId="746EFD44" w14:textId="77777777" w:rsidR="008E7A10" w:rsidRDefault="00E047B2">
      <w:hyperlink r:id="rId45" w:anchor="i31a624617c6c41b38f8f700fa0df5bde_7" w:history="1">
        <w:r>
          <w:rPr>
            <w:rStyle w:val="a5"/>
            <w:rFonts w:ascii="sans-serif" w:eastAsia="sans-serif" w:hAnsi="sans-serif" w:cs="sans-serif"/>
            <w:sz w:val="17"/>
            <w:szCs w:val="17"/>
          </w:rPr>
          <w:t>Table of Contents</w:t>
        </w:r>
      </w:hyperlink>
    </w:p>
    <w:p w14:paraId="746EFD45" w14:textId="77777777" w:rsidR="008E7A10" w:rsidRDefault="008E7A10"/>
    <w:p w14:paraId="746EFD46" w14:textId="77777777" w:rsidR="008E7A10" w:rsidRDefault="00E047B2">
      <w:pPr>
        <w:spacing w:before="300"/>
      </w:pPr>
      <w:r>
        <w:rPr>
          <w:rFonts w:ascii="sans-serif" w:eastAsia="sans-serif" w:hAnsi="sans-serif" w:cs="sans-serif"/>
          <w:b/>
          <w:bCs/>
          <w:color w:val="E87722"/>
          <w:sz w:val="36"/>
          <w:szCs w:val="36"/>
        </w:rPr>
        <w:t>NIKE, INC.</w:t>
      </w:r>
    </w:p>
    <w:p w14:paraId="746EFD47" w14:textId="77777777" w:rsidR="008E7A10" w:rsidRDefault="00E047B2">
      <w:pPr>
        <w:spacing w:before="120" w:after="120"/>
      </w:pPr>
      <w:r>
        <w:rPr>
          <w:rFonts w:ascii="sans-serif" w:eastAsia="sans-serif" w:hAnsi="sans-serif" w:cs="sans-serif"/>
          <w:b/>
          <w:bCs/>
          <w:color w:val="000000"/>
          <w:sz w:val="28"/>
          <w:szCs w:val="28"/>
        </w:rPr>
        <w:t>UNAUDITED CONDENSED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42"/>
        <w:gridCol w:w="5735"/>
        <w:gridCol w:w="39"/>
        <w:gridCol w:w="116"/>
        <w:gridCol w:w="1063"/>
        <w:gridCol w:w="36"/>
        <w:gridCol w:w="36"/>
        <w:gridCol w:w="36"/>
        <w:gridCol w:w="36"/>
        <w:gridCol w:w="115"/>
        <w:gridCol w:w="1033"/>
        <w:gridCol w:w="36"/>
      </w:tblGrid>
      <w:tr w:rsidR="008E7A10" w14:paraId="746EFD54" w14:textId="77777777">
        <w:tc>
          <w:tcPr>
            <w:tcW w:w="50" w:type="pct"/>
            <w:shd w:val="clear" w:color="auto" w:fill="auto"/>
          </w:tcPr>
          <w:p w14:paraId="746EFD48" w14:textId="77777777" w:rsidR="008E7A10" w:rsidRDefault="008E7A10">
            <w:pPr>
              <w:rPr>
                <w:rFonts w:ascii="宋体"/>
              </w:rPr>
            </w:pPr>
          </w:p>
        </w:tc>
        <w:tc>
          <w:tcPr>
            <w:tcW w:w="3468" w:type="pct"/>
            <w:shd w:val="clear" w:color="auto" w:fill="auto"/>
          </w:tcPr>
          <w:p w14:paraId="746EFD49" w14:textId="77777777" w:rsidR="008E7A10" w:rsidRDefault="008E7A10">
            <w:pPr>
              <w:rPr>
                <w:rFonts w:ascii="宋体"/>
              </w:rPr>
            </w:pPr>
          </w:p>
        </w:tc>
        <w:tc>
          <w:tcPr>
            <w:tcW w:w="5" w:type="pct"/>
            <w:shd w:val="clear" w:color="auto" w:fill="auto"/>
          </w:tcPr>
          <w:p w14:paraId="746EFD4A" w14:textId="77777777" w:rsidR="008E7A10" w:rsidRDefault="008E7A10">
            <w:pPr>
              <w:rPr>
                <w:rFonts w:ascii="宋体"/>
              </w:rPr>
            </w:pPr>
          </w:p>
        </w:tc>
        <w:tc>
          <w:tcPr>
            <w:tcW w:w="50" w:type="pct"/>
            <w:shd w:val="clear" w:color="auto" w:fill="auto"/>
          </w:tcPr>
          <w:p w14:paraId="746EFD4B" w14:textId="77777777" w:rsidR="008E7A10" w:rsidRDefault="008E7A10">
            <w:pPr>
              <w:rPr>
                <w:rFonts w:ascii="宋体"/>
              </w:rPr>
            </w:pPr>
          </w:p>
        </w:tc>
        <w:tc>
          <w:tcPr>
            <w:tcW w:w="663" w:type="pct"/>
            <w:shd w:val="clear" w:color="auto" w:fill="auto"/>
          </w:tcPr>
          <w:p w14:paraId="746EFD4C" w14:textId="77777777" w:rsidR="008E7A10" w:rsidRDefault="008E7A10">
            <w:pPr>
              <w:rPr>
                <w:rFonts w:ascii="宋体"/>
              </w:rPr>
            </w:pPr>
          </w:p>
        </w:tc>
        <w:tc>
          <w:tcPr>
            <w:tcW w:w="5" w:type="pct"/>
            <w:shd w:val="clear" w:color="auto" w:fill="auto"/>
          </w:tcPr>
          <w:p w14:paraId="746EFD4D" w14:textId="77777777" w:rsidR="008E7A10" w:rsidRDefault="008E7A10">
            <w:pPr>
              <w:rPr>
                <w:rFonts w:ascii="宋体"/>
              </w:rPr>
            </w:pPr>
          </w:p>
        </w:tc>
        <w:tc>
          <w:tcPr>
            <w:tcW w:w="5" w:type="pct"/>
            <w:shd w:val="clear" w:color="auto" w:fill="auto"/>
          </w:tcPr>
          <w:p w14:paraId="746EFD4E" w14:textId="77777777" w:rsidR="008E7A10" w:rsidRDefault="008E7A10">
            <w:pPr>
              <w:rPr>
                <w:rFonts w:ascii="宋体"/>
              </w:rPr>
            </w:pPr>
          </w:p>
        </w:tc>
        <w:tc>
          <w:tcPr>
            <w:tcW w:w="28" w:type="pct"/>
            <w:shd w:val="clear" w:color="auto" w:fill="auto"/>
          </w:tcPr>
          <w:p w14:paraId="746EFD4F" w14:textId="77777777" w:rsidR="008E7A10" w:rsidRDefault="008E7A10">
            <w:pPr>
              <w:rPr>
                <w:rFonts w:ascii="宋体"/>
              </w:rPr>
            </w:pPr>
          </w:p>
        </w:tc>
        <w:tc>
          <w:tcPr>
            <w:tcW w:w="5" w:type="pct"/>
            <w:shd w:val="clear" w:color="auto" w:fill="auto"/>
          </w:tcPr>
          <w:p w14:paraId="746EFD50" w14:textId="77777777" w:rsidR="008E7A10" w:rsidRDefault="008E7A10">
            <w:pPr>
              <w:rPr>
                <w:rFonts w:ascii="宋体"/>
              </w:rPr>
            </w:pPr>
          </w:p>
        </w:tc>
        <w:tc>
          <w:tcPr>
            <w:tcW w:w="50" w:type="pct"/>
            <w:shd w:val="clear" w:color="auto" w:fill="auto"/>
          </w:tcPr>
          <w:p w14:paraId="746EFD51" w14:textId="77777777" w:rsidR="008E7A10" w:rsidRDefault="008E7A10">
            <w:pPr>
              <w:rPr>
                <w:rFonts w:ascii="宋体"/>
              </w:rPr>
            </w:pPr>
          </w:p>
        </w:tc>
        <w:tc>
          <w:tcPr>
            <w:tcW w:w="663" w:type="pct"/>
            <w:shd w:val="clear" w:color="auto" w:fill="auto"/>
          </w:tcPr>
          <w:p w14:paraId="746EFD52" w14:textId="77777777" w:rsidR="008E7A10" w:rsidRDefault="008E7A10">
            <w:pPr>
              <w:rPr>
                <w:rFonts w:ascii="宋体"/>
              </w:rPr>
            </w:pPr>
          </w:p>
        </w:tc>
        <w:tc>
          <w:tcPr>
            <w:tcW w:w="5" w:type="pct"/>
            <w:shd w:val="clear" w:color="auto" w:fill="auto"/>
          </w:tcPr>
          <w:p w14:paraId="746EFD53" w14:textId="77777777" w:rsidR="008E7A10" w:rsidRDefault="008E7A10">
            <w:pPr>
              <w:rPr>
                <w:rFonts w:ascii="宋体"/>
              </w:rPr>
            </w:pPr>
          </w:p>
        </w:tc>
      </w:tr>
      <w:tr w:rsidR="008E7A10" w14:paraId="746EFD59" w14:textId="77777777">
        <w:tc>
          <w:tcPr>
            <w:tcW w:w="0" w:type="auto"/>
            <w:gridSpan w:val="3"/>
            <w:shd w:val="clear" w:color="auto" w:fill="auto"/>
            <w:tcMar>
              <w:top w:w="0" w:type="dxa"/>
              <w:left w:w="20" w:type="dxa"/>
              <w:bottom w:w="0" w:type="dxa"/>
              <w:right w:w="20" w:type="dxa"/>
            </w:tcMar>
          </w:tcPr>
          <w:p w14:paraId="746EFD55" w14:textId="77777777" w:rsidR="008E7A10" w:rsidRDefault="008E7A10">
            <w:pPr>
              <w:rPr>
                <w:rFonts w:ascii="宋体"/>
              </w:rPr>
            </w:pPr>
          </w:p>
        </w:tc>
        <w:tc>
          <w:tcPr>
            <w:tcW w:w="0" w:type="auto"/>
            <w:gridSpan w:val="3"/>
            <w:shd w:val="clear" w:color="auto" w:fill="auto"/>
            <w:tcMar>
              <w:top w:w="40" w:type="dxa"/>
              <w:left w:w="20" w:type="dxa"/>
              <w:bottom w:w="40" w:type="dxa"/>
              <w:right w:w="20" w:type="dxa"/>
            </w:tcMar>
            <w:vAlign w:val="bottom"/>
          </w:tcPr>
          <w:p w14:paraId="746EFD56" w14:textId="77777777" w:rsidR="008E7A10" w:rsidRDefault="00E047B2">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tcPr>
          <w:p w14:paraId="746EFD57" w14:textId="77777777" w:rsidR="008E7A10" w:rsidRDefault="008E7A10">
            <w:pPr>
              <w:rPr>
                <w:rFonts w:ascii="宋体"/>
              </w:rPr>
            </w:pPr>
          </w:p>
        </w:tc>
        <w:tc>
          <w:tcPr>
            <w:tcW w:w="0" w:type="auto"/>
            <w:gridSpan w:val="3"/>
            <w:shd w:val="clear" w:color="auto" w:fill="auto"/>
            <w:tcMar>
              <w:top w:w="40" w:type="dxa"/>
              <w:left w:w="20" w:type="dxa"/>
              <w:bottom w:w="40" w:type="dxa"/>
              <w:right w:w="20" w:type="dxa"/>
            </w:tcMar>
            <w:vAlign w:val="bottom"/>
          </w:tcPr>
          <w:p w14:paraId="746EFD58" w14:textId="77777777" w:rsidR="008E7A10" w:rsidRDefault="00E047B2">
            <w:pPr>
              <w:jc w:val="center"/>
              <w:textAlignment w:val="bottom"/>
            </w:pPr>
            <w:r>
              <w:rPr>
                <w:rFonts w:ascii="sans-serif" w:eastAsia="sans-serif" w:hAnsi="sans-serif" w:cs="sans-serif"/>
                <w:b/>
                <w:bCs/>
                <w:color w:val="000000"/>
                <w:sz w:val="17"/>
                <w:szCs w:val="17"/>
              </w:rPr>
              <w:t>MAY 31,</w:t>
            </w:r>
          </w:p>
        </w:tc>
      </w:tr>
      <w:tr w:rsidR="008E7A10" w14:paraId="746EFD5E" w14:textId="77777777">
        <w:tc>
          <w:tcPr>
            <w:tcW w:w="0" w:type="auto"/>
            <w:gridSpan w:val="3"/>
            <w:shd w:val="clear" w:color="auto" w:fill="auto"/>
            <w:tcMar>
              <w:top w:w="40" w:type="dxa"/>
              <w:left w:w="20" w:type="dxa"/>
              <w:bottom w:w="40" w:type="dxa"/>
              <w:right w:w="20" w:type="dxa"/>
            </w:tcMar>
            <w:vAlign w:val="bottom"/>
          </w:tcPr>
          <w:p w14:paraId="746EFD5A" w14:textId="77777777" w:rsidR="008E7A10" w:rsidRDefault="00E047B2">
            <w:pPr>
              <w:textAlignment w:val="bottom"/>
            </w:pPr>
            <w:r>
              <w:rPr>
                <w:rFonts w:ascii="Arial Narrow" w:eastAsia="Arial Narrow" w:hAnsi="Arial Narrow" w:cs="Arial Narrow"/>
                <w:i/>
                <w:iCs/>
                <w:color w:val="000000"/>
                <w:sz w:val="17"/>
                <w:szCs w:val="17"/>
              </w:rPr>
              <w:t>(In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D5B"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tcPr>
          <w:p w14:paraId="746EFD5C"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D5D" w14:textId="77777777" w:rsidR="008E7A10" w:rsidRDefault="00E047B2">
            <w:pPr>
              <w:jc w:val="center"/>
              <w:textAlignment w:val="bottom"/>
            </w:pPr>
            <w:r>
              <w:rPr>
                <w:rFonts w:ascii="sans-serif" w:eastAsia="sans-serif" w:hAnsi="sans-serif" w:cs="sans-serif"/>
                <w:b/>
                <w:bCs/>
                <w:color w:val="000000"/>
                <w:sz w:val="17"/>
                <w:szCs w:val="17"/>
              </w:rPr>
              <w:t>2020</w:t>
            </w:r>
          </w:p>
        </w:tc>
      </w:tr>
      <w:tr w:rsidR="008E7A10" w14:paraId="746EFD6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D5F" w14:textId="77777777" w:rsidR="008E7A10" w:rsidRDefault="00E047B2">
            <w:pPr>
              <w:textAlignment w:val="bottom"/>
            </w:pPr>
            <w:r>
              <w:rPr>
                <w:rFonts w:ascii="Arial" w:eastAsia="宋体" w:hAnsi="Arial" w:cs="Arial"/>
                <w:b/>
                <w:bCs/>
                <w:color w:val="000000"/>
                <w:sz w:val="17"/>
                <w:szCs w:val="17"/>
              </w:rPr>
              <w:t>ASSETS</w:t>
            </w:r>
          </w:p>
        </w:tc>
        <w:tc>
          <w:tcPr>
            <w:tcW w:w="0" w:type="auto"/>
            <w:gridSpan w:val="3"/>
            <w:tcBorders>
              <w:top w:val="single" w:sz="8" w:space="0" w:color="E87722"/>
            </w:tcBorders>
            <w:shd w:val="clear" w:color="auto" w:fill="FFF1E7"/>
            <w:tcMar>
              <w:top w:w="0" w:type="dxa"/>
              <w:left w:w="20" w:type="dxa"/>
              <w:bottom w:w="0" w:type="dxa"/>
              <w:right w:w="20" w:type="dxa"/>
            </w:tcMar>
          </w:tcPr>
          <w:p w14:paraId="746EFD6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D6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D62" w14:textId="77777777" w:rsidR="008E7A10" w:rsidRDefault="008E7A10">
            <w:pPr>
              <w:rPr>
                <w:rFonts w:ascii="宋体"/>
              </w:rPr>
            </w:pPr>
          </w:p>
        </w:tc>
      </w:tr>
      <w:tr w:rsidR="008E7A10" w14:paraId="746EFD6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D64" w14:textId="77777777" w:rsidR="008E7A10" w:rsidRDefault="00E047B2">
            <w:pPr>
              <w:textAlignment w:val="bottom"/>
            </w:pPr>
            <w:r>
              <w:rPr>
                <w:rFonts w:ascii="Arial" w:eastAsia="宋体" w:hAnsi="Arial" w:cs="Arial"/>
                <w:color w:val="000000"/>
                <w:sz w:val="17"/>
                <w:szCs w:val="17"/>
              </w:rPr>
              <w:t>Current assets:</w:t>
            </w:r>
          </w:p>
        </w:tc>
        <w:tc>
          <w:tcPr>
            <w:tcW w:w="0" w:type="auto"/>
            <w:gridSpan w:val="3"/>
            <w:tcBorders>
              <w:top w:val="single" w:sz="8" w:space="0" w:color="808080"/>
            </w:tcBorders>
            <w:shd w:val="clear" w:color="auto" w:fill="FFF1E7"/>
            <w:tcMar>
              <w:top w:w="0" w:type="dxa"/>
              <w:left w:w="20" w:type="dxa"/>
              <w:bottom w:w="0" w:type="dxa"/>
              <w:right w:w="20" w:type="dxa"/>
            </w:tcMar>
          </w:tcPr>
          <w:p w14:paraId="746EFD65"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66"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67" w14:textId="77777777" w:rsidR="008E7A10" w:rsidRDefault="008E7A10">
            <w:pPr>
              <w:rPr>
                <w:rFonts w:ascii="宋体"/>
              </w:rPr>
            </w:pPr>
          </w:p>
        </w:tc>
      </w:tr>
      <w:tr w:rsidR="008E7A10" w14:paraId="746EFD7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69" w14:textId="77777777" w:rsidR="008E7A10" w:rsidRDefault="00E047B2">
            <w:pPr>
              <w:textAlignment w:val="bottom"/>
            </w:pPr>
            <w:r>
              <w:rPr>
                <w:rFonts w:ascii="Arial" w:eastAsia="宋体" w:hAnsi="Arial" w:cs="Arial"/>
                <w:color w:val="000000"/>
                <w:sz w:val="17"/>
                <w:szCs w:val="17"/>
              </w:rPr>
              <w:t>Cash and equivalents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EFD6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EFD6B" w14:textId="77777777" w:rsidR="008E7A10" w:rsidRDefault="00E047B2">
            <w:pPr>
              <w:jc w:val="right"/>
              <w:textAlignment w:val="bottom"/>
            </w:pPr>
            <w:r>
              <w:rPr>
                <w:rFonts w:ascii="Arial" w:eastAsia="宋体" w:hAnsi="Arial" w:cs="Arial"/>
                <w:color w:val="000000"/>
                <w:sz w:val="17"/>
                <w:szCs w:val="17"/>
              </w:rPr>
              <w:t>8,635 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6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6D"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EFD6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EFD6F" w14:textId="77777777" w:rsidR="008E7A10" w:rsidRDefault="00E047B2">
            <w:pPr>
              <w:jc w:val="right"/>
              <w:textAlignment w:val="bottom"/>
            </w:pPr>
            <w:r>
              <w:rPr>
                <w:rFonts w:ascii="Arial" w:eastAsia="宋体" w:hAnsi="Arial" w:cs="Arial"/>
                <w:color w:val="000000"/>
                <w:sz w:val="17"/>
                <w:szCs w:val="17"/>
              </w:rPr>
              <w:t>8,348 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70" w14:textId="77777777" w:rsidR="008E7A10" w:rsidRDefault="008E7A10">
            <w:pPr>
              <w:jc w:val="right"/>
              <w:rPr>
                <w:rFonts w:ascii="宋体"/>
              </w:rPr>
            </w:pPr>
          </w:p>
        </w:tc>
      </w:tr>
      <w:tr w:rsidR="008E7A10" w14:paraId="746EFD7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72" w14:textId="77777777" w:rsidR="008E7A10" w:rsidRDefault="00E047B2">
            <w:pPr>
              <w:textAlignment w:val="bottom"/>
            </w:pPr>
            <w:r>
              <w:rPr>
                <w:rFonts w:ascii="Arial" w:eastAsia="宋体" w:hAnsi="Arial" w:cs="Arial"/>
                <w:color w:val="000000"/>
                <w:sz w:val="17"/>
                <w:szCs w:val="17"/>
              </w:rPr>
              <w:t>Short-term investments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73" w14:textId="77777777" w:rsidR="008E7A10" w:rsidRDefault="00E047B2">
            <w:pPr>
              <w:jc w:val="right"/>
              <w:textAlignment w:val="bottom"/>
            </w:pPr>
            <w:r>
              <w:rPr>
                <w:rFonts w:ascii="Arial" w:eastAsia="宋体" w:hAnsi="Arial" w:cs="Arial"/>
                <w:color w:val="000000"/>
                <w:sz w:val="17"/>
                <w:szCs w:val="17"/>
              </w:rPr>
              <w:t>3,177 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74"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75"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76" w14:textId="77777777" w:rsidR="008E7A10" w:rsidRDefault="00E047B2">
            <w:pPr>
              <w:jc w:val="right"/>
              <w:textAlignment w:val="bottom"/>
            </w:pPr>
            <w:r>
              <w:rPr>
                <w:rFonts w:ascii="Arial" w:eastAsia="宋体" w:hAnsi="Arial" w:cs="Arial"/>
                <w:color w:val="000000"/>
                <w:sz w:val="17"/>
                <w:szCs w:val="17"/>
              </w:rPr>
              <w:t>439 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77" w14:textId="77777777" w:rsidR="008E7A10" w:rsidRDefault="008E7A10">
            <w:pPr>
              <w:jc w:val="right"/>
              <w:rPr>
                <w:rFonts w:ascii="宋体"/>
              </w:rPr>
            </w:pPr>
          </w:p>
        </w:tc>
      </w:tr>
      <w:tr w:rsidR="008E7A10" w14:paraId="746EFD7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79" w14:textId="77777777" w:rsidR="008E7A10" w:rsidRDefault="00E047B2">
            <w:pPr>
              <w:textAlignment w:val="bottom"/>
            </w:pPr>
            <w:r>
              <w:rPr>
                <w:rFonts w:ascii="Arial" w:eastAsia="宋体" w:hAnsi="Arial" w:cs="Arial"/>
                <w:color w:val="000000"/>
                <w:sz w:val="17"/>
                <w:szCs w:val="17"/>
              </w:rPr>
              <w:t>Accounts receivable,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7A" w14:textId="77777777" w:rsidR="008E7A10" w:rsidRDefault="00E047B2">
            <w:pPr>
              <w:jc w:val="right"/>
              <w:textAlignment w:val="bottom"/>
            </w:pPr>
            <w:r>
              <w:rPr>
                <w:rFonts w:ascii="Arial" w:eastAsia="宋体" w:hAnsi="Arial" w:cs="Arial"/>
                <w:color w:val="000000"/>
                <w:sz w:val="17"/>
                <w:szCs w:val="17"/>
              </w:rPr>
              <w:t>3,713 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7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7C"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7D" w14:textId="77777777" w:rsidR="008E7A10" w:rsidRDefault="00E047B2">
            <w:pPr>
              <w:jc w:val="right"/>
              <w:textAlignment w:val="bottom"/>
            </w:pPr>
            <w:r>
              <w:rPr>
                <w:rFonts w:ascii="Arial" w:eastAsia="宋体" w:hAnsi="Arial" w:cs="Arial"/>
                <w:color w:val="000000"/>
                <w:sz w:val="17"/>
                <w:szCs w:val="17"/>
              </w:rPr>
              <w:t>2,749 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7E" w14:textId="77777777" w:rsidR="008E7A10" w:rsidRDefault="008E7A10">
            <w:pPr>
              <w:jc w:val="right"/>
              <w:rPr>
                <w:rFonts w:ascii="宋体"/>
              </w:rPr>
            </w:pPr>
          </w:p>
        </w:tc>
      </w:tr>
      <w:tr w:rsidR="008E7A10" w14:paraId="746EFD8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80" w14:textId="77777777" w:rsidR="008E7A10" w:rsidRDefault="00E047B2">
            <w:pPr>
              <w:textAlignment w:val="bottom"/>
            </w:pPr>
            <w:r>
              <w:rPr>
                <w:rFonts w:ascii="Arial" w:eastAsia="宋体" w:hAnsi="Arial" w:cs="Arial"/>
                <w:color w:val="000000"/>
                <w:sz w:val="17"/>
                <w:szCs w:val="17"/>
              </w:rPr>
              <w:t>Inventories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81" w14:textId="77777777" w:rsidR="008E7A10" w:rsidRDefault="00E047B2">
            <w:pPr>
              <w:jc w:val="right"/>
              <w:textAlignment w:val="bottom"/>
            </w:pPr>
            <w:r>
              <w:rPr>
                <w:rFonts w:ascii="Arial" w:eastAsia="宋体" w:hAnsi="Arial" w:cs="Arial"/>
                <w:color w:val="000000"/>
                <w:sz w:val="17"/>
                <w:szCs w:val="17"/>
              </w:rPr>
              <w:t>6,090 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8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83"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84" w14:textId="77777777" w:rsidR="008E7A10" w:rsidRDefault="00E047B2">
            <w:pPr>
              <w:jc w:val="right"/>
              <w:textAlignment w:val="bottom"/>
            </w:pPr>
            <w:r>
              <w:rPr>
                <w:rFonts w:ascii="Arial" w:eastAsia="宋体" w:hAnsi="Arial" w:cs="Arial"/>
                <w:color w:val="000000"/>
                <w:sz w:val="17"/>
                <w:szCs w:val="17"/>
              </w:rPr>
              <w:t>7,367 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85" w14:textId="77777777" w:rsidR="008E7A10" w:rsidRDefault="008E7A10">
            <w:pPr>
              <w:jc w:val="right"/>
              <w:rPr>
                <w:rFonts w:ascii="宋体"/>
              </w:rPr>
            </w:pPr>
          </w:p>
        </w:tc>
      </w:tr>
      <w:tr w:rsidR="008E7A10" w14:paraId="746EFD8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87" w14:textId="77777777" w:rsidR="008E7A10" w:rsidRDefault="00E047B2">
            <w:pPr>
              <w:textAlignment w:val="bottom"/>
            </w:pPr>
            <w:r>
              <w:rPr>
                <w:rFonts w:ascii="Arial" w:eastAsia="宋体" w:hAnsi="Arial" w:cs="Arial"/>
                <w:color w:val="000000"/>
                <w:sz w:val="17"/>
                <w:szCs w:val="17"/>
              </w:rPr>
              <w:t xml:space="preserve">Prepaid </w:t>
            </w:r>
            <w:r>
              <w:rPr>
                <w:rFonts w:ascii="Arial" w:eastAsia="宋体" w:hAnsi="Arial" w:cs="Arial"/>
                <w:color w:val="000000"/>
                <w:sz w:val="17"/>
                <w:szCs w:val="17"/>
              </w:rPr>
              <w:t>expenses and other current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88" w14:textId="77777777" w:rsidR="008E7A10" w:rsidRDefault="00E047B2">
            <w:pPr>
              <w:jc w:val="right"/>
              <w:textAlignment w:val="bottom"/>
            </w:pPr>
            <w:r>
              <w:rPr>
                <w:rFonts w:ascii="Arial" w:eastAsia="宋体" w:hAnsi="Arial" w:cs="Arial"/>
                <w:color w:val="000000"/>
                <w:sz w:val="17"/>
                <w:szCs w:val="17"/>
              </w:rPr>
              <w:t>1,992 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8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8A"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8B" w14:textId="77777777" w:rsidR="008E7A10" w:rsidRDefault="00E047B2">
            <w:pPr>
              <w:jc w:val="right"/>
              <w:textAlignment w:val="bottom"/>
            </w:pPr>
            <w:r>
              <w:rPr>
                <w:rFonts w:ascii="Arial" w:eastAsia="宋体" w:hAnsi="Arial" w:cs="Arial"/>
                <w:color w:val="000000"/>
                <w:sz w:val="17"/>
                <w:szCs w:val="17"/>
              </w:rPr>
              <w:t>1,653 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8C" w14:textId="77777777" w:rsidR="008E7A10" w:rsidRDefault="008E7A10">
            <w:pPr>
              <w:jc w:val="right"/>
              <w:rPr>
                <w:rFonts w:ascii="宋体"/>
              </w:rPr>
            </w:pPr>
          </w:p>
        </w:tc>
      </w:tr>
      <w:tr w:rsidR="008E7A10" w14:paraId="746EFD9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D8E" w14:textId="77777777" w:rsidR="008E7A10" w:rsidRDefault="00E047B2">
            <w:pPr>
              <w:textAlignment w:val="bottom"/>
            </w:pPr>
            <w:r>
              <w:rPr>
                <w:rFonts w:ascii="Arial" w:eastAsia="宋体" w:hAnsi="Arial" w:cs="Arial"/>
                <w:color w:val="000000"/>
                <w:sz w:val="17"/>
                <w:szCs w:val="17"/>
              </w:rPr>
              <w:t>Total current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D8F" w14:textId="77777777" w:rsidR="008E7A10" w:rsidRDefault="00E047B2">
            <w:pPr>
              <w:jc w:val="right"/>
              <w:textAlignment w:val="bottom"/>
            </w:pPr>
            <w:r>
              <w:rPr>
                <w:rFonts w:ascii="Arial" w:eastAsia="宋体" w:hAnsi="Arial" w:cs="Arial"/>
                <w:color w:val="000000"/>
                <w:sz w:val="17"/>
                <w:szCs w:val="17"/>
              </w:rPr>
              <w:t>23,607 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D90"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D91"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D92" w14:textId="77777777" w:rsidR="008E7A10" w:rsidRDefault="00E047B2">
            <w:pPr>
              <w:jc w:val="right"/>
              <w:textAlignment w:val="bottom"/>
            </w:pPr>
            <w:r>
              <w:rPr>
                <w:rFonts w:ascii="Arial" w:eastAsia="宋体" w:hAnsi="Arial" w:cs="Arial"/>
                <w:color w:val="000000"/>
                <w:sz w:val="17"/>
                <w:szCs w:val="17"/>
              </w:rPr>
              <w:t>20,556 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D93" w14:textId="77777777" w:rsidR="008E7A10" w:rsidRDefault="008E7A10">
            <w:pPr>
              <w:jc w:val="right"/>
              <w:rPr>
                <w:rFonts w:ascii="宋体"/>
              </w:rPr>
            </w:pPr>
          </w:p>
        </w:tc>
      </w:tr>
      <w:tr w:rsidR="008E7A10" w14:paraId="746EFD9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95" w14:textId="77777777" w:rsidR="008E7A10" w:rsidRDefault="00E047B2">
            <w:pPr>
              <w:textAlignment w:val="bottom"/>
            </w:pPr>
            <w:r>
              <w:rPr>
                <w:rFonts w:ascii="Arial" w:eastAsia="宋体" w:hAnsi="Arial" w:cs="Arial"/>
                <w:color w:val="000000"/>
                <w:sz w:val="17"/>
                <w:szCs w:val="17"/>
              </w:rPr>
              <w:t>Property, plant and equipment,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96" w14:textId="77777777" w:rsidR="008E7A10" w:rsidRDefault="00E047B2">
            <w:pPr>
              <w:jc w:val="right"/>
              <w:textAlignment w:val="bottom"/>
            </w:pPr>
            <w:r>
              <w:rPr>
                <w:rFonts w:ascii="Arial" w:eastAsia="宋体" w:hAnsi="Arial" w:cs="Arial"/>
                <w:color w:val="000000"/>
                <w:sz w:val="17"/>
                <w:szCs w:val="17"/>
              </w:rPr>
              <w:t>4,959 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97"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98"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99" w14:textId="77777777" w:rsidR="008E7A10" w:rsidRDefault="00E047B2">
            <w:pPr>
              <w:jc w:val="right"/>
              <w:textAlignment w:val="bottom"/>
            </w:pPr>
            <w:r>
              <w:rPr>
                <w:rFonts w:ascii="Arial" w:eastAsia="宋体" w:hAnsi="Arial" w:cs="Arial"/>
                <w:color w:val="000000"/>
                <w:sz w:val="17"/>
                <w:szCs w:val="17"/>
              </w:rPr>
              <w:t>4,866 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9A" w14:textId="77777777" w:rsidR="008E7A10" w:rsidRDefault="008E7A10">
            <w:pPr>
              <w:jc w:val="right"/>
              <w:rPr>
                <w:rFonts w:ascii="宋体"/>
              </w:rPr>
            </w:pPr>
          </w:p>
        </w:tc>
      </w:tr>
      <w:tr w:rsidR="008E7A10" w14:paraId="746EFDA2"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9C" w14:textId="77777777" w:rsidR="008E7A10" w:rsidRDefault="00E047B2">
            <w:pPr>
              <w:textAlignment w:val="bottom"/>
            </w:pPr>
            <w:r>
              <w:rPr>
                <w:rFonts w:ascii="Arial" w:eastAsia="宋体" w:hAnsi="Arial" w:cs="Arial"/>
                <w:color w:val="000000"/>
                <w:sz w:val="17"/>
                <w:szCs w:val="17"/>
              </w:rPr>
              <w:t>Operating lease right-of-use assets,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9D" w14:textId="77777777" w:rsidR="008E7A10" w:rsidRDefault="00E047B2">
            <w:pPr>
              <w:jc w:val="right"/>
              <w:textAlignment w:val="bottom"/>
            </w:pPr>
            <w:r>
              <w:rPr>
                <w:rFonts w:ascii="Arial" w:eastAsia="宋体" w:hAnsi="Arial" w:cs="Arial"/>
                <w:color w:val="000000"/>
                <w:sz w:val="17"/>
                <w:szCs w:val="17"/>
              </w:rPr>
              <w:t>3,086 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9E"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9F"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A0" w14:textId="77777777" w:rsidR="008E7A10" w:rsidRDefault="00E047B2">
            <w:pPr>
              <w:jc w:val="right"/>
              <w:textAlignment w:val="bottom"/>
            </w:pPr>
            <w:r>
              <w:rPr>
                <w:rFonts w:ascii="Arial" w:eastAsia="宋体" w:hAnsi="Arial" w:cs="Arial"/>
                <w:color w:val="000000"/>
                <w:sz w:val="17"/>
                <w:szCs w:val="17"/>
              </w:rPr>
              <w:t>3,097 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A1" w14:textId="77777777" w:rsidR="008E7A10" w:rsidRDefault="008E7A10">
            <w:pPr>
              <w:jc w:val="right"/>
              <w:rPr>
                <w:rFonts w:ascii="宋体"/>
              </w:rPr>
            </w:pPr>
          </w:p>
        </w:tc>
      </w:tr>
      <w:tr w:rsidR="008E7A10" w14:paraId="746EFDA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A3" w14:textId="77777777" w:rsidR="008E7A10" w:rsidRDefault="00E047B2">
            <w:pPr>
              <w:textAlignment w:val="bottom"/>
            </w:pPr>
            <w:r>
              <w:rPr>
                <w:rFonts w:ascii="Arial" w:eastAsia="宋体" w:hAnsi="Arial" w:cs="Arial"/>
                <w:color w:val="000000"/>
                <w:sz w:val="17"/>
                <w:szCs w:val="17"/>
              </w:rPr>
              <w:t>Identifiable intangible assets,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A4" w14:textId="77777777" w:rsidR="008E7A10" w:rsidRDefault="00E047B2">
            <w:pPr>
              <w:jc w:val="right"/>
              <w:textAlignment w:val="bottom"/>
            </w:pPr>
            <w:r>
              <w:rPr>
                <w:rFonts w:ascii="Arial" w:eastAsia="宋体" w:hAnsi="Arial" w:cs="Arial"/>
                <w:color w:val="000000"/>
                <w:sz w:val="17"/>
                <w:szCs w:val="17"/>
              </w:rPr>
              <w:t>270 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A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A6"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A7" w14:textId="77777777" w:rsidR="008E7A10" w:rsidRDefault="00E047B2">
            <w:pPr>
              <w:jc w:val="right"/>
              <w:textAlignment w:val="bottom"/>
            </w:pPr>
            <w:r>
              <w:rPr>
                <w:rFonts w:ascii="Arial" w:eastAsia="宋体" w:hAnsi="Arial" w:cs="Arial"/>
                <w:color w:val="000000"/>
                <w:sz w:val="17"/>
                <w:szCs w:val="17"/>
              </w:rPr>
              <w:t>274 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A8" w14:textId="77777777" w:rsidR="008E7A10" w:rsidRDefault="008E7A10">
            <w:pPr>
              <w:jc w:val="right"/>
              <w:rPr>
                <w:rFonts w:ascii="宋体"/>
              </w:rPr>
            </w:pPr>
          </w:p>
        </w:tc>
      </w:tr>
      <w:tr w:rsidR="008E7A10" w14:paraId="746EFDB0"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AA" w14:textId="77777777" w:rsidR="008E7A10" w:rsidRDefault="00E047B2">
            <w:pPr>
              <w:textAlignment w:val="bottom"/>
            </w:pPr>
            <w:r>
              <w:rPr>
                <w:rFonts w:ascii="Arial" w:eastAsia="宋体" w:hAnsi="Arial" w:cs="Arial"/>
                <w:color w:val="000000"/>
                <w:sz w:val="17"/>
                <w:szCs w:val="17"/>
              </w:rPr>
              <w:t>Goodwill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AB" w14:textId="77777777" w:rsidR="008E7A10" w:rsidRDefault="00E047B2">
            <w:pPr>
              <w:jc w:val="right"/>
              <w:textAlignment w:val="bottom"/>
            </w:pPr>
            <w:r>
              <w:rPr>
                <w:rFonts w:ascii="Arial" w:eastAsia="宋体" w:hAnsi="Arial" w:cs="Arial"/>
                <w:color w:val="000000"/>
                <w:sz w:val="17"/>
                <w:szCs w:val="17"/>
              </w:rPr>
              <w:t>223 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A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AD"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AE" w14:textId="77777777" w:rsidR="008E7A10" w:rsidRDefault="00E047B2">
            <w:pPr>
              <w:jc w:val="right"/>
              <w:textAlignment w:val="bottom"/>
            </w:pPr>
            <w:r>
              <w:rPr>
                <w:rFonts w:ascii="Arial" w:eastAsia="宋体" w:hAnsi="Arial" w:cs="Arial"/>
                <w:color w:val="000000"/>
                <w:sz w:val="17"/>
                <w:szCs w:val="17"/>
              </w:rPr>
              <w:t>223 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AF" w14:textId="77777777" w:rsidR="008E7A10" w:rsidRDefault="008E7A10">
            <w:pPr>
              <w:jc w:val="right"/>
              <w:rPr>
                <w:rFonts w:ascii="宋体"/>
              </w:rPr>
            </w:pPr>
          </w:p>
        </w:tc>
      </w:tr>
      <w:tr w:rsidR="008E7A10" w14:paraId="746EFDB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B1" w14:textId="77777777" w:rsidR="008E7A10" w:rsidRDefault="00E047B2">
            <w:pPr>
              <w:textAlignment w:val="bottom"/>
            </w:pPr>
            <w:r>
              <w:rPr>
                <w:rFonts w:ascii="Arial" w:eastAsia="宋体" w:hAnsi="Arial" w:cs="Arial"/>
                <w:color w:val="000000"/>
                <w:sz w:val="17"/>
                <w:szCs w:val="17"/>
              </w:rPr>
              <w:t>Deferred income taxes and other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B2" w14:textId="77777777" w:rsidR="008E7A10" w:rsidRDefault="00E047B2">
            <w:pPr>
              <w:jc w:val="right"/>
              <w:textAlignment w:val="bottom"/>
            </w:pPr>
            <w:r>
              <w:rPr>
                <w:rFonts w:ascii="Arial" w:eastAsia="宋体" w:hAnsi="Arial" w:cs="Arial"/>
                <w:color w:val="000000"/>
                <w:sz w:val="17"/>
                <w:szCs w:val="17"/>
              </w:rPr>
              <w:t>2,691 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B3"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B4"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B5" w14:textId="77777777" w:rsidR="008E7A10" w:rsidRDefault="00E047B2">
            <w:pPr>
              <w:jc w:val="right"/>
              <w:textAlignment w:val="bottom"/>
            </w:pPr>
            <w:r>
              <w:rPr>
                <w:rFonts w:ascii="Arial" w:eastAsia="宋体" w:hAnsi="Arial" w:cs="Arial"/>
                <w:color w:val="000000"/>
                <w:sz w:val="17"/>
                <w:szCs w:val="17"/>
              </w:rPr>
              <w:t>2,326 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B6" w14:textId="77777777" w:rsidR="008E7A10" w:rsidRDefault="008E7A10">
            <w:pPr>
              <w:jc w:val="right"/>
              <w:rPr>
                <w:rFonts w:ascii="宋体"/>
              </w:rPr>
            </w:pPr>
          </w:p>
        </w:tc>
      </w:tr>
      <w:tr w:rsidR="008E7A10" w14:paraId="746EFDC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DB8" w14:textId="77777777" w:rsidR="008E7A10" w:rsidRDefault="00E047B2">
            <w:pPr>
              <w:textAlignment w:val="bottom"/>
            </w:pPr>
            <w:r>
              <w:rPr>
                <w:rFonts w:ascii="Arial" w:eastAsia="宋体" w:hAnsi="Arial" w:cs="Arial"/>
                <w:b/>
                <w:bCs/>
                <w:color w:val="000000"/>
                <w:sz w:val="17"/>
                <w:szCs w:val="17"/>
              </w:rPr>
              <w:t>TOTAL ASSETS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EFDB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EFDBA" w14:textId="77777777" w:rsidR="008E7A10" w:rsidRDefault="00E047B2">
            <w:pPr>
              <w:jc w:val="right"/>
              <w:textAlignment w:val="bottom"/>
            </w:pPr>
            <w:r>
              <w:rPr>
                <w:rFonts w:ascii="Arial" w:eastAsia="宋体" w:hAnsi="Arial" w:cs="Arial"/>
                <w:b/>
                <w:bCs/>
                <w:color w:val="000000"/>
                <w:sz w:val="17"/>
                <w:szCs w:val="17"/>
              </w:rPr>
              <w:t>34,836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DBB"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DBC" w14:textId="77777777" w:rsidR="008E7A10" w:rsidRDefault="008E7A10">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DB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DBE" w14:textId="77777777" w:rsidR="008E7A10" w:rsidRDefault="00E047B2">
            <w:pPr>
              <w:jc w:val="right"/>
              <w:textAlignment w:val="bottom"/>
            </w:pPr>
            <w:r>
              <w:rPr>
                <w:rFonts w:ascii="Arial" w:eastAsia="宋体" w:hAnsi="Arial" w:cs="Arial"/>
                <w:b/>
                <w:bCs/>
                <w:color w:val="000000"/>
                <w:sz w:val="17"/>
                <w:szCs w:val="17"/>
              </w:rPr>
              <w:t>31,342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DBF" w14:textId="77777777" w:rsidR="008E7A10" w:rsidRDefault="008E7A10">
            <w:pPr>
              <w:jc w:val="right"/>
              <w:rPr>
                <w:rFonts w:ascii="宋体"/>
              </w:rPr>
            </w:pPr>
          </w:p>
        </w:tc>
      </w:tr>
      <w:tr w:rsidR="008E7A10" w14:paraId="746EFDC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DC1" w14:textId="77777777" w:rsidR="008E7A10" w:rsidRDefault="00E047B2">
            <w:pPr>
              <w:textAlignment w:val="bottom"/>
            </w:pPr>
            <w:r>
              <w:rPr>
                <w:rFonts w:ascii="Arial" w:eastAsia="宋体" w:hAnsi="Arial" w:cs="Arial"/>
                <w:b/>
                <w:bCs/>
                <w:color w:val="000000"/>
                <w:sz w:val="17"/>
                <w:szCs w:val="17"/>
              </w:rPr>
              <w:t>LIABILITIES AND SHAREHOLDERS' EQUITY</w:t>
            </w:r>
          </w:p>
        </w:tc>
        <w:tc>
          <w:tcPr>
            <w:tcW w:w="0" w:type="auto"/>
            <w:gridSpan w:val="3"/>
            <w:tcBorders>
              <w:top w:val="single" w:sz="8" w:space="0" w:color="E87722"/>
            </w:tcBorders>
            <w:shd w:val="clear" w:color="auto" w:fill="FFF1E7"/>
            <w:tcMar>
              <w:top w:w="0" w:type="dxa"/>
              <w:left w:w="20" w:type="dxa"/>
              <w:bottom w:w="0" w:type="dxa"/>
              <w:right w:w="20" w:type="dxa"/>
            </w:tcMar>
          </w:tcPr>
          <w:p w14:paraId="746EFDC2"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DC3"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DC4" w14:textId="77777777" w:rsidR="008E7A10" w:rsidRDefault="008E7A10">
            <w:pPr>
              <w:rPr>
                <w:rFonts w:ascii="宋体"/>
              </w:rPr>
            </w:pPr>
          </w:p>
        </w:tc>
      </w:tr>
      <w:tr w:rsidR="008E7A10" w14:paraId="746EFDC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DC6" w14:textId="77777777" w:rsidR="008E7A10" w:rsidRDefault="00E047B2">
            <w:pPr>
              <w:textAlignment w:val="bottom"/>
            </w:pPr>
            <w:r>
              <w:rPr>
                <w:rFonts w:ascii="Arial" w:eastAsia="宋体" w:hAnsi="Arial" w:cs="Arial"/>
                <w:color w:val="000000"/>
                <w:sz w:val="17"/>
                <w:szCs w:val="17"/>
              </w:rPr>
              <w:t>Current liabilities:</w:t>
            </w:r>
          </w:p>
        </w:tc>
        <w:tc>
          <w:tcPr>
            <w:tcW w:w="0" w:type="auto"/>
            <w:gridSpan w:val="3"/>
            <w:tcBorders>
              <w:top w:val="single" w:sz="8" w:space="0" w:color="808080"/>
            </w:tcBorders>
            <w:shd w:val="clear" w:color="auto" w:fill="FFF1E7"/>
            <w:tcMar>
              <w:top w:w="0" w:type="dxa"/>
              <w:left w:w="20" w:type="dxa"/>
              <w:bottom w:w="0" w:type="dxa"/>
              <w:right w:w="20" w:type="dxa"/>
            </w:tcMar>
          </w:tcPr>
          <w:p w14:paraId="746EFDC7"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C8"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C9" w14:textId="77777777" w:rsidR="008E7A10" w:rsidRDefault="008E7A10">
            <w:pPr>
              <w:rPr>
                <w:rFonts w:ascii="宋体"/>
              </w:rPr>
            </w:pPr>
          </w:p>
        </w:tc>
      </w:tr>
      <w:tr w:rsidR="008E7A10" w14:paraId="746EFDD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CB" w14:textId="77777777" w:rsidR="008E7A10" w:rsidRDefault="00E047B2">
            <w:pPr>
              <w:textAlignment w:val="bottom"/>
            </w:pPr>
            <w:r>
              <w:rPr>
                <w:rFonts w:ascii="Arial" w:eastAsia="宋体" w:hAnsi="Arial" w:cs="Arial"/>
                <w:color w:val="000000"/>
                <w:sz w:val="17"/>
                <w:szCs w:val="17"/>
              </w:rPr>
              <w:t>Current portion of long-term debt</w:t>
            </w:r>
          </w:p>
        </w:tc>
        <w:tc>
          <w:tcPr>
            <w:tcW w:w="0" w:type="auto"/>
            <w:tcBorders>
              <w:top w:val="single" w:sz="8" w:space="0" w:color="808080"/>
            </w:tcBorders>
            <w:shd w:val="clear" w:color="auto" w:fill="FFF1E7"/>
            <w:tcMar>
              <w:top w:w="40" w:type="dxa"/>
              <w:left w:w="20" w:type="dxa"/>
              <w:bottom w:w="40" w:type="dxa"/>
              <w:right w:w="0" w:type="dxa"/>
            </w:tcMar>
            <w:vAlign w:val="bottom"/>
          </w:tcPr>
          <w:p w14:paraId="746EFDC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EFDC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CE"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CF"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EFDD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EFDD1"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D2" w14:textId="77777777" w:rsidR="008E7A10" w:rsidRDefault="008E7A10">
            <w:pPr>
              <w:jc w:val="right"/>
              <w:rPr>
                <w:rFonts w:ascii="宋体"/>
              </w:rPr>
            </w:pPr>
          </w:p>
        </w:tc>
      </w:tr>
      <w:tr w:rsidR="008E7A10" w14:paraId="746EFDD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D4" w14:textId="77777777" w:rsidR="008E7A10" w:rsidRDefault="00E047B2">
            <w:pPr>
              <w:textAlignment w:val="bottom"/>
            </w:pPr>
            <w:r>
              <w:rPr>
                <w:rFonts w:ascii="Arial" w:eastAsia="宋体" w:hAnsi="Arial" w:cs="Arial"/>
                <w:color w:val="000000"/>
                <w:sz w:val="17"/>
                <w:szCs w:val="17"/>
              </w:rPr>
              <w:t>Notes payable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D5" w14:textId="77777777" w:rsidR="008E7A10" w:rsidRDefault="00E047B2">
            <w:pPr>
              <w:jc w:val="right"/>
              <w:textAlignment w:val="bottom"/>
            </w:pPr>
            <w:r>
              <w:rPr>
                <w:rFonts w:ascii="Arial" w:eastAsia="宋体" w:hAnsi="Arial" w:cs="Arial"/>
                <w:color w:val="000000"/>
                <w:sz w:val="17"/>
                <w:szCs w:val="17"/>
              </w:rPr>
              <w:t>41 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D6"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D7"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D8" w14:textId="77777777" w:rsidR="008E7A10" w:rsidRDefault="00E047B2">
            <w:pPr>
              <w:jc w:val="right"/>
              <w:textAlignment w:val="bottom"/>
            </w:pPr>
            <w:r>
              <w:rPr>
                <w:rFonts w:ascii="Arial" w:eastAsia="宋体" w:hAnsi="Arial" w:cs="Arial"/>
                <w:color w:val="000000"/>
                <w:sz w:val="17"/>
                <w:szCs w:val="17"/>
              </w:rPr>
              <w:t>248 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D9" w14:textId="77777777" w:rsidR="008E7A10" w:rsidRDefault="008E7A10">
            <w:pPr>
              <w:jc w:val="right"/>
              <w:rPr>
                <w:rFonts w:ascii="宋体"/>
              </w:rPr>
            </w:pPr>
          </w:p>
        </w:tc>
      </w:tr>
      <w:tr w:rsidR="008E7A10" w14:paraId="746EFDE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DB" w14:textId="77777777" w:rsidR="008E7A10" w:rsidRDefault="00E047B2">
            <w:pPr>
              <w:textAlignment w:val="bottom"/>
            </w:pPr>
            <w:r>
              <w:rPr>
                <w:rFonts w:ascii="Arial" w:eastAsia="宋体" w:hAnsi="Arial" w:cs="Arial"/>
                <w:color w:val="000000"/>
                <w:sz w:val="17"/>
                <w:szCs w:val="17"/>
              </w:rPr>
              <w:t>Accounts payable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DC" w14:textId="77777777" w:rsidR="008E7A10" w:rsidRDefault="00E047B2">
            <w:pPr>
              <w:jc w:val="right"/>
              <w:textAlignment w:val="bottom"/>
            </w:pPr>
            <w:r>
              <w:rPr>
                <w:rFonts w:ascii="Arial" w:eastAsia="宋体" w:hAnsi="Arial" w:cs="Arial"/>
                <w:color w:val="000000"/>
                <w:sz w:val="17"/>
                <w:szCs w:val="17"/>
              </w:rPr>
              <w:t>2,154 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DD"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DE"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DF" w14:textId="77777777" w:rsidR="008E7A10" w:rsidRDefault="00E047B2">
            <w:pPr>
              <w:jc w:val="right"/>
              <w:textAlignment w:val="bottom"/>
            </w:pPr>
            <w:r>
              <w:rPr>
                <w:rFonts w:ascii="Arial" w:eastAsia="宋体" w:hAnsi="Arial" w:cs="Arial"/>
                <w:color w:val="000000"/>
                <w:sz w:val="17"/>
                <w:szCs w:val="17"/>
              </w:rPr>
              <w:t>2,248 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E0" w14:textId="77777777" w:rsidR="008E7A10" w:rsidRDefault="008E7A10">
            <w:pPr>
              <w:jc w:val="right"/>
              <w:rPr>
                <w:rFonts w:ascii="宋体"/>
              </w:rPr>
            </w:pPr>
          </w:p>
        </w:tc>
      </w:tr>
      <w:tr w:rsidR="008E7A10" w14:paraId="746EFDE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E2" w14:textId="77777777" w:rsidR="008E7A10" w:rsidRDefault="00E047B2">
            <w:pPr>
              <w:textAlignment w:val="bottom"/>
            </w:pPr>
            <w:r>
              <w:rPr>
                <w:rFonts w:ascii="Arial" w:eastAsia="宋体" w:hAnsi="Arial" w:cs="Arial"/>
                <w:color w:val="000000"/>
                <w:sz w:val="17"/>
                <w:szCs w:val="17"/>
              </w:rPr>
              <w:t>Current portion of operating lease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E3" w14:textId="77777777" w:rsidR="008E7A10" w:rsidRDefault="00E047B2">
            <w:pPr>
              <w:jc w:val="right"/>
              <w:textAlignment w:val="bottom"/>
            </w:pPr>
            <w:r>
              <w:rPr>
                <w:rFonts w:ascii="Arial" w:eastAsia="宋体" w:hAnsi="Arial" w:cs="Arial"/>
                <w:color w:val="000000"/>
                <w:sz w:val="17"/>
                <w:szCs w:val="17"/>
              </w:rPr>
              <w:t>458 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E4"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E5"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E6" w14:textId="77777777" w:rsidR="008E7A10" w:rsidRDefault="00E047B2">
            <w:pPr>
              <w:jc w:val="right"/>
              <w:textAlignment w:val="bottom"/>
            </w:pPr>
            <w:r>
              <w:rPr>
                <w:rFonts w:ascii="Arial" w:eastAsia="宋体" w:hAnsi="Arial" w:cs="Arial"/>
                <w:color w:val="000000"/>
                <w:sz w:val="17"/>
                <w:szCs w:val="17"/>
              </w:rPr>
              <w:t>445 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E7" w14:textId="77777777" w:rsidR="008E7A10" w:rsidRDefault="008E7A10">
            <w:pPr>
              <w:jc w:val="right"/>
              <w:rPr>
                <w:rFonts w:ascii="宋体"/>
              </w:rPr>
            </w:pPr>
          </w:p>
        </w:tc>
      </w:tr>
      <w:tr w:rsidR="008E7A10" w14:paraId="746EFDE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E9" w14:textId="77777777" w:rsidR="008E7A10" w:rsidRDefault="00E047B2">
            <w:pPr>
              <w:textAlignment w:val="bottom"/>
            </w:pPr>
            <w:r>
              <w:rPr>
                <w:rFonts w:ascii="Arial" w:eastAsia="宋体" w:hAnsi="Arial" w:cs="Arial"/>
                <w:color w:val="000000"/>
                <w:sz w:val="17"/>
                <w:szCs w:val="17"/>
              </w:rPr>
              <w:t>Accrued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EA" w14:textId="77777777" w:rsidR="008E7A10" w:rsidRDefault="00E047B2">
            <w:pPr>
              <w:jc w:val="right"/>
              <w:textAlignment w:val="bottom"/>
            </w:pPr>
            <w:r>
              <w:rPr>
                <w:rFonts w:ascii="Arial" w:eastAsia="宋体" w:hAnsi="Arial" w:cs="Arial"/>
                <w:color w:val="000000"/>
                <w:sz w:val="17"/>
                <w:szCs w:val="17"/>
              </w:rPr>
              <w:t>6,030 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E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EC"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ED" w14:textId="77777777" w:rsidR="008E7A10" w:rsidRDefault="00E047B2">
            <w:pPr>
              <w:jc w:val="right"/>
              <w:textAlignment w:val="bottom"/>
            </w:pPr>
            <w:r>
              <w:rPr>
                <w:rFonts w:ascii="Arial" w:eastAsia="宋体" w:hAnsi="Arial" w:cs="Arial"/>
                <w:color w:val="000000"/>
                <w:sz w:val="17"/>
                <w:szCs w:val="17"/>
              </w:rPr>
              <w:t>5,184 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EE" w14:textId="77777777" w:rsidR="008E7A10" w:rsidRDefault="008E7A10">
            <w:pPr>
              <w:jc w:val="right"/>
              <w:rPr>
                <w:rFonts w:ascii="宋体"/>
              </w:rPr>
            </w:pPr>
          </w:p>
        </w:tc>
      </w:tr>
      <w:tr w:rsidR="008E7A10" w14:paraId="746EFDF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F0" w14:textId="77777777" w:rsidR="008E7A10" w:rsidRDefault="00E047B2">
            <w:pPr>
              <w:textAlignment w:val="bottom"/>
            </w:pPr>
            <w:r>
              <w:rPr>
                <w:rFonts w:ascii="Arial" w:eastAsia="宋体" w:hAnsi="Arial" w:cs="Arial"/>
                <w:color w:val="000000"/>
                <w:sz w:val="17"/>
                <w:szCs w:val="17"/>
              </w:rPr>
              <w:t>Income taxes payable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F1" w14:textId="77777777" w:rsidR="008E7A10" w:rsidRDefault="00E047B2">
            <w:pPr>
              <w:jc w:val="right"/>
              <w:textAlignment w:val="bottom"/>
            </w:pPr>
            <w:r>
              <w:rPr>
                <w:rFonts w:ascii="Arial" w:eastAsia="宋体" w:hAnsi="Arial" w:cs="Arial"/>
                <w:color w:val="000000"/>
                <w:sz w:val="17"/>
                <w:szCs w:val="17"/>
              </w:rPr>
              <w:t>188 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DF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DF3"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DF4" w14:textId="77777777" w:rsidR="008E7A10" w:rsidRDefault="00E047B2">
            <w:pPr>
              <w:jc w:val="right"/>
              <w:textAlignment w:val="bottom"/>
            </w:pPr>
            <w:r>
              <w:rPr>
                <w:rFonts w:ascii="Arial" w:eastAsia="宋体" w:hAnsi="Arial" w:cs="Arial"/>
                <w:color w:val="000000"/>
                <w:sz w:val="17"/>
                <w:szCs w:val="17"/>
              </w:rPr>
              <w:t>156 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DF5" w14:textId="77777777" w:rsidR="008E7A10" w:rsidRDefault="008E7A10">
            <w:pPr>
              <w:jc w:val="right"/>
              <w:rPr>
                <w:rFonts w:ascii="宋体"/>
              </w:rPr>
            </w:pPr>
          </w:p>
        </w:tc>
      </w:tr>
      <w:tr w:rsidR="008E7A10" w14:paraId="746EFDF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DF7" w14:textId="77777777" w:rsidR="008E7A10" w:rsidRDefault="00E047B2">
            <w:pPr>
              <w:textAlignment w:val="bottom"/>
            </w:pPr>
            <w:r>
              <w:rPr>
                <w:rFonts w:ascii="Arial" w:eastAsia="宋体" w:hAnsi="Arial" w:cs="Arial"/>
                <w:color w:val="000000"/>
                <w:sz w:val="17"/>
                <w:szCs w:val="17"/>
              </w:rPr>
              <w:t>Total current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DF8" w14:textId="77777777" w:rsidR="008E7A10" w:rsidRDefault="00E047B2">
            <w:pPr>
              <w:jc w:val="right"/>
              <w:textAlignment w:val="bottom"/>
            </w:pPr>
            <w:r>
              <w:rPr>
                <w:rFonts w:ascii="Arial" w:eastAsia="宋体" w:hAnsi="Arial" w:cs="Arial"/>
                <w:color w:val="000000"/>
                <w:sz w:val="17"/>
                <w:szCs w:val="17"/>
              </w:rPr>
              <w:t>8,871 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DF9"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DFA"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DFB" w14:textId="77777777" w:rsidR="008E7A10" w:rsidRDefault="00E047B2">
            <w:pPr>
              <w:jc w:val="right"/>
              <w:textAlignment w:val="bottom"/>
            </w:pPr>
            <w:r>
              <w:rPr>
                <w:rFonts w:ascii="Arial" w:eastAsia="宋体" w:hAnsi="Arial" w:cs="Arial"/>
                <w:color w:val="000000"/>
                <w:sz w:val="17"/>
                <w:szCs w:val="17"/>
              </w:rPr>
              <w:t>8,284 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DFC" w14:textId="77777777" w:rsidR="008E7A10" w:rsidRDefault="008E7A10">
            <w:pPr>
              <w:jc w:val="right"/>
              <w:rPr>
                <w:rFonts w:ascii="宋体"/>
              </w:rPr>
            </w:pPr>
          </w:p>
        </w:tc>
      </w:tr>
      <w:tr w:rsidR="008E7A10" w14:paraId="746EFE0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DFE" w14:textId="77777777" w:rsidR="008E7A10" w:rsidRDefault="00E047B2">
            <w:pPr>
              <w:textAlignment w:val="bottom"/>
            </w:pPr>
            <w:r>
              <w:rPr>
                <w:rFonts w:ascii="Arial" w:eastAsia="宋体" w:hAnsi="Arial" w:cs="Arial"/>
                <w:color w:val="000000"/>
                <w:sz w:val="17"/>
                <w:szCs w:val="17"/>
              </w:rPr>
              <w:t>Long-term debt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DFF" w14:textId="77777777" w:rsidR="008E7A10" w:rsidRDefault="00E047B2">
            <w:pPr>
              <w:jc w:val="right"/>
              <w:textAlignment w:val="bottom"/>
            </w:pPr>
            <w:r>
              <w:rPr>
                <w:rFonts w:ascii="Arial" w:eastAsia="宋体" w:hAnsi="Arial" w:cs="Arial"/>
                <w:color w:val="000000"/>
                <w:sz w:val="17"/>
                <w:szCs w:val="17"/>
              </w:rPr>
              <w:t>9,410 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00"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01"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02" w14:textId="77777777" w:rsidR="008E7A10" w:rsidRDefault="00E047B2">
            <w:pPr>
              <w:jc w:val="right"/>
              <w:textAlignment w:val="bottom"/>
            </w:pPr>
            <w:r>
              <w:rPr>
                <w:rFonts w:ascii="Arial" w:eastAsia="宋体" w:hAnsi="Arial" w:cs="Arial"/>
                <w:color w:val="000000"/>
                <w:sz w:val="17"/>
                <w:szCs w:val="17"/>
              </w:rPr>
              <w:t>9,406 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03" w14:textId="77777777" w:rsidR="008E7A10" w:rsidRDefault="008E7A10">
            <w:pPr>
              <w:jc w:val="right"/>
              <w:rPr>
                <w:rFonts w:ascii="宋体"/>
              </w:rPr>
            </w:pPr>
          </w:p>
        </w:tc>
      </w:tr>
      <w:tr w:rsidR="008E7A10" w14:paraId="746EFE0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05" w14:textId="77777777" w:rsidR="008E7A10" w:rsidRDefault="00E047B2">
            <w:pPr>
              <w:textAlignment w:val="bottom"/>
            </w:pPr>
            <w:r>
              <w:rPr>
                <w:rFonts w:ascii="Arial" w:eastAsia="宋体" w:hAnsi="Arial" w:cs="Arial"/>
                <w:color w:val="000000"/>
                <w:sz w:val="17"/>
                <w:szCs w:val="17"/>
              </w:rPr>
              <w:t>Operating lease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06" w14:textId="77777777" w:rsidR="008E7A10" w:rsidRDefault="00E047B2">
            <w:pPr>
              <w:jc w:val="right"/>
              <w:textAlignment w:val="bottom"/>
            </w:pPr>
            <w:r>
              <w:rPr>
                <w:rFonts w:ascii="Arial" w:eastAsia="宋体" w:hAnsi="Arial" w:cs="Arial"/>
                <w:color w:val="000000"/>
                <w:sz w:val="17"/>
                <w:szCs w:val="17"/>
              </w:rPr>
              <w:t>2,896 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07"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08"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09" w14:textId="77777777" w:rsidR="008E7A10" w:rsidRDefault="00E047B2">
            <w:pPr>
              <w:jc w:val="right"/>
              <w:textAlignment w:val="bottom"/>
            </w:pPr>
            <w:r>
              <w:rPr>
                <w:rFonts w:ascii="Arial" w:eastAsia="宋体" w:hAnsi="Arial" w:cs="Arial"/>
                <w:color w:val="000000"/>
                <w:sz w:val="17"/>
                <w:szCs w:val="17"/>
              </w:rPr>
              <w:t>2,913 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0A" w14:textId="77777777" w:rsidR="008E7A10" w:rsidRDefault="008E7A10">
            <w:pPr>
              <w:jc w:val="right"/>
              <w:rPr>
                <w:rFonts w:ascii="宋体"/>
              </w:rPr>
            </w:pPr>
          </w:p>
        </w:tc>
      </w:tr>
      <w:tr w:rsidR="008E7A10" w14:paraId="746EFE12"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0C" w14:textId="77777777" w:rsidR="008E7A10" w:rsidRDefault="00E047B2">
            <w:pPr>
              <w:textAlignment w:val="bottom"/>
            </w:pPr>
            <w:r>
              <w:rPr>
                <w:rFonts w:ascii="Arial" w:eastAsia="宋体" w:hAnsi="Arial" w:cs="Arial"/>
                <w:color w:val="000000"/>
                <w:sz w:val="17"/>
                <w:szCs w:val="17"/>
              </w:rPr>
              <w:t>Deferred income taxes and other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0D" w14:textId="77777777" w:rsidR="008E7A10" w:rsidRDefault="00E047B2">
            <w:pPr>
              <w:jc w:val="right"/>
              <w:textAlignment w:val="bottom"/>
            </w:pPr>
            <w:r>
              <w:rPr>
                <w:rFonts w:ascii="Arial" w:eastAsia="宋体" w:hAnsi="Arial" w:cs="Arial"/>
                <w:color w:val="000000"/>
                <w:sz w:val="17"/>
                <w:szCs w:val="17"/>
              </w:rPr>
              <w:t>3,019 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0E"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0F"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10" w14:textId="77777777" w:rsidR="008E7A10" w:rsidRDefault="00E047B2">
            <w:pPr>
              <w:jc w:val="right"/>
              <w:textAlignment w:val="bottom"/>
            </w:pPr>
            <w:r>
              <w:rPr>
                <w:rFonts w:ascii="Arial" w:eastAsia="宋体" w:hAnsi="Arial" w:cs="Arial"/>
                <w:color w:val="000000"/>
                <w:sz w:val="17"/>
                <w:szCs w:val="17"/>
              </w:rPr>
              <w:t>2,684 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11" w14:textId="77777777" w:rsidR="008E7A10" w:rsidRDefault="008E7A10">
            <w:pPr>
              <w:jc w:val="right"/>
              <w:rPr>
                <w:rFonts w:ascii="宋体"/>
              </w:rPr>
            </w:pPr>
          </w:p>
        </w:tc>
      </w:tr>
      <w:tr w:rsidR="008E7A10" w14:paraId="746EFE1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13" w14:textId="77777777" w:rsidR="008E7A10" w:rsidRDefault="00E047B2">
            <w:pPr>
              <w:textAlignment w:val="bottom"/>
            </w:pPr>
            <w:r>
              <w:rPr>
                <w:rFonts w:ascii="Arial" w:eastAsia="宋体" w:hAnsi="Arial" w:cs="Arial"/>
                <w:color w:val="000000"/>
                <w:sz w:val="17"/>
                <w:szCs w:val="17"/>
              </w:rPr>
              <w:t>Redeemable preferred stock</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14"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1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16"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17"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18" w14:textId="77777777" w:rsidR="008E7A10" w:rsidRDefault="008E7A10">
            <w:pPr>
              <w:jc w:val="right"/>
              <w:rPr>
                <w:rFonts w:ascii="宋体"/>
              </w:rPr>
            </w:pPr>
          </w:p>
        </w:tc>
      </w:tr>
      <w:tr w:rsidR="008E7A10" w14:paraId="746EFE1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1A" w14:textId="77777777" w:rsidR="008E7A10" w:rsidRDefault="00E047B2">
            <w:pPr>
              <w:textAlignment w:val="bottom"/>
            </w:pPr>
            <w:r>
              <w:rPr>
                <w:rFonts w:ascii="Arial" w:eastAsia="宋体" w:hAnsi="Arial" w:cs="Arial"/>
                <w:color w:val="000000"/>
                <w:sz w:val="17"/>
                <w:szCs w:val="17"/>
              </w:rPr>
              <w:t>Shareholders' equity:</w:t>
            </w:r>
          </w:p>
        </w:tc>
        <w:tc>
          <w:tcPr>
            <w:tcW w:w="0" w:type="auto"/>
            <w:gridSpan w:val="3"/>
            <w:tcBorders>
              <w:top w:val="single" w:sz="8" w:space="0" w:color="808080"/>
            </w:tcBorders>
            <w:shd w:val="clear" w:color="auto" w:fill="FFF1E7"/>
            <w:tcMar>
              <w:top w:w="0" w:type="dxa"/>
              <w:left w:w="20" w:type="dxa"/>
              <w:bottom w:w="0" w:type="dxa"/>
              <w:right w:w="20" w:type="dxa"/>
            </w:tcMar>
          </w:tcPr>
          <w:p w14:paraId="746EFE1B"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1C"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1D" w14:textId="77777777" w:rsidR="008E7A10" w:rsidRDefault="008E7A10">
            <w:pPr>
              <w:rPr>
                <w:rFonts w:ascii="宋体"/>
              </w:rPr>
            </w:pPr>
          </w:p>
        </w:tc>
      </w:tr>
      <w:tr w:rsidR="008E7A10" w14:paraId="746EFE2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1F" w14:textId="77777777" w:rsidR="008E7A10" w:rsidRDefault="00E047B2">
            <w:pPr>
              <w:textAlignment w:val="bottom"/>
            </w:pPr>
            <w:r>
              <w:rPr>
                <w:rFonts w:ascii="Arial" w:eastAsia="宋体" w:hAnsi="Arial" w:cs="Arial"/>
                <w:color w:val="000000"/>
                <w:sz w:val="17"/>
                <w:szCs w:val="17"/>
              </w:rPr>
              <w:t>Common stock at stated value:</w:t>
            </w:r>
          </w:p>
        </w:tc>
        <w:tc>
          <w:tcPr>
            <w:tcW w:w="0" w:type="auto"/>
            <w:gridSpan w:val="3"/>
            <w:tcBorders>
              <w:top w:val="single" w:sz="8" w:space="0" w:color="808080"/>
            </w:tcBorders>
            <w:shd w:val="clear" w:color="auto" w:fill="FFF1E7"/>
            <w:tcMar>
              <w:top w:w="0" w:type="dxa"/>
              <w:left w:w="20" w:type="dxa"/>
              <w:bottom w:w="0" w:type="dxa"/>
              <w:right w:w="20" w:type="dxa"/>
            </w:tcMar>
          </w:tcPr>
          <w:p w14:paraId="746EFE20"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21"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22" w14:textId="77777777" w:rsidR="008E7A10" w:rsidRDefault="008E7A10">
            <w:pPr>
              <w:rPr>
                <w:rFonts w:ascii="宋体"/>
              </w:rPr>
            </w:pPr>
          </w:p>
        </w:tc>
      </w:tr>
      <w:tr w:rsidR="008E7A10" w14:paraId="746EFE2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E24" w14:textId="77777777" w:rsidR="008E7A10" w:rsidRDefault="00E047B2">
            <w:pPr>
              <w:textAlignment w:val="bottom"/>
            </w:pPr>
            <w:r>
              <w:rPr>
                <w:rFonts w:ascii="Arial" w:eastAsia="宋体" w:hAnsi="Arial" w:cs="Arial"/>
                <w:color w:val="000000"/>
                <w:sz w:val="17"/>
                <w:szCs w:val="17"/>
              </w:rPr>
              <w:t xml:space="preserve">Class A convertible — 305 and 315 shares </w:t>
            </w:r>
            <w:r>
              <w:rPr>
                <w:rFonts w:ascii="Arial" w:eastAsia="宋体" w:hAnsi="Arial" w:cs="Arial"/>
                <w:color w:val="000000"/>
                <w:sz w:val="17"/>
                <w:szCs w:val="17"/>
              </w:rPr>
              <w:t>outstanding</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25"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26"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27"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2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29" w14:textId="77777777" w:rsidR="008E7A10" w:rsidRDefault="008E7A10">
            <w:pPr>
              <w:jc w:val="right"/>
              <w:rPr>
                <w:rFonts w:ascii="宋体"/>
              </w:rPr>
            </w:pPr>
          </w:p>
        </w:tc>
      </w:tr>
      <w:tr w:rsidR="008E7A10" w14:paraId="746EFE3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E2B" w14:textId="77777777" w:rsidR="008E7A10" w:rsidRDefault="00E047B2">
            <w:pPr>
              <w:textAlignment w:val="bottom"/>
            </w:pPr>
            <w:r>
              <w:rPr>
                <w:rFonts w:ascii="Arial" w:eastAsia="宋体" w:hAnsi="Arial" w:cs="Arial"/>
                <w:color w:val="000000"/>
                <w:sz w:val="17"/>
                <w:szCs w:val="17"/>
              </w:rPr>
              <w:t>Class B — 1,270 and 1,243 shares outstanding</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2C"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2D"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2E"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2F"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30" w14:textId="77777777" w:rsidR="008E7A10" w:rsidRDefault="008E7A10">
            <w:pPr>
              <w:jc w:val="right"/>
              <w:rPr>
                <w:rFonts w:ascii="宋体"/>
              </w:rPr>
            </w:pPr>
          </w:p>
        </w:tc>
      </w:tr>
      <w:tr w:rsidR="008E7A10" w14:paraId="746EFE3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32" w14:textId="77777777" w:rsidR="008E7A10" w:rsidRDefault="00E047B2">
            <w:pPr>
              <w:textAlignment w:val="bottom"/>
            </w:pPr>
            <w:r>
              <w:rPr>
                <w:rFonts w:ascii="Arial" w:eastAsia="宋体" w:hAnsi="Arial" w:cs="Arial"/>
                <w:color w:val="000000"/>
                <w:sz w:val="17"/>
                <w:szCs w:val="17"/>
              </w:rPr>
              <w:t>Capital in excess of stated value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33" w14:textId="77777777" w:rsidR="008E7A10" w:rsidRDefault="00E047B2">
            <w:pPr>
              <w:jc w:val="right"/>
              <w:textAlignment w:val="bottom"/>
            </w:pPr>
            <w:r>
              <w:rPr>
                <w:rFonts w:ascii="Arial" w:eastAsia="宋体" w:hAnsi="Arial" w:cs="Arial"/>
                <w:color w:val="000000"/>
                <w:sz w:val="17"/>
                <w:szCs w:val="17"/>
              </w:rPr>
              <w:t>9,336 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34"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35"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36" w14:textId="77777777" w:rsidR="008E7A10" w:rsidRDefault="00E047B2">
            <w:pPr>
              <w:jc w:val="right"/>
              <w:textAlignment w:val="bottom"/>
            </w:pPr>
            <w:r>
              <w:rPr>
                <w:rFonts w:ascii="Arial" w:eastAsia="宋体" w:hAnsi="Arial" w:cs="Arial"/>
                <w:color w:val="000000"/>
                <w:sz w:val="17"/>
                <w:szCs w:val="17"/>
              </w:rPr>
              <w:t>8,299 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37" w14:textId="77777777" w:rsidR="008E7A10" w:rsidRDefault="008E7A10">
            <w:pPr>
              <w:jc w:val="right"/>
              <w:rPr>
                <w:rFonts w:ascii="宋体"/>
              </w:rPr>
            </w:pPr>
          </w:p>
        </w:tc>
      </w:tr>
      <w:tr w:rsidR="008E7A10" w14:paraId="746EFE3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39" w14:textId="77777777" w:rsidR="008E7A10" w:rsidRDefault="00E047B2">
            <w:pPr>
              <w:textAlignment w:val="bottom"/>
            </w:pPr>
            <w:r>
              <w:rPr>
                <w:rFonts w:ascii="Arial" w:eastAsia="宋体" w:hAnsi="Arial" w:cs="Arial"/>
                <w:color w:val="000000"/>
                <w:sz w:val="17"/>
                <w:szCs w:val="17"/>
              </w:rPr>
              <w:t>Accumulated other comprehensive income (loss)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3A" w14:textId="77777777" w:rsidR="008E7A10" w:rsidRDefault="00E047B2">
            <w:pPr>
              <w:jc w:val="right"/>
              <w:textAlignment w:val="bottom"/>
            </w:pPr>
            <w:r>
              <w:rPr>
                <w:rFonts w:ascii="Arial" w:eastAsia="宋体" w:hAnsi="Arial" w:cs="Arial"/>
                <w:color w:val="000000"/>
                <w:sz w:val="17"/>
                <w:szCs w:val="17"/>
              </w:rPr>
              <w:t>(429)</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3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3C"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3D" w14:textId="77777777" w:rsidR="008E7A10" w:rsidRDefault="00E047B2">
            <w:pPr>
              <w:jc w:val="right"/>
              <w:textAlignment w:val="bottom"/>
            </w:pPr>
            <w:r>
              <w:rPr>
                <w:rFonts w:ascii="Arial" w:eastAsia="宋体" w:hAnsi="Arial" w:cs="Arial"/>
                <w:color w:val="000000"/>
                <w:sz w:val="17"/>
                <w:szCs w:val="17"/>
              </w:rPr>
              <w:t>(56)</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3E" w14:textId="77777777" w:rsidR="008E7A10" w:rsidRDefault="008E7A10">
            <w:pPr>
              <w:jc w:val="right"/>
              <w:rPr>
                <w:rFonts w:ascii="宋体"/>
              </w:rPr>
            </w:pPr>
          </w:p>
        </w:tc>
      </w:tr>
      <w:tr w:rsidR="008E7A10" w14:paraId="746EFE4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40" w14:textId="77777777" w:rsidR="008E7A10" w:rsidRDefault="00E047B2">
            <w:pPr>
              <w:textAlignment w:val="bottom"/>
            </w:pPr>
            <w:r>
              <w:rPr>
                <w:rFonts w:ascii="Arial" w:eastAsia="宋体" w:hAnsi="Arial" w:cs="Arial"/>
                <w:color w:val="000000"/>
                <w:sz w:val="17"/>
                <w:szCs w:val="17"/>
              </w:rPr>
              <w:t>Retained earnings (deficit)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41" w14:textId="77777777" w:rsidR="008E7A10" w:rsidRDefault="00E047B2">
            <w:pPr>
              <w:jc w:val="right"/>
              <w:textAlignment w:val="bottom"/>
            </w:pPr>
            <w:r>
              <w:rPr>
                <w:rFonts w:ascii="Arial" w:eastAsia="宋体" w:hAnsi="Arial" w:cs="Arial"/>
                <w:color w:val="000000"/>
                <w:sz w:val="17"/>
                <w:szCs w:val="17"/>
              </w:rPr>
              <w:t>1,730 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4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43"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44" w14:textId="77777777" w:rsidR="008E7A10" w:rsidRDefault="00E047B2">
            <w:pPr>
              <w:jc w:val="right"/>
              <w:textAlignment w:val="bottom"/>
            </w:pPr>
            <w:r>
              <w:rPr>
                <w:rFonts w:ascii="Arial" w:eastAsia="宋体" w:hAnsi="Arial" w:cs="Arial"/>
                <w:color w:val="000000"/>
                <w:sz w:val="17"/>
                <w:szCs w:val="17"/>
              </w:rPr>
              <w:t>(191)</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45" w14:textId="77777777" w:rsidR="008E7A10" w:rsidRDefault="008E7A10">
            <w:pPr>
              <w:jc w:val="right"/>
              <w:rPr>
                <w:rFonts w:ascii="宋体"/>
              </w:rPr>
            </w:pPr>
          </w:p>
        </w:tc>
      </w:tr>
      <w:tr w:rsidR="008E7A10" w14:paraId="746EFE4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E47" w14:textId="77777777" w:rsidR="008E7A10" w:rsidRDefault="00E047B2">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shareholders' equity</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E48" w14:textId="77777777" w:rsidR="008E7A10" w:rsidRDefault="00E047B2">
            <w:pPr>
              <w:jc w:val="right"/>
              <w:textAlignment w:val="bottom"/>
            </w:pPr>
            <w:r>
              <w:rPr>
                <w:rFonts w:ascii="Arial" w:eastAsia="宋体" w:hAnsi="Arial" w:cs="Arial"/>
                <w:color w:val="000000"/>
                <w:sz w:val="17"/>
                <w:szCs w:val="17"/>
              </w:rPr>
              <w:t>10,640 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E49"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E4A"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E4B" w14:textId="77777777" w:rsidR="008E7A10" w:rsidRDefault="00E047B2">
            <w:pPr>
              <w:jc w:val="right"/>
              <w:textAlignment w:val="bottom"/>
            </w:pPr>
            <w:r>
              <w:rPr>
                <w:rFonts w:ascii="Arial" w:eastAsia="宋体" w:hAnsi="Arial" w:cs="Arial"/>
                <w:color w:val="000000"/>
                <w:sz w:val="17"/>
                <w:szCs w:val="17"/>
              </w:rPr>
              <w:t>8,055 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E4C" w14:textId="77777777" w:rsidR="008E7A10" w:rsidRDefault="008E7A10">
            <w:pPr>
              <w:jc w:val="right"/>
              <w:rPr>
                <w:rFonts w:ascii="宋体"/>
              </w:rPr>
            </w:pPr>
          </w:p>
        </w:tc>
      </w:tr>
      <w:tr w:rsidR="008E7A10" w14:paraId="746EFE5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EFE4E" w14:textId="77777777" w:rsidR="008E7A10" w:rsidRDefault="00E047B2">
            <w:pPr>
              <w:textAlignment w:val="bottom"/>
            </w:pPr>
            <w:r>
              <w:rPr>
                <w:rFonts w:ascii="Arial" w:eastAsia="宋体" w:hAnsi="Arial" w:cs="Arial"/>
                <w:b/>
                <w:bCs/>
                <w:color w:val="000000"/>
                <w:sz w:val="17"/>
                <w:szCs w:val="17"/>
              </w:rPr>
              <w:t>TOTAL LIABILITIES AND SHAREHOLDERS' EQUITY</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EFE4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EFE50" w14:textId="77777777" w:rsidR="008E7A10" w:rsidRDefault="00E047B2">
            <w:pPr>
              <w:jc w:val="right"/>
              <w:textAlignment w:val="bottom"/>
            </w:pPr>
            <w:r>
              <w:rPr>
                <w:rFonts w:ascii="Arial" w:eastAsia="宋体" w:hAnsi="Arial" w:cs="Arial"/>
                <w:b/>
                <w:bCs/>
                <w:color w:val="000000"/>
                <w:sz w:val="17"/>
                <w:szCs w:val="17"/>
              </w:rPr>
              <w:t>34,836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EFE51"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EFE52" w14:textId="77777777" w:rsidR="008E7A10" w:rsidRDefault="008E7A10">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EFE5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EFE54" w14:textId="77777777" w:rsidR="008E7A10" w:rsidRDefault="00E047B2">
            <w:pPr>
              <w:jc w:val="right"/>
              <w:textAlignment w:val="bottom"/>
            </w:pPr>
            <w:r>
              <w:rPr>
                <w:rFonts w:ascii="Arial" w:eastAsia="宋体" w:hAnsi="Arial" w:cs="Arial"/>
                <w:b/>
                <w:bCs/>
                <w:color w:val="000000"/>
                <w:sz w:val="17"/>
                <w:szCs w:val="17"/>
              </w:rPr>
              <w:t>31,342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EFE55" w14:textId="77777777" w:rsidR="008E7A10" w:rsidRDefault="008E7A10">
            <w:pPr>
              <w:jc w:val="right"/>
              <w:rPr>
                <w:rFonts w:ascii="宋体"/>
              </w:rPr>
            </w:pPr>
          </w:p>
        </w:tc>
      </w:tr>
    </w:tbl>
    <w:p w14:paraId="746EFE57" w14:textId="77777777" w:rsidR="008E7A10" w:rsidRDefault="00E047B2">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746EFE58" w14:textId="77777777" w:rsidR="008E7A10" w:rsidRDefault="00E047B2">
      <w:pPr>
        <w:spacing w:before="120" w:after="120"/>
        <w:jc w:val="right"/>
      </w:pPr>
      <w:r>
        <w:rPr>
          <w:rFonts w:ascii="Arial" w:eastAsia="宋体" w:hAnsi="Arial" w:cs="Arial"/>
          <w:color w:val="E87722"/>
          <w:sz w:val="17"/>
          <w:szCs w:val="17"/>
        </w:rPr>
        <w:t>3</w:t>
      </w:r>
    </w:p>
    <w:p w14:paraId="746EFE59" w14:textId="77777777" w:rsidR="008E7A10" w:rsidRDefault="00E047B2">
      <w:r>
        <w:pict w14:anchorId="746F200B">
          <v:rect id="_x0000_i1029" style="width:415.3pt;height:1.5pt" o:hralign="center" o:hrstd="t" o:hr="t" fillcolor="#a0a0a0" stroked="f"/>
        </w:pict>
      </w:r>
    </w:p>
    <w:p w14:paraId="746EFE5A" w14:textId="77777777" w:rsidR="008E7A10" w:rsidRDefault="008E7A10"/>
    <w:p w14:paraId="746EFE5B" w14:textId="77777777" w:rsidR="008E7A10" w:rsidRDefault="00E047B2">
      <w:hyperlink r:id="rId46" w:anchor="i31a624617c6c41b38f8f700fa0df5bde_7" w:history="1">
        <w:r>
          <w:rPr>
            <w:rStyle w:val="a5"/>
            <w:rFonts w:ascii="sans-serif" w:eastAsia="sans-serif" w:hAnsi="sans-serif" w:cs="sans-serif"/>
            <w:sz w:val="17"/>
            <w:szCs w:val="17"/>
          </w:rPr>
          <w:t>Table of Contents</w:t>
        </w:r>
      </w:hyperlink>
    </w:p>
    <w:p w14:paraId="746EFE5C" w14:textId="77777777" w:rsidR="008E7A10" w:rsidRDefault="008E7A10"/>
    <w:p w14:paraId="746EFE5D" w14:textId="77777777" w:rsidR="008E7A10" w:rsidRDefault="00E047B2">
      <w:pPr>
        <w:spacing w:before="300"/>
      </w:pPr>
      <w:r>
        <w:rPr>
          <w:rFonts w:ascii="sans-serif" w:eastAsia="sans-serif" w:hAnsi="sans-serif" w:cs="sans-serif"/>
          <w:b/>
          <w:bCs/>
          <w:color w:val="E87722"/>
          <w:sz w:val="36"/>
          <w:szCs w:val="36"/>
        </w:rPr>
        <w:t>NIKE, INC.</w:t>
      </w:r>
    </w:p>
    <w:p w14:paraId="746EFE5E" w14:textId="77777777" w:rsidR="008E7A10" w:rsidRDefault="00E047B2">
      <w:pPr>
        <w:spacing w:before="120" w:after="120"/>
      </w:pPr>
      <w:r>
        <w:rPr>
          <w:rFonts w:ascii="sans-serif" w:eastAsia="sans-serif" w:hAnsi="sans-serif" w:cs="sans-serif"/>
          <w:b/>
          <w:bCs/>
          <w:color w:val="000000"/>
          <w:sz w:val="28"/>
          <w:szCs w:val="28"/>
        </w:rPr>
        <w:t>UNAUDITED CONDENSED CONSOLIDATED STATEMENTS OF CASH FLOWS</w:t>
      </w:r>
    </w:p>
    <w:tbl>
      <w:tblPr>
        <w:tblW w:w="4992" w:type="pct"/>
        <w:tblCellMar>
          <w:top w:w="15" w:type="dxa"/>
          <w:left w:w="15" w:type="dxa"/>
          <w:bottom w:w="15" w:type="dxa"/>
          <w:right w:w="15" w:type="dxa"/>
        </w:tblCellMar>
        <w:tblLook w:val="04A0" w:firstRow="1" w:lastRow="0" w:firstColumn="1" w:lastColumn="0" w:noHBand="0" w:noVBand="1"/>
      </w:tblPr>
      <w:tblGrid>
        <w:gridCol w:w="45"/>
        <w:gridCol w:w="5802"/>
        <w:gridCol w:w="40"/>
        <w:gridCol w:w="115"/>
        <w:gridCol w:w="1067"/>
        <w:gridCol w:w="36"/>
        <w:gridCol w:w="115"/>
        <w:gridCol w:w="1067"/>
        <w:gridCol w:w="36"/>
      </w:tblGrid>
      <w:tr w:rsidR="008E7A10" w14:paraId="746EFE68" w14:textId="77777777">
        <w:tc>
          <w:tcPr>
            <w:tcW w:w="50" w:type="pct"/>
            <w:shd w:val="clear" w:color="auto" w:fill="auto"/>
          </w:tcPr>
          <w:p w14:paraId="746EFE5F" w14:textId="77777777" w:rsidR="008E7A10" w:rsidRDefault="008E7A10">
            <w:pPr>
              <w:rPr>
                <w:rFonts w:ascii="宋体"/>
              </w:rPr>
            </w:pPr>
          </w:p>
        </w:tc>
        <w:tc>
          <w:tcPr>
            <w:tcW w:w="3507" w:type="pct"/>
            <w:shd w:val="clear" w:color="auto" w:fill="auto"/>
          </w:tcPr>
          <w:p w14:paraId="746EFE60" w14:textId="77777777" w:rsidR="008E7A10" w:rsidRDefault="008E7A10">
            <w:pPr>
              <w:rPr>
                <w:rFonts w:ascii="宋体"/>
              </w:rPr>
            </w:pPr>
          </w:p>
        </w:tc>
        <w:tc>
          <w:tcPr>
            <w:tcW w:w="5" w:type="pct"/>
            <w:shd w:val="clear" w:color="auto" w:fill="auto"/>
          </w:tcPr>
          <w:p w14:paraId="746EFE61" w14:textId="77777777" w:rsidR="008E7A10" w:rsidRDefault="008E7A10">
            <w:pPr>
              <w:rPr>
                <w:rFonts w:ascii="宋体"/>
              </w:rPr>
            </w:pPr>
          </w:p>
        </w:tc>
        <w:tc>
          <w:tcPr>
            <w:tcW w:w="50" w:type="pct"/>
            <w:shd w:val="clear" w:color="auto" w:fill="auto"/>
          </w:tcPr>
          <w:p w14:paraId="746EFE62" w14:textId="77777777" w:rsidR="008E7A10" w:rsidRDefault="008E7A10">
            <w:pPr>
              <w:rPr>
                <w:rFonts w:ascii="宋体"/>
              </w:rPr>
            </w:pPr>
          </w:p>
        </w:tc>
        <w:tc>
          <w:tcPr>
            <w:tcW w:w="663" w:type="pct"/>
            <w:shd w:val="clear" w:color="auto" w:fill="auto"/>
          </w:tcPr>
          <w:p w14:paraId="746EFE63" w14:textId="77777777" w:rsidR="008E7A10" w:rsidRDefault="008E7A10">
            <w:pPr>
              <w:rPr>
                <w:rFonts w:ascii="宋体"/>
              </w:rPr>
            </w:pPr>
          </w:p>
        </w:tc>
        <w:tc>
          <w:tcPr>
            <w:tcW w:w="5" w:type="pct"/>
            <w:shd w:val="clear" w:color="auto" w:fill="auto"/>
          </w:tcPr>
          <w:p w14:paraId="746EFE64" w14:textId="77777777" w:rsidR="008E7A10" w:rsidRDefault="008E7A10">
            <w:pPr>
              <w:rPr>
                <w:rFonts w:ascii="宋体"/>
              </w:rPr>
            </w:pPr>
          </w:p>
        </w:tc>
        <w:tc>
          <w:tcPr>
            <w:tcW w:w="50" w:type="pct"/>
            <w:shd w:val="clear" w:color="auto" w:fill="auto"/>
          </w:tcPr>
          <w:p w14:paraId="746EFE65" w14:textId="77777777" w:rsidR="008E7A10" w:rsidRDefault="008E7A10">
            <w:pPr>
              <w:rPr>
                <w:rFonts w:ascii="宋体"/>
              </w:rPr>
            </w:pPr>
          </w:p>
        </w:tc>
        <w:tc>
          <w:tcPr>
            <w:tcW w:w="663" w:type="pct"/>
            <w:shd w:val="clear" w:color="auto" w:fill="auto"/>
          </w:tcPr>
          <w:p w14:paraId="746EFE66" w14:textId="77777777" w:rsidR="008E7A10" w:rsidRDefault="008E7A10">
            <w:pPr>
              <w:rPr>
                <w:rFonts w:ascii="宋体"/>
              </w:rPr>
            </w:pPr>
          </w:p>
        </w:tc>
        <w:tc>
          <w:tcPr>
            <w:tcW w:w="5" w:type="pct"/>
            <w:shd w:val="clear" w:color="auto" w:fill="auto"/>
          </w:tcPr>
          <w:p w14:paraId="746EFE67" w14:textId="77777777" w:rsidR="008E7A10" w:rsidRDefault="008E7A10">
            <w:pPr>
              <w:rPr>
                <w:rFonts w:ascii="宋体"/>
              </w:rPr>
            </w:pPr>
          </w:p>
        </w:tc>
      </w:tr>
      <w:tr w:rsidR="008E7A10" w14:paraId="746EFE6B" w14:textId="77777777">
        <w:tc>
          <w:tcPr>
            <w:tcW w:w="0" w:type="auto"/>
            <w:gridSpan w:val="3"/>
            <w:shd w:val="clear" w:color="auto" w:fill="auto"/>
            <w:tcMar>
              <w:top w:w="0" w:type="dxa"/>
              <w:left w:w="20" w:type="dxa"/>
              <w:bottom w:w="0" w:type="dxa"/>
              <w:right w:w="20" w:type="dxa"/>
            </w:tcMar>
          </w:tcPr>
          <w:p w14:paraId="746EFE69" w14:textId="77777777" w:rsidR="008E7A10" w:rsidRDefault="008E7A10">
            <w:pPr>
              <w:rPr>
                <w:rFonts w:ascii="宋体"/>
              </w:rPr>
            </w:pPr>
          </w:p>
        </w:tc>
        <w:tc>
          <w:tcPr>
            <w:tcW w:w="0" w:type="auto"/>
            <w:gridSpan w:val="6"/>
            <w:shd w:val="clear" w:color="auto" w:fill="auto"/>
            <w:tcMar>
              <w:top w:w="40" w:type="dxa"/>
              <w:left w:w="20" w:type="dxa"/>
              <w:bottom w:w="40" w:type="dxa"/>
              <w:right w:w="20" w:type="dxa"/>
            </w:tcMar>
            <w:vAlign w:val="bottom"/>
          </w:tcPr>
          <w:p w14:paraId="746EFE6A"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EFE6F" w14:textId="77777777">
        <w:tc>
          <w:tcPr>
            <w:tcW w:w="0" w:type="auto"/>
            <w:gridSpan w:val="3"/>
            <w:shd w:val="clear" w:color="auto" w:fill="auto"/>
            <w:tcMar>
              <w:top w:w="40" w:type="dxa"/>
              <w:left w:w="20" w:type="dxa"/>
              <w:bottom w:w="40" w:type="dxa"/>
              <w:right w:w="20" w:type="dxa"/>
            </w:tcMar>
            <w:vAlign w:val="bottom"/>
          </w:tcPr>
          <w:p w14:paraId="746EFE6C"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E6D"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E6E" w14:textId="77777777" w:rsidR="008E7A10" w:rsidRDefault="00E047B2">
            <w:pPr>
              <w:jc w:val="center"/>
              <w:textAlignment w:val="bottom"/>
            </w:pPr>
            <w:r>
              <w:rPr>
                <w:rFonts w:ascii="sans-serif" w:eastAsia="sans-serif" w:hAnsi="sans-serif" w:cs="sans-serif"/>
                <w:b/>
                <w:bCs/>
                <w:color w:val="000000"/>
                <w:sz w:val="17"/>
                <w:szCs w:val="17"/>
              </w:rPr>
              <w:t>2019</w:t>
            </w:r>
          </w:p>
        </w:tc>
      </w:tr>
      <w:tr w:rsidR="008E7A10" w14:paraId="746EFE7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E70" w14:textId="77777777" w:rsidR="008E7A10" w:rsidRDefault="00E047B2">
            <w:pPr>
              <w:textAlignment w:val="bottom"/>
            </w:pPr>
            <w:r>
              <w:rPr>
                <w:rFonts w:ascii="Arial" w:eastAsia="宋体" w:hAnsi="Arial" w:cs="Arial"/>
                <w:b/>
                <w:bCs/>
                <w:color w:val="000000"/>
                <w:sz w:val="17"/>
                <w:szCs w:val="17"/>
              </w:rPr>
              <w:t>Cash provided (used) by operations:</w:t>
            </w:r>
          </w:p>
        </w:tc>
        <w:tc>
          <w:tcPr>
            <w:tcW w:w="0" w:type="auto"/>
            <w:gridSpan w:val="3"/>
            <w:tcBorders>
              <w:top w:val="single" w:sz="8" w:space="0" w:color="E87722"/>
            </w:tcBorders>
            <w:shd w:val="clear" w:color="auto" w:fill="FFF1E7"/>
            <w:tcMar>
              <w:top w:w="0" w:type="dxa"/>
              <w:left w:w="20" w:type="dxa"/>
              <w:bottom w:w="0" w:type="dxa"/>
              <w:right w:w="20" w:type="dxa"/>
            </w:tcMar>
          </w:tcPr>
          <w:p w14:paraId="746EFE7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E72" w14:textId="77777777" w:rsidR="008E7A10" w:rsidRDefault="008E7A10">
            <w:pPr>
              <w:rPr>
                <w:rFonts w:ascii="宋体"/>
              </w:rPr>
            </w:pPr>
          </w:p>
        </w:tc>
      </w:tr>
      <w:tr w:rsidR="008E7A10" w14:paraId="746EFE7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E74" w14:textId="77777777" w:rsidR="008E7A10" w:rsidRDefault="00E047B2">
            <w:pPr>
              <w:textAlignment w:val="bottom"/>
            </w:pPr>
            <w:r>
              <w:rPr>
                <w:rFonts w:ascii="Arial" w:eastAsia="宋体" w:hAnsi="Arial" w:cs="Arial"/>
                <w:color w:val="000000"/>
                <w:sz w:val="17"/>
                <w:szCs w:val="17"/>
              </w:rPr>
              <w:t>Net income</w:t>
            </w:r>
          </w:p>
        </w:tc>
        <w:tc>
          <w:tcPr>
            <w:tcW w:w="0" w:type="auto"/>
            <w:tcBorders>
              <w:top w:val="single" w:sz="8" w:space="0" w:color="808080"/>
            </w:tcBorders>
            <w:shd w:val="clear" w:color="auto" w:fill="FFF1E7"/>
            <w:tcMar>
              <w:top w:w="40" w:type="dxa"/>
              <w:left w:w="20" w:type="dxa"/>
              <w:bottom w:w="40" w:type="dxa"/>
              <w:right w:w="0" w:type="dxa"/>
            </w:tcMar>
            <w:vAlign w:val="bottom"/>
          </w:tcPr>
          <w:p w14:paraId="746EFE7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EFE76" w14:textId="77777777" w:rsidR="008E7A10" w:rsidRDefault="00E047B2">
            <w:pPr>
              <w:jc w:val="right"/>
              <w:textAlignment w:val="bottom"/>
            </w:pPr>
            <w:r>
              <w:rPr>
                <w:rFonts w:ascii="Arial" w:eastAsia="宋体" w:hAnsi="Arial" w:cs="Arial"/>
                <w:color w:val="000000"/>
                <w:sz w:val="17"/>
                <w:szCs w:val="17"/>
              </w:rPr>
              <w:t>2,769 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77"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EFE7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EFE79" w14:textId="77777777" w:rsidR="008E7A10" w:rsidRDefault="00E047B2">
            <w:pPr>
              <w:jc w:val="right"/>
              <w:textAlignment w:val="bottom"/>
            </w:pPr>
            <w:r>
              <w:rPr>
                <w:rFonts w:ascii="Arial" w:eastAsia="宋体" w:hAnsi="Arial" w:cs="Arial"/>
                <w:color w:val="000000"/>
                <w:sz w:val="17"/>
                <w:szCs w:val="17"/>
              </w:rPr>
              <w:t>2,482 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7A" w14:textId="77777777" w:rsidR="008E7A10" w:rsidRDefault="008E7A10">
            <w:pPr>
              <w:jc w:val="right"/>
              <w:rPr>
                <w:rFonts w:ascii="宋体"/>
              </w:rPr>
            </w:pPr>
          </w:p>
        </w:tc>
      </w:tr>
      <w:tr w:rsidR="008E7A10" w14:paraId="746EFE7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E7C" w14:textId="77777777" w:rsidR="008E7A10" w:rsidRDefault="00E047B2">
            <w:pPr>
              <w:textAlignment w:val="bottom"/>
            </w:pPr>
            <w:r>
              <w:rPr>
                <w:rFonts w:ascii="Arial" w:eastAsia="宋体" w:hAnsi="Arial" w:cs="Arial"/>
                <w:color w:val="000000"/>
                <w:sz w:val="17"/>
                <w:szCs w:val="17"/>
              </w:rPr>
              <w:t>Adjustments to reconcile net income to net cash provided (used) by operations:</w:t>
            </w:r>
          </w:p>
        </w:tc>
        <w:tc>
          <w:tcPr>
            <w:tcW w:w="0" w:type="auto"/>
            <w:gridSpan w:val="3"/>
            <w:tcBorders>
              <w:top w:val="single" w:sz="8" w:space="0" w:color="808080"/>
            </w:tcBorders>
            <w:shd w:val="clear" w:color="auto" w:fill="FFF1E7"/>
            <w:tcMar>
              <w:top w:w="0" w:type="dxa"/>
              <w:left w:w="20" w:type="dxa"/>
              <w:bottom w:w="0" w:type="dxa"/>
              <w:right w:w="20" w:type="dxa"/>
            </w:tcMar>
          </w:tcPr>
          <w:p w14:paraId="746EFE7D"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7E" w14:textId="77777777" w:rsidR="008E7A10" w:rsidRDefault="008E7A10">
            <w:pPr>
              <w:rPr>
                <w:rFonts w:ascii="宋体"/>
              </w:rPr>
            </w:pPr>
          </w:p>
        </w:tc>
      </w:tr>
      <w:tr w:rsidR="008E7A10" w14:paraId="746EFE8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80" w14:textId="77777777" w:rsidR="008E7A10" w:rsidRDefault="00E047B2">
            <w:pPr>
              <w:textAlignment w:val="bottom"/>
            </w:pPr>
            <w:r>
              <w:rPr>
                <w:rFonts w:ascii="Arial" w:eastAsia="宋体" w:hAnsi="Arial" w:cs="Arial"/>
                <w:color w:val="000000"/>
                <w:sz w:val="17"/>
                <w:szCs w:val="17"/>
              </w:rPr>
              <w:t>Depreciation</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81" w14:textId="77777777" w:rsidR="008E7A10" w:rsidRDefault="00E047B2">
            <w:pPr>
              <w:jc w:val="right"/>
              <w:textAlignment w:val="bottom"/>
            </w:pPr>
            <w:r>
              <w:rPr>
                <w:rFonts w:ascii="Arial" w:eastAsia="宋体" w:hAnsi="Arial" w:cs="Arial"/>
                <w:color w:val="000000"/>
                <w:sz w:val="17"/>
                <w:szCs w:val="17"/>
              </w:rPr>
              <w:t>361 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8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83" w14:textId="77777777" w:rsidR="008E7A10" w:rsidRDefault="00E047B2">
            <w:pPr>
              <w:jc w:val="right"/>
              <w:textAlignment w:val="bottom"/>
            </w:pPr>
            <w:r>
              <w:rPr>
                <w:rFonts w:ascii="Arial" w:eastAsia="宋体" w:hAnsi="Arial" w:cs="Arial"/>
                <w:color w:val="000000"/>
                <w:sz w:val="17"/>
                <w:szCs w:val="17"/>
              </w:rPr>
              <w:t>343 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84" w14:textId="77777777" w:rsidR="008E7A10" w:rsidRDefault="008E7A10">
            <w:pPr>
              <w:jc w:val="right"/>
              <w:rPr>
                <w:rFonts w:ascii="宋体"/>
              </w:rPr>
            </w:pPr>
          </w:p>
        </w:tc>
      </w:tr>
      <w:tr w:rsidR="008E7A10" w14:paraId="746EFE8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86" w14:textId="77777777" w:rsidR="008E7A10" w:rsidRDefault="00E047B2">
            <w:pPr>
              <w:textAlignment w:val="bottom"/>
            </w:pPr>
            <w:r>
              <w:rPr>
                <w:rFonts w:ascii="Arial" w:eastAsia="宋体" w:hAnsi="Arial" w:cs="Arial"/>
                <w:color w:val="000000"/>
                <w:sz w:val="17"/>
                <w:szCs w:val="17"/>
              </w:rPr>
              <w:t>Deferred income taxes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87" w14:textId="77777777" w:rsidR="008E7A10" w:rsidRDefault="00E047B2">
            <w:pPr>
              <w:jc w:val="right"/>
              <w:textAlignment w:val="bottom"/>
            </w:pPr>
            <w:r>
              <w:rPr>
                <w:rFonts w:ascii="Arial" w:eastAsia="宋体" w:hAnsi="Arial" w:cs="Arial"/>
                <w:color w:val="000000"/>
                <w:sz w:val="17"/>
                <w:szCs w:val="17"/>
              </w:rPr>
              <w:t>(177)</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8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89" w14:textId="77777777" w:rsidR="008E7A10" w:rsidRDefault="00E047B2">
            <w:pPr>
              <w:jc w:val="right"/>
              <w:textAlignment w:val="bottom"/>
            </w:pPr>
            <w:r>
              <w:rPr>
                <w:rFonts w:ascii="Arial" w:eastAsia="宋体" w:hAnsi="Arial" w:cs="Arial"/>
                <w:color w:val="000000"/>
                <w:sz w:val="17"/>
                <w:szCs w:val="17"/>
              </w:rPr>
              <w:t>(134)</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8A" w14:textId="77777777" w:rsidR="008E7A10" w:rsidRDefault="008E7A10">
            <w:pPr>
              <w:jc w:val="right"/>
              <w:rPr>
                <w:rFonts w:ascii="宋体"/>
              </w:rPr>
            </w:pPr>
          </w:p>
        </w:tc>
      </w:tr>
      <w:tr w:rsidR="008E7A10" w14:paraId="746EFE9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8C" w14:textId="77777777" w:rsidR="008E7A10" w:rsidRDefault="00E047B2">
            <w:pPr>
              <w:textAlignment w:val="bottom"/>
            </w:pPr>
            <w:r>
              <w:rPr>
                <w:rFonts w:ascii="Arial" w:eastAsia="宋体" w:hAnsi="Arial" w:cs="Arial"/>
                <w:color w:val="000000"/>
                <w:sz w:val="17"/>
                <w:szCs w:val="17"/>
              </w:rPr>
              <w:t>Stock-based compensation</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8D" w14:textId="77777777" w:rsidR="008E7A10" w:rsidRDefault="00E047B2">
            <w:pPr>
              <w:jc w:val="right"/>
              <w:textAlignment w:val="bottom"/>
            </w:pPr>
            <w:r>
              <w:rPr>
                <w:rFonts w:ascii="Arial" w:eastAsia="宋体" w:hAnsi="Arial" w:cs="Arial"/>
                <w:color w:val="000000"/>
                <w:sz w:val="17"/>
                <w:szCs w:val="17"/>
              </w:rPr>
              <w:t>325 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8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8F" w14:textId="77777777" w:rsidR="008E7A10" w:rsidRDefault="00E047B2">
            <w:pPr>
              <w:jc w:val="right"/>
              <w:textAlignment w:val="bottom"/>
            </w:pPr>
            <w:r>
              <w:rPr>
                <w:rFonts w:ascii="Arial" w:eastAsia="宋体" w:hAnsi="Arial" w:cs="Arial"/>
                <w:color w:val="000000"/>
                <w:sz w:val="17"/>
                <w:szCs w:val="17"/>
              </w:rPr>
              <w:t>190 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90" w14:textId="77777777" w:rsidR="008E7A10" w:rsidRDefault="008E7A10">
            <w:pPr>
              <w:jc w:val="right"/>
              <w:rPr>
                <w:rFonts w:ascii="宋体"/>
              </w:rPr>
            </w:pPr>
          </w:p>
        </w:tc>
      </w:tr>
      <w:tr w:rsidR="008E7A10" w14:paraId="746EFE9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92" w14:textId="77777777" w:rsidR="008E7A10" w:rsidRDefault="00E047B2">
            <w:pPr>
              <w:textAlignment w:val="bottom"/>
            </w:pPr>
            <w:r>
              <w:rPr>
                <w:rFonts w:ascii="Arial" w:eastAsia="宋体" w:hAnsi="Arial" w:cs="Arial"/>
                <w:color w:val="000000"/>
                <w:sz w:val="17"/>
                <w:szCs w:val="17"/>
              </w:rPr>
              <w:t>Amortization, impairment and 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93" w14:textId="77777777" w:rsidR="008E7A10" w:rsidRDefault="00E047B2">
            <w:pPr>
              <w:jc w:val="right"/>
              <w:textAlignment w:val="bottom"/>
            </w:pPr>
            <w:r>
              <w:rPr>
                <w:rFonts w:ascii="Arial" w:eastAsia="宋体" w:hAnsi="Arial" w:cs="Arial"/>
                <w:color w:val="000000"/>
                <w:sz w:val="17"/>
                <w:szCs w:val="17"/>
              </w:rPr>
              <w:t>103 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9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95" w14:textId="77777777" w:rsidR="008E7A10" w:rsidRDefault="00E047B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96" w14:textId="77777777" w:rsidR="008E7A10" w:rsidRDefault="008E7A10">
            <w:pPr>
              <w:jc w:val="right"/>
              <w:rPr>
                <w:rFonts w:ascii="宋体"/>
              </w:rPr>
            </w:pPr>
          </w:p>
        </w:tc>
      </w:tr>
      <w:tr w:rsidR="008E7A10" w14:paraId="746EFE9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98" w14:textId="77777777" w:rsidR="008E7A10" w:rsidRDefault="00E047B2">
            <w:pPr>
              <w:textAlignment w:val="bottom"/>
            </w:pPr>
            <w:r>
              <w:rPr>
                <w:rFonts w:ascii="Arial" w:eastAsia="宋体" w:hAnsi="Arial" w:cs="Arial"/>
                <w:color w:val="000000"/>
                <w:sz w:val="17"/>
                <w:szCs w:val="17"/>
              </w:rPr>
              <w:t>Net foreign currency adjustments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99" w14:textId="77777777" w:rsidR="008E7A10" w:rsidRDefault="00E047B2">
            <w:pPr>
              <w:jc w:val="right"/>
              <w:textAlignment w:val="bottom"/>
            </w:pPr>
            <w:r>
              <w:rPr>
                <w:rFonts w:ascii="Arial" w:eastAsia="宋体" w:hAnsi="Arial" w:cs="Arial"/>
                <w:color w:val="000000"/>
                <w:sz w:val="17"/>
                <w:szCs w:val="17"/>
              </w:rPr>
              <w:t>(98)</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9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9B" w14:textId="77777777" w:rsidR="008E7A10" w:rsidRDefault="00E047B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9C" w14:textId="77777777" w:rsidR="008E7A10" w:rsidRDefault="008E7A10">
            <w:pPr>
              <w:jc w:val="right"/>
              <w:rPr>
                <w:rFonts w:ascii="宋体"/>
              </w:rPr>
            </w:pPr>
          </w:p>
        </w:tc>
      </w:tr>
      <w:tr w:rsidR="008E7A10" w14:paraId="746EFEA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E9E" w14:textId="77777777" w:rsidR="008E7A10" w:rsidRDefault="00E047B2">
            <w:pPr>
              <w:textAlignment w:val="bottom"/>
            </w:pPr>
            <w:r>
              <w:rPr>
                <w:rFonts w:ascii="Arial" w:eastAsia="宋体" w:hAnsi="Arial" w:cs="Arial"/>
                <w:color w:val="000000"/>
                <w:sz w:val="17"/>
                <w:szCs w:val="17"/>
              </w:rPr>
              <w:t xml:space="preserve">Changes in certain working capital components and other assets and </w:t>
            </w:r>
            <w:r>
              <w:rPr>
                <w:rFonts w:ascii="Arial" w:eastAsia="宋体" w:hAnsi="Arial" w:cs="Arial"/>
                <w:color w:val="000000"/>
                <w:sz w:val="17"/>
                <w:szCs w:val="17"/>
              </w:rPr>
              <w:t>liabilities:</w:t>
            </w:r>
          </w:p>
        </w:tc>
        <w:tc>
          <w:tcPr>
            <w:tcW w:w="0" w:type="auto"/>
            <w:gridSpan w:val="3"/>
            <w:tcBorders>
              <w:top w:val="single" w:sz="8" w:space="0" w:color="808080"/>
            </w:tcBorders>
            <w:shd w:val="clear" w:color="auto" w:fill="FFF1E7"/>
            <w:tcMar>
              <w:top w:w="0" w:type="dxa"/>
              <w:left w:w="20" w:type="dxa"/>
              <w:bottom w:w="0" w:type="dxa"/>
              <w:right w:w="20" w:type="dxa"/>
            </w:tcMar>
          </w:tcPr>
          <w:p w14:paraId="746EFE9F"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A0" w14:textId="77777777" w:rsidR="008E7A10" w:rsidRDefault="008E7A10">
            <w:pPr>
              <w:rPr>
                <w:rFonts w:ascii="宋体"/>
              </w:rPr>
            </w:pPr>
          </w:p>
        </w:tc>
      </w:tr>
      <w:tr w:rsidR="008E7A10" w14:paraId="746EFEA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A2" w14:textId="77777777" w:rsidR="008E7A10" w:rsidRDefault="00E047B2">
            <w:pPr>
              <w:textAlignment w:val="bottom"/>
            </w:pPr>
            <w:r>
              <w:rPr>
                <w:rFonts w:ascii="Arial" w:eastAsia="宋体" w:hAnsi="Arial" w:cs="Arial"/>
                <w:color w:val="000000"/>
                <w:sz w:val="17"/>
                <w:szCs w:val="17"/>
              </w:rPr>
              <w:t>(Increase) decrease in accounts receivable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A3" w14:textId="77777777" w:rsidR="008E7A10" w:rsidRDefault="00E047B2">
            <w:pPr>
              <w:jc w:val="right"/>
              <w:textAlignment w:val="bottom"/>
            </w:pPr>
            <w:r>
              <w:rPr>
                <w:rFonts w:ascii="Arial" w:eastAsia="宋体" w:hAnsi="Arial" w:cs="Arial"/>
                <w:color w:val="000000"/>
                <w:sz w:val="17"/>
                <w:szCs w:val="17"/>
              </w:rPr>
              <w:t>(921)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A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A5" w14:textId="77777777" w:rsidR="008E7A10" w:rsidRDefault="00E047B2">
            <w:pPr>
              <w:jc w:val="right"/>
              <w:textAlignment w:val="bottom"/>
            </w:pPr>
            <w:r>
              <w:rPr>
                <w:rFonts w:ascii="Arial" w:eastAsia="宋体" w:hAnsi="Arial" w:cs="Arial"/>
                <w:color w:val="000000"/>
                <w:sz w:val="17"/>
                <w:szCs w:val="17"/>
              </w:rPr>
              <w:t>(568)</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A6" w14:textId="77777777" w:rsidR="008E7A10" w:rsidRDefault="008E7A10">
            <w:pPr>
              <w:jc w:val="right"/>
              <w:rPr>
                <w:rFonts w:ascii="宋体"/>
              </w:rPr>
            </w:pPr>
          </w:p>
        </w:tc>
      </w:tr>
      <w:tr w:rsidR="008E7A10" w14:paraId="746EFEA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A8" w14:textId="77777777" w:rsidR="008E7A10" w:rsidRDefault="00E047B2">
            <w:pPr>
              <w:textAlignment w:val="bottom"/>
            </w:pPr>
            <w:r>
              <w:rPr>
                <w:rFonts w:ascii="Arial" w:eastAsia="宋体" w:hAnsi="Arial" w:cs="Arial"/>
                <w:color w:val="000000"/>
                <w:sz w:val="17"/>
                <w:szCs w:val="17"/>
              </w:rPr>
              <w:t>(Increase) decrease in inventories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A9" w14:textId="77777777" w:rsidR="008E7A10" w:rsidRDefault="00E047B2">
            <w:pPr>
              <w:jc w:val="right"/>
              <w:textAlignment w:val="bottom"/>
            </w:pPr>
            <w:r>
              <w:rPr>
                <w:rFonts w:ascii="Arial" w:eastAsia="宋体" w:hAnsi="Arial" w:cs="Arial"/>
                <w:color w:val="000000"/>
                <w:sz w:val="17"/>
                <w:szCs w:val="17"/>
              </w:rPr>
              <w:t>1,321 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A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AB" w14:textId="77777777" w:rsidR="008E7A10" w:rsidRDefault="00E047B2">
            <w:pPr>
              <w:jc w:val="right"/>
              <w:textAlignment w:val="bottom"/>
            </w:pPr>
            <w:r>
              <w:rPr>
                <w:rFonts w:ascii="Arial" w:eastAsia="宋体" w:hAnsi="Arial" w:cs="Arial"/>
                <w:color w:val="000000"/>
                <w:sz w:val="17"/>
                <w:szCs w:val="17"/>
              </w:rPr>
              <w:t>(608)</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AC" w14:textId="77777777" w:rsidR="008E7A10" w:rsidRDefault="008E7A10">
            <w:pPr>
              <w:jc w:val="right"/>
              <w:rPr>
                <w:rFonts w:ascii="宋体"/>
              </w:rPr>
            </w:pPr>
          </w:p>
        </w:tc>
      </w:tr>
      <w:tr w:rsidR="008E7A10" w14:paraId="746EFEB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AE" w14:textId="77777777" w:rsidR="008E7A10" w:rsidRDefault="00E047B2">
            <w:pPr>
              <w:textAlignment w:val="bottom"/>
            </w:pPr>
            <w:r>
              <w:rPr>
                <w:rFonts w:ascii="Arial" w:eastAsia="宋体" w:hAnsi="Arial" w:cs="Arial"/>
                <w:color w:val="000000"/>
                <w:sz w:val="17"/>
                <w:szCs w:val="17"/>
              </w:rPr>
              <w:t>(Increase) decrease in prepaid expenses, operating lease right-of-use assets and other current and non-current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AF" w14:textId="77777777" w:rsidR="008E7A10" w:rsidRDefault="00E047B2">
            <w:pPr>
              <w:jc w:val="right"/>
              <w:textAlignment w:val="bottom"/>
            </w:pPr>
            <w:r>
              <w:rPr>
                <w:rFonts w:ascii="Arial" w:eastAsia="宋体" w:hAnsi="Arial" w:cs="Arial"/>
                <w:color w:val="000000"/>
                <w:sz w:val="17"/>
                <w:szCs w:val="17"/>
              </w:rPr>
              <w:t>(163)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B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B1" w14:textId="77777777" w:rsidR="008E7A10" w:rsidRDefault="00E047B2">
            <w:pPr>
              <w:jc w:val="right"/>
              <w:textAlignment w:val="bottom"/>
            </w:pPr>
            <w:r>
              <w:rPr>
                <w:rFonts w:ascii="Arial" w:eastAsia="宋体" w:hAnsi="Arial" w:cs="Arial"/>
                <w:color w:val="000000"/>
                <w:sz w:val="17"/>
                <w:szCs w:val="17"/>
              </w:rPr>
              <w:t>(67)</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B2" w14:textId="77777777" w:rsidR="008E7A10" w:rsidRDefault="008E7A10">
            <w:pPr>
              <w:jc w:val="right"/>
              <w:rPr>
                <w:rFonts w:ascii="宋体"/>
              </w:rPr>
            </w:pPr>
          </w:p>
        </w:tc>
      </w:tr>
      <w:tr w:rsidR="008E7A10" w14:paraId="746EFEB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B4" w14:textId="77777777" w:rsidR="008E7A10" w:rsidRDefault="00E047B2">
            <w:pPr>
              <w:textAlignment w:val="bottom"/>
            </w:pPr>
            <w:r>
              <w:rPr>
                <w:rFonts w:ascii="Arial" w:eastAsia="宋体" w:hAnsi="Arial" w:cs="Arial"/>
                <w:color w:val="000000"/>
                <w:sz w:val="17"/>
                <w:szCs w:val="17"/>
              </w:rPr>
              <w:t>Increase (decrease) in accounts payable, accrued liabilities, operating lease liabilities and other current and non-current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B5" w14:textId="77777777" w:rsidR="008E7A10" w:rsidRDefault="00E047B2">
            <w:pPr>
              <w:jc w:val="right"/>
              <w:textAlignment w:val="bottom"/>
            </w:pPr>
            <w:r>
              <w:rPr>
                <w:rFonts w:ascii="Arial" w:eastAsia="宋体" w:hAnsi="Arial" w:cs="Arial"/>
                <w:color w:val="000000"/>
                <w:sz w:val="17"/>
                <w:szCs w:val="17"/>
              </w:rPr>
              <w:t>(165)</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B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B7" w14:textId="77777777" w:rsidR="008E7A10" w:rsidRDefault="00E047B2">
            <w:pPr>
              <w:jc w:val="right"/>
              <w:textAlignment w:val="bottom"/>
            </w:pPr>
            <w:r>
              <w:rPr>
                <w:rFonts w:ascii="Arial" w:eastAsia="宋体" w:hAnsi="Arial" w:cs="Arial"/>
                <w:color w:val="000000"/>
                <w:sz w:val="17"/>
                <w:szCs w:val="17"/>
              </w:rPr>
              <w:t>(357)</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B8" w14:textId="77777777" w:rsidR="008E7A10" w:rsidRDefault="008E7A10">
            <w:pPr>
              <w:jc w:val="right"/>
              <w:rPr>
                <w:rFonts w:ascii="宋体"/>
              </w:rPr>
            </w:pPr>
          </w:p>
        </w:tc>
      </w:tr>
      <w:tr w:rsidR="008E7A10" w14:paraId="746EFEB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EBA" w14:textId="77777777" w:rsidR="008E7A10" w:rsidRDefault="00E047B2">
            <w:pPr>
              <w:textAlignment w:val="bottom"/>
            </w:pPr>
            <w:r>
              <w:rPr>
                <w:rFonts w:ascii="Arial" w:eastAsia="宋体" w:hAnsi="Arial" w:cs="Arial"/>
                <w:color w:val="000000"/>
                <w:sz w:val="17"/>
                <w:szCs w:val="17"/>
              </w:rPr>
              <w:t>Cash provided (used) by operations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EBB" w14:textId="77777777" w:rsidR="008E7A10" w:rsidRDefault="00E047B2">
            <w:pPr>
              <w:jc w:val="right"/>
              <w:textAlignment w:val="bottom"/>
            </w:pPr>
            <w:r>
              <w:rPr>
                <w:rFonts w:ascii="Arial" w:eastAsia="宋体" w:hAnsi="Arial" w:cs="Arial"/>
                <w:color w:val="000000"/>
                <w:sz w:val="17"/>
                <w:szCs w:val="17"/>
              </w:rPr>
              <w:t>3,355 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EBC"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EBD" w14:textId="77777777" w:rsidR="008E7A10" w:rsidRDefault="00E047B2">
            <w:pPr>
              <w:jc w:val="right"/>
              <w:textAlignment w:val="bottom"/>
            </w:pPr>
            <w:r>
              <w:rPr>
                <w:rFonts w:ascii="Arial" w:eastAsia="宋体" w:hAnsi="Arial" w:cs="Arial"/>
                <w:color w:val="000000"/>
                <w:sz w:val="17"/>
                <w:szCs w:val="17"/>
              </w:rPr>
              <w:t>1,306 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EBE" w14:textId="77777777" w:rsidR="008E7A10" w:rsidRDefault="008E7A10">
            <w:pPr>
              <w:jc w:val="right"/>
              <w:rPr>
                <w:rFonts w:ascii="宋体"/>
              </w:rPr>
            </w:pPr>
          </w:p>
        </w:tc>
      </w:tr>
      <w:tr w:rsidR="008E7A10" w14:paraId="746EFEC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EC0" w14:textId="77777777" w:rsidR="008E7A10" w:rsidRDefault="00E047B2">
            <w:pPr>
              <w:textAlignment w:val="bottom"/>
            </w:pPr>
            <w:r>
              <w:rPr>
                <w:rFonts w:ascii="Arial" w:eastAsia="宋体" w:hAnsi="Arial" w:cs="Arial"/>
                <w:b/>
                <w:bCs/>
                <w:color w:val="000000"/>
                <w:sz w:val="17"/>
                <w:szCs w:val="17"/>
              </w:rPr>
              <w:t xml:space="preserve">Cash provided (used) by investing </w:t>
            </w:r>
            <w:r>
              <w:rPr>
                <w:rFonts w:ascii="Arial" w:eastAsia="宋体" w:hAnsi="Arial" w:cs="Arial"/>
                <w:b/>
                <w:bCs/>
                <w:color w:val="000000"/>
                <w:sz w:val="17"/>
                <w:szCs w:val="17"/>
              </w:rPr>
              <w:t>activities:</w:t>
            </w:r>
          </w:p>
        </w:tc>
        <w:tc>
          <w:tcPr>
            <w:tcW w:w="0" w:type="auto"/>
            <w:gridSpan w:val="3"/>
            <w:tcBorders>
              <w:top w:val="single" w:sz="8" w:space="0" w:color="808080"/>
            </w:tcBorders>
            <w:shd w:val="clear" w:color="auto" w:fill="FFF1E7"/>
            <w:tcMar>
              <w:top w:w="0" w:type="dxa"/>
              <w:left w:w="20" w:type="dxa"/>
              <w:bottom w:w="0" w:type="dxa"/>
              <w:right w:w="20" w:type="dxa"/>
            </w:tcMar>
          </w:tcPr>
          <w:p w14:paraId="746EFEC1"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C2" w14:textId="77777777" w:rsidR="008E7A10" w:rsidRDefault="008E7A10">
            <w:pPr>
              <w:rPr>
                <w:rFonts w:ascii="宋体"/>
              </w:rPr>
            </w:pPr>
          </w:p>
        </w:tc>
      </w:tr>
      <w:tr w:rsidR="008E7A10" w14:paraId="746EFEC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C4" w14:textId="77777777" w:rsidR="008E7A10" w:rsidRDefault="00E047B2">
            <w:pPr>
              <w:textAlignment w:val="bottom"/>
            </w:pPr>
            <w:r>
              <w:rPr>
                <w:rFonts w:ascii="Arial" w:eastAsia="宋体" w:hAnsi="Arial" w:cs="Arial"/>
                <w:color w:val="000000"/>
                <w:sz w:val="17"/>
                <w:szCs w:val="17"/>
              </w:rPr>
              <w:t>Purchases of short-term investments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C5" w14:textId="77777777" w:rsidR="008E7A10" w:rsidRDefault="00E047B2">
            <w:pPr>
              <w:jc w:val="right"/>
              <w:textAlignment w:val="bottom"/>
            </w:pPr>
            <w:r>
              <w:rPr>
                <w:rFonts w:ascii="Arial" w:eastAsia="宋体" w:hAnsi="Arial" w:cs="Arial"/>
                <w:color w:val="000000"/>
                <w:sz w:val="17"/>
                <w:szCs w:val="17"/>
              </w:rPr>
              <w:t>(4,505)</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C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C7" w14:textId="77777777" w:rsidR="008E7A10" w:rsidRDefault="00E047B2">
            <w:pPr>
              <w:jc w:val="right"/>
              <w:textAlignment w:val="bottom"/>
            </w:pPr>
            <w:r>
              <w:rPr>
                <w:rFonts w:ascii="Arial" w:eastAsia="宋体" w:hAnsi="Arial" w:cs="Arial"/>
                <w:color w:val="000000"/>
                <w:sz w:val="17"/>
                <w:szCs w:val="17"/>
              </w:rPr>
              <w:t>(1,157)</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C8" w14:textId="77777777" w:rsidR="008E7A10" w:rsidRDefault="008E7A10">
            <w:pPr>
              <w:jc w:val="right"/>
              <w:rPr>
                <w:rFonts w:ascii="宋体"/>
              </w:rPr>
            </w:pPr>
          </w:p>
        </w:tc>
      </w:tr>
      <w:tr w:rsidR="008E7A10" w14:paraId="746EFEC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CA" w14:textId="77777777" w:rsidR="008E7A10" w:rsidRDefault="00E047B2">
            <w:pPr>
              <w:textAlignment w:val="bottom"/>
            </w:pPr>
            <w:r>
              <w:rPr>
                <w:rFonts w:ascii="Arial" w:eastAsia="宋体" w:hAnsi="Arial" w:cs="Arial"/>
                <w:color w:val="000000"/>
                <w:sz w:val="17"/>
                <w:szCs w:val="17"/>
              </w:rPr>
              <w:t>Maturities of short-term investments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CB" w14:textId="77777777" w:rsidR="008E7A10" w:rsidRDefault="00E047B2">
            <w:pPr>
              <w:jc w:val="right"/>
              <w:textAlignment w:val="bottom"/>
            </w:pPr>
            <w:r>
              <w:rPr>
                <w:rFonts w:ascii="Arial" w:eastAsia="宋体" w:hAnsi="Arial" w:cs="Arial"/>
                <w:color w:val="000000"/>
                <w:sz w:val="17"/>
                <w:szCs w:val="17"/>
              </w:rPr>
              <w:t>802 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C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CD" w14:textId="77777777" w:rsidR="008E7A10" w:rsidRDefault="00E047B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CE" w14:textId="77777777" w:rsidR="008E7A10" w:rsidRDefault="008E7A10">
            <w:pPr>
              <w:jc w:val="right"/>
              <w:rPr>
                <w:rFonts w:ascii="宋体"/>
              </w:rPr>
            </w:pPr>
          </w:p>
        </w:tc>
      </w:tr>
      <w:tr w:rsidR="008E7A10" w14:paraId="746EFED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D0" w14:textId="77777777" w:rsidR="008E7A10" w:rsidRDefault="00E047B2">
            <w:pPr>
              <w:textAlignment w:val="bottom"/>
            </w:pPr>
            <w:r>
              <w:rPr>
                <w:rFonts w:ascii="Arial" w:eastAsia="宋体" w:hAnsi="Arial" w:cs="Arial"/>
                <w:color w:val="000000"/>
                <w:sz w:val="17"/>
                <w:szCs w:val="17"/>
              </w:rPr>
              <w:t>Sales of short-term investments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D1" w14:textId="77777777" w:rsidR="008E7A10" w:rsidRDefault="00E047B2">
            <w:pPr>
              <w:jc w:val="right"/>
              <w:textAlignment w:val="bottom"/>
            </w:pPr>
            <w:r>
              <w:rPr>
                <w:rFonts w:ascii="Arial" w:eastAsia="宋体" w:hAnsi="Arial" w:cs="Arial"/>
                <w:color w:val="000000"/>
                <w:sz w:val="17"/>
                <w:szCs w:val="17"/>
              </w:rPr>
              <w:t>914 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D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D3" w14:textId="77777777" w:rsidR="008E7A10" w:rsidRDefault="00E047B2">
            <w:pPr>
              <w:jc w:val="right"/>
              <w:textAlignment w:val="bottom"/>
            </w:pPr>
            <w:r>
              <w:rPr>
                <w:rFonts w:ascii="Arial" w:eastAsia="宋体" w:hAnsi="Arial" w:cs="Arial"/>
                <w:color w:val="000000"/>
                <w:sz w:val="17"/>
                <w:szCs w:val="17"/>
              </w:rPr>
              <w:t>981 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D4" w14:textId="77777777" w:rsidR="008E7A10" w:rsidRDefault="008E7A10">
            <w:pPr>
              <w:jc w:val="right"/>
              <w:rPr>
                <w:rFonts w:ascii="宋体"/>
              </w:rPr>
            </w:pPr>
          </w:p>
        </w:tc>
      </w:tr>
      <w:tr w:rsidR="008E7A10" w14:paraId="746EFED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D6" w14:textId="77777777" w:rsidR="008E7A10" w:rsidRDefault="00E047B2">
            <w:pPr>
              <w:textAlignment w:val="bottom"/>
            </w:pPr>
            <w:r>
              <w:rPr>
                <w:rFonts w:ascii="Arial" w:eastAsia="宋体" w:hAnsi="Arial" w:cs="Arial"/>
                <w:color w:val="000000"/>
                <w:sz w:val="17"/>
                <w:szCs w:val="17"/>
              </w:rPr>
              <w:t>Additions to property, plant and 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D7" w14:textId="77777777" w:rsidR="008E7A10" w:rsidRDefault="00E047B2">
            <w:pPr>
              <w:jc w:val="right"/>
              <w:textAlignment w:val="bottom"/>
            </w:pPr>
            <w:r>
              <w:rPr>
                <w:rFonts w:ascii="Arial" w:eastAsia="宋体" w:hAnsi="Arial" w:cs="Arial"/>
                <w:color w:val="000000"/>
                <w:sz w:val="17"/>
                <w:szCs w:val="17"/>
              </w:rPr>
              <w:t>(344)</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D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D9" w14:textId="77777777" w:rsidR="008E7A10" w:rsidRDefault="00E047B2">
            <w:pPr>
              <w:jc w:val="right"/>
              <w:textAlignment w:val="bottom"/>
            </w:pPr>
            <w:r>
              <w:rPr>
                <w:rFonts w:ascii="Arial" w:eastAsia="宋体" w:hAnsi="Arial" w:cs="Arial"/>
                <w:color w:val="000000"/>
                <w:sz w:val="17"/>
                <w:szCs w:val="17"/>
              </w:rPr>
              <w:t>(522)</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DA" w14:textId="77777777" w:rsidR="008E7A10" w:rsidRDefault="008E7A10">
            <w:pPr>
              <w:jc w:val="right"/>
              <w:rPr>
                <w:rFonts w:ascii="宋体"/>
              </w:rPr>
            </w:pPr>
          </w:p>
        </w:tc>
      </w:tr>
      <w:tr w:rsidR="008E7A10" w14:paraId="746EFEE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DC" w14:textId="77777777" w:rsidR="008E7A10" w:rsidRDefault="00E047B2">
            <w:pPr>
              <w:textAlignment w:val="bottom"/>
            </w:pPr>
            <w:r>
              <w:rPr>
                <w:rFonts w:ascii="Arial" w:eastAsia="宋体" w:hAnsi="Arial" w:cs="Arial"/>
                <w:color w:val="000000"/>
                <w:sz w:val="17"/>
                <w:szCs w:val="17"/>
              </w:rPr>
              <w:t xml:space="preserve">Other investing </w:t>
            </w:r>
            <w:r>
              <w:rPr>
                <w:rFonts w:ascii="Arial" w:eastAsia="宋体" w:hAnsi="Arial" w:cs="Arial"/>
                <w:color w:val="000000"/>
                <w:sz w:val="17"/>
                <w:szCs w:val="17"/>
              </w:rPr>
              <w:t>activities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DD" w14:textId="77777777" w:rsidR="008E7A10" w:rsidRDefault="00E047B2">
            <w:pPr>
              <w:jc w:val="right"/>
              <w:textAlignment w:val="bottom"/>
            </w:pPr>
            <w:r>
              <w:rPr>
                <w:rFonts w:ascii="Arial" w:eastAsia="宋体" w:hAnsi="Arial" w:cs="Arial"/>
                <w:color w:val="000000"/>
                <w:sz w:val="17"/>
                <w:szCs w:val="17"/>
              </w:rPr>
              <w:t>256 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D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DF" w14:textId="77777777" w:rsidR="008E7A10" w:rsidRDefault="00E047B2">
            <w:pPr>
              <w:jc w:val="right"/>
              <w:textAlignment w:val="bottom"/>
            </w:pPr>
            <w:r>
              <w:rPr>
                <w:rFonts w:ascii="Arial" w:eastAsia="宋体" w:hAnsi="Arial" w:cs="Arial"/>
                <w:color w:val="000000"/>
                <w:sz w:val="17"/>
                <w:szCs w:val="17"/>
              </w:rPr>
              <w:t>(109)</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E0" w14:textId="77777777" w:rsidR="008E7A10" w:rsidRDefault="008E7A10">
            <w:pPr>
              <w:jc w:val="right"/>
              <w:rPr>
                <w:rFonts w:ascii="宋体"/>
              </w:rPr>
            </w:pPr>
          </w:p>
        </w:tc>
      </w:tr>
      <w:tr w:rsidR="008E7A10" w14:paraId="746EFEE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EE2" w14:textId="77777777" w:rsidR="008E7A10" w:rsidRDefault="00E047B2">
            <w:pPr>
              <w:textAlignment w:val="bottom"/>
            </w:pPr>
            <w:r>
              <w:rPr>
                <w:rFonts w:ascii="Arial" w:eastAsia="宋体" w:hAnsi="Arial" w:cs="Arial"/>
                <w:color w:val="000000"/>
                <w:sz w:val="17"/>
                <w:szCs w:val="17"/>
              </w:rPr>
              <w:t>Cash provided (used) by investing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EE3" w14:textId="77777777" w:rsidR="008E7A10" w:rsidRDefault="00E047B2">
            <w:pPr>
              <w:jc w:val="right"/>
              <w:textAlignment w:val="bottom"/>
            </w:pPr>
            <w:r>
              <w:rPr>
                <w:rFonts w:ascii="Arial" w:eastAsia="宋体" w:hAnsi="Arial" w:cs="Arial"/>
                <w:color w:val="000000"/>
                <w:sz w:val="17"/>
                <w:szCs w:val="17"/>
              </w:rPr>
              <w:t>(2,877)</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EE4"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EE5" w14:textId="77777777" w:rsidR="008E7A10" w:rsidRDefault="00E047B2">
            <w:pPr>
              <w:jc w:val="right"/>
              <w:textAlignment w:val="bottom"/>
            </w:pPr>
            <w:r>
              <w:rPr>
                <w:rFonts w:ascii="Arial" w:eastAsia="宋体" w:hAnsi="Arial" w:cs="Arial"/>
                <w:color w:val="000000"/>
                <w:sz w:val="17"/>
                <w:szCs w:val="17"/>
              </w:rPr>
              <w:t>(788)</w:t>
            </w:r>
          </w:p>
        </w:tc>
        <w:tc>
          <w:tcPr>
            <w:tcW w:w="0" w:type="auto"/>
            <w:tcBorders>
              <w:top w:val="single" w:sz="8" w:space="0" w:color="E87722"/>
            </w:tcBorders>
            <w:shd w:val="clear" w:color="auto" w:fill="auto"/>
            <w:tcMar>
              <w:top w:w="40" w:type="dxa"/>
              <w:left w:w="0" w:type="dxa"/>
              <w:bottom w:w="40" w:type="dxa"/>
              <w:right w:w="20" w:type="dxa"/>
            </w:tcMar>
            <w:vAlign w:val="bottom"/>
          </w:tcPr>
          <w:p w14:paraId="746EFEE6" w14:textId="77777777" w:rsidR="008E7A10" w:rsidRDefault="008E7A10">
            <w:pPr>
              <w:jc w:val="right"/>
              <w:rPr>
                <w:rFonts w:ascii="宋体"/>
              </w:rPr>
            </w:pPr>
          </w:p>
        </w:tc>
      </w:tr>
      <w:tr w:rsidR="008E7A10" w14:paraId="746EFEE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EE8" w14:textId="77777777" w:rsidR="008E7A10" w:rsidRDefault="00E047B2">
            <w:pPr>
              <w:textAlignment w:val="bottom"/>
            </w:pPr>
            <w:r>
              <w:rPr>
                <w:rFonts w:ascii="Arial" w:eastAsia="宋体" w:hAnsi="Arial" w:cs="Arial"/>
                <w:b/>
                <w:bCs/>
                <w:color w:val="000000"/>
                <w:sz w:val="17"/>
                <w:szCs w:val="17"/>
              </w:rPr>
              <w:t>Cash provided (used) by financing activities:</w:t>
            </w:r>
          </w:p>
        </w:tc>
        <w:tc>
          <w:tcPr>
            <w:tcW w:w="0" w:type="auto"/>
            <w:gridSpan w:val="3"/>
            <w:tcBorders>
              <w:top w:val="single" w:sz="8" w:space="0" w:color="808080"/>
            </w:tcBorders>
            <w:shd w:val="clear" w:color="auto" w:fill="FFF1E7"/>
            <w:tcMar>
              <w:top w:w="0" w:type="dxa"/>
              <w:left w:w="20" w:type="dxa"/>
              <w:bottom w:w="0" w:type="dxa"/>
              <w:right w:w="20" w:type="dxa"/>
            </w:tcMar>
          </w:tcPr>
          <w:p w14:paraId="746EFEE9"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EFEEA" w14:textId="77777777" w:rsidR="008E7A10" w:rsidRDefault="008E7A10">
            <w:pPr>
              <w:rPr>
                <w:rFonts w:ascii="宋体"/>
              </w:rPr>
            </w:pPr>
          </w:p>
        </w:tc>
      </w:tr>
      <w:tr w:rsidR="008E7A10" w14:paraId="746EFEF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EC" w14:textId="77777777" w:rsidR="008E7A10" w:rsidRDefault="00E047B2">
            <w:pPr>
              <w:textAlignment w:val="bottom"/>
            </w:pPr>
            <w:r>
              <w:rPr>
                <w:rFonts w:ascii="Arial" w:eastAsia="宋体" w:hAnsi="Arial" w:cs="Arial"/>
                <w:color w:val="000000"/>
                <w:sz w:val="17"/>
                <w:szCs w:val="17"/>
              </w:rPr>
              <w:t>Increase (decrease) in notes payable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ED" w14:textId="77777777" w:rsidR="008E7A10" w:rsidRDefault="00E047B2">
            <w:pPr>
              <w:jc w:val="right"/>
              <w:textAlignment w:val="bottom"/>
            </w:pPr>
            <w:r>
              <w:rPr>
                <w:rFonts w:ascii="Arial" w:eastAsia="宋体" w:hAnsi="Arial" w:cs="Arial"/>
                <w:color w:val="000000"/>
                <w:sz w:val="17"/>
                <w:szCs w:val="17"/>
              </w:rPr>
              <w:t>(37)</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E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EF" w14:textId="77777777" w:rsidR="008E7A10" w:rsidRDefault="00E047B2">
            <w:pPr>
              <w:jc w:val="right"/>
              <w:textAlignment w:val="bottom"/>
            </w:pPr>
            <w:r>
              <w:rPr>
                <w:rFonts w:ascii="Arial" w:eastAsia="宋体" w:hAnsi="Arial" w:cs="Arial"/>
                <w:color w:val="000000"/>
                <w:sz w:val="17"/>
                <w:szCs w:val="17"/>
              </w:rPr>
              <w:t>291 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F0" w14:textId="77777777" w:rsidR="008E7A10" w:rsidRDefault="008E7A10">
            <w:pPr>
              <w:jc w:val="right"/>
              <w:rPr>
                <w:rFonts w:ascii="宋体"/>
              </w:rPr>
            </w:pPr>
          </w:p>
        </w:tc>
      </w:tr>
      <w:tr w:rsidR="008E7A10" w14:paraId="746EFEF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F2" w14:textId="77777777" w:rsidR="008E7A10" w:rsidRDefault="00E047B2">
            <w:pPr>
              <w:textAlignment w:val="bottom"/>
            </w:pPr>
            <w:r>
              <w:rPr>
                <w:rFonts w:ascii="Arial" w:eastAsia="宋体" w:hAnsi="Arial" w:cs="Arial"/>
                <w:color w:val="000000"/>
                <w:sz w:val="17"/>
                <w:szCs w:val="17"/>
              </w:rPr>
              <w:t>Repayment of borrowings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F3" w14:textId="77777777" w:rsidR="008E7A10" w:rsidRDefault="00E047B2">
            <w:pPr>
              <w:jc w:val="right"/>
              <w:textAlignment w:val="bottom"/>
            </w:pPr>
            <w:r>
              <w:rPr>
                <w:rFonts w:ascii="Arial" w:eastAsia="宋体" w:hAnsi="Arial" w:cs="Arial"/>
                <w:color w:val="000000"/>
                <w:sz w:val="17"/>
                <w:szCs w:val="17"/>
              </w:rPr>
              <w:t>(173)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F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F5"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F6" w14:textId="77777777" w:rsidR="008E7A10" w:rsidRDefault="008E7A10">
            <w:pPr>
              <w:jc w:val="right"/>
              <w:rPr>
                <w:rFonts w:ascii="宋体"/>
              </w:rPr>
            </w:pPr>
          </w:p>
        </w:tc>
      </w:tr>
      <w:tr w:rsidR="008E7A10" w14:paraId="746EFEF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F8" w14:textId="77777777" w:rsidR="008E7A10" w:rsidRDefault="00E047B2">
            <w:pPr>
              <w:textAlignment w:val="bottom"/>
            </w:pPr>
            <w:r>
              <w:rPr>
                <w:rFonts w:ascii="Arial" w:eastAsia="宋体" w:hAnsi="Arial" w:cs="Arial"/>
                <w:color w:val="000000"/>
                <w:sz w:val="17"/>
                <w:szCs w:val="17"/>
              </w:rPr>
              <w:t xml:space="preserve">Proceeds from exercise of </w:t>
            </w:r>
            <w:r>
              <w:rPr>
                <w:rFonts w:ascii="Arial" w:eastAsia="宋体" w:hAnsi="Arial" w:cs="Arial"/>
                <w:color w:val="000000"/>
                <w:sz w:val="17"/>
                <w:szCs w:val="17"/>
              </w:rPr>
              <w:t>stock options and other stock issuances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F9" w14:textId="77777777" w:rsidR="008E7A10" w:rsidRDefault="00E047B2">
            <w:pPr>
              <w:jc w:val="right"/>
              <w:textAlignment w:val="bottom"/>
            </w:pPr>
            <w:r>
              <w:rPr>
                <w:rFonts w:ascii="Arial" w:eastAsia="宋体" w:hAnsi="Arial" w:cs="Arial"/>
                <w:color w:val="000000"/>
                <w:sz w:val="17"/>
                <w:szCs w:val="17"/>
              </w:rPr>
              <w:t>781 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EF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EFB" w14:textId="77777777" w:rsidR="008E7A10" w:rsidRDefault="00E047B2">
            <w:pPr>
              <w:jc w:val="right"/>
              <w:textAlignment w:val="bottom"/>
            </w:pPr>
            <w:r>
              <w:rPr>
                <w:rFonts w:ascii="Arial" w:eastAsia="宋体" w:hAnsi="Arial" w:cs="Arial"/>
                <w:color w:val="000000"/>
                <w:sz w:val="17"/>
                <w:szCs w:val="17"/>
              </w:rPr>
              <w:t>483 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EFC" w14:textId="77777777" w:rsidR="008E7A10" w:rsidRDefault="008E7A10">
            <w:pPr>
              <w:jc w:val="right"/>
              <w:rPr>
                <w:rFonts w:ascii="宋体"/>
              </w:rPr>
            </w:pPr>
          </w:p>
        </w:tc>
      </w:tr>
      <w:tr w:rsidR="008E7A10" w14:paraId="746EFF0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EFE" w14:textId="77777777" w:rsidR="008E7A10" w:rsidRDefault="00E047B2">
            <w:pPr>
              <w:textAlignment w:val="bottom"/>
            </w:pPr>
            <w:r>
              <w:rPr>
                <w:rFonts w:ascii="Arial" w:eastAsia="宋体" w:hAnsi="Arial" w:cs="Arial"/>
                <w:color w:val="000000"/>
                <w:sz w:val="17"/>
                <w:szCs w:val="17"/>
              </w:rPr>
              <w:t>Repurchase of common stock</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EF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0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F01" w14:textId="77777777" w:rsidR="008E7A10" w:rsidRDefault="00E047B2">
            <w:pPr>
              <w:jc w:val="right"/>
              <w:textAlignment w:val="bottom"/>
            </w:pPr>
            <w:r>
              <w:rPr>
                <w:rFonts w:ascii="Arial" w:eastAsia="宋体" w:hAnsi="Arial" w:cs="Arial"/>
                <w:color w:val="000000"/>
                <w:sz w:val="17"/>
                <w:szCs w:val="17"/>
              </w:rPr>
              <w:t>(1,921)</w:t>
            </w:r>
          </w:p>
        </w:tc>
        <w:tc>
          <w:tcPr>
            <w:tcW w:w="0" w:type="auto"/>
            <w:tcBorders>
              <w:top w:val="single" w:sz="8" w:space="0" w:color="808080"/>
            </w:tcBorders>
            <w:shd w:val="clear" w:color="auto" w:fill="auto"/>
            <w:tcMar>
              <w:top w:w="40" w:type="dxa"/>
              <w:left w:w="0" w:type="dxa"/>
              <w:bottom w:w="40" w:type="dxa"/>
              <w:right w:w="20" w:type="dxa"/>
            </w:tcMar>
            <w:vAlign w:val="bottom"/>
          </w:tcPr>
          <w:p w14:paraId="746EFF02" w14:textId="77777777" w:rsidR="008E7A10" w:rsidRDefault="008E7A10">
            <w:pPr>
              <w:jc w:val="right"/>
              <w:rPr>
                <w:rFonts w:ascii="宋体"/>
              </w:rPr>
            </w:pPr>
          </w:p>
        </w:tc>
      </w:tr>
      <w:tr w:rsidR="008E7A10" w14:paraId="746EFF0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F04" w14:textId="77777777" w:rsidR="008E7A10" w:rsidRDefault="00E047B2">
            <w:pPr>
              <w:textAlignment w:val="bottom"/>
            </w:pPr>
            <w:r>
              <w:rPr>
                <w:rFonts w:ascii="Arial" w:eastAsia="宋体" w:hAnsi="Arial" w:cs="Arial"/>
                <w:color w:val="000000"/>
                <w:sz w:val="17"/>
                <w:szCs w:val="17"/>
              </w:rPr>
              <w:t>Dividends — common and preferred</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05" w14:textId="77777777" w:rsidR="008E7A10" w:rsidRDefault="00E047B2">
            <w:pPr>
              <w:jc w:val="right"/>
              <w:textAlignment w:val="bottom"/>
            </w:pPr>
            <w:r>
              <w:rPr>
                <w:rFonts w:ascii="Arial" w:eastAsia="宋体" w:hAnsi="Arial" w:cs="Arial"/>
                <w:color w:val="000000"/>
                <w:sz w:val="17"/>
                <w:szCs w:val="17"/>
              </w:rPr>
              <w:t>(769)</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0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F07" w14:textId="77777777" w:rsidR="008E7A10" w:rsidRDefault="00E047B2">
            <w:pPr>
              <w:jc w:val="right"/>
              <w:textAlignment w:val="bottom"/>
            </w:pPr>
            <w:r>
              <w:rPr>
                <w:rFonts w:ascii="Arial" w:eastAsia="宋体" w:hAnsi="Arial" w:cs="Arial"/>
                <w:color w:val="000000"/>
                <w:sz w:val="17"/>
                <w:szCs w:val="17"/>
              </w:rPr>
              <w:t>(689)</w:t>
            </w:r>
          </w:p>
        </w:tc>
        <w:tc>
          <w:tcPr>
            <w:tcW w:w="0" w:type="auto"/>
            <w:tcBorders>
              <w:top w:val="single" w:sz="8" w:space="0" w:color="808080"/>
            </w:tcBorders>
            <w:shd w:val="clear" w:color="auto" w:fill="auto"/>
            <w:tcMar>
              <w:top w:w="40" w:type="dxa"/>
              <w:left w:w="0" w:type="dxa"/>
              <w:bottom w:w="40" w:type="dxa"/>
              <w:right w:w="20" w:type="dxa"/>
            </w:tcMar>
            <w:vAlign w:val="bottom"/>
          </w:tcPr>
          <w:p w14:paraId="746EFF08" w14:textId="77777777" w:rsidR="008E7A10" w:rsidRDefault="008E7A10">
            <w:pPr>
              <w:jc w:val="right"/>
              <w:rPr>
                <w:rFonts w:ascii="宋体"/>
              </w:rPr>
            </w:pPr>
          </w:p>
        </w:tc>
      </w:tr>
      <w:tr w:rsidR="008E7A10" w14:paraId="746EFF0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EFF0A" w14:textId="77777777" w:rsidR="008E7A10" w:rsidRDefault="00E047B2">
            <w:pPr>
              <w:textAlignment w:val="bottom"/>
            </w:pPr>
            <w:r>
              <w:rPr>
                <w:rFonts w:ascii="Arial" w:eastAsia="宋体" w:hAnsi="Arial" w:cs="Arial"/>
                <w:color w:val="000000"/>
                <w:sz w:val="17"/>
                <w:szCs w:val="17"/>
              </w:rPr>
              <w:t>Other financing activities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0B" w14:textId="77777777" w:rsidR="008E7A10" w:rsidRDefault="00E047B2">
            <w:pPr>
              <w:jc w:val="right"/>
              <w:textAlignment w:val="bottom"/>
            </w:pPr>
            <w:r>
              <w:rPr>
                <w:rFonts w:ascii="Arial" w:eastAsia="宋体" w:hAnsi="Arial" w:cs="Arial"/>
                <w:color w:val="000000"/>
                <w:sz w:val="17"/>
                <w:szCs w:val="17"/>
              </w:rPr>
              <w:t>(94)</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0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F0D" w14:textId="77777777" w:rsidR="008E7A10" w:rsidRDefault="00E047B2">
            <w:pPr>
              <w:jc w:val="right"/>
              <w:textAlignment w:val="bottom"/>
            </w:pPr>
            <w:r>
              <w:rPr>
                <w:rFonts w:ascii="Arial" w:eastAsia="宋体" w:hAnsi="Arial" w:cs="Arial"/>
                <w:color w:val="000000"/>
                <w:sz w:val="17"/>
                <w:szCs w:val="17"/>
              </w:rPr>
              <w:t>(29)</w:t>
            </w:r>
          </w:p>
        </w:tc>
        <w:tc>
          <w:tcPr>
            <w:tcW w:w="0" w:type="auto"/>
            <w:tcBorders>
              <w:top w:val="single" w:sz="8" w:space="0" w:color="808080"/>
            </w:tcBorders>
            <w:shd w:val="clear" w:color="auto" w:fill="auto"/>
            <w:tcMar>
              <w:top w:w="40" w:type="dxa"/>
              <w:left w:w="0" w:type="dxa"/>
              <w:bottom w:w="40" w:type="dxa"/>
              <w:right w:w="20" w:type="dxa"/>
            </w:tcMar>
            <w:vAlign w:val="bottom"/>
          </w:tcPr>
          <w:p w14:paraId="746EFF0E" w14:textId="77777777" w:rsidR="008E7A10" w:rsidRDefault="008E7A10">
            <w:pPr>
              <w:jc w:val="right"/>
              <w:rPr>
                <w:rFonts w:ascii="宋体"/>
              </w:rPr>
            </w:pPr>
          </w:p>
        </w:tc>
      </w:tr>
      <w:tr w:rsidR="008E7A10" w14:paraId="746EFF1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F10" w14:textId="77777777" w:rsidR="008E7A10" w:rsidRDefault="00E047B2">
            <w:pPr>
              <w:textAlignment w:val="bottom"/>
            </w:pPr>
            <w:r>
              <w:rPr>
                <w:rFonts w:ascii="Arial" w:eastAsia="宋体" w:hAnsi="Arial" w:cs="Arial"/>
                <w:color w:val="000000"/>
                <w:sz w:val="17"/>
                <w:szCs w:val="17"/>
              </w:rPr>
              <w:t>Cash provided (used) by financing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F11" w14:textId="77777777" w:rsidR="008E7A10" w:rsidRDefault="00E047B2">
            <w:pPr>
              <w:jc w:val="right"/>
              <w:textAlignment w:val="bottom"/>
            </w:pPr>
            <w:r>
              <w:rPr>
                <w:rFonts w:ascii="Arial" w:eastAsia="宋体" w:hAnsi="Arial" w:cs="Arial"/>
                <w:color w:val="000000"/>
                <w:sz w:val="17"/>
                <w:szCs w:val="17"/>
              </w:rPr>
              <w:t>(292)</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F12"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F13" w14:textId="77777777" w:rsidR="008E7A10" w:rsidRDefault="00E047B2">
            <w:pPr>
              <w:jc w:val="right"/>
              <w:textAlignment w:val="bottom"/>
            </w:pPr>
            <w:r>
              <w:rPr>
                <w:rFonts w:ascii="Arial" w:eastAsia="宋体" w:hAnsi="Arial" w:cs="Arial"/>
                <w:color w:val="000000"/>
                <w:sz w:val="17"/>
                <w:szCs w:val="17"/>
              </w:rPr>
              <w:t>(1,868)</w:t>
            </w:r>
          </w:p>
        </w:tc>
        <w:tc>
          <w:tcPr>
            <w:tcW w:w="0" w:type="auto"/>
            <w:tcBorders>
              <w:top w:val="single" w:sz="8" w:space="0" w:color="E87722"/>
            </w:tcBorders>
            <w:shd w:val="clear" w:color="auto" w:fill="auto"/>
            <w:tcMar>
              <w:top w:w="40" w:type="dxa"/>
              <w:left w:w="0" w:type="dxa"/>
              <w:bottom w:w="40" w:type="dxa"/>
              <w:right w:w="20" w:type="dxa"/>
            </w:tcMar>
            <w:vAlign w:val="bottom"/>
          </w:tcPr>
          <w:p w14:paraId="746EFF14" w14:textId="77777777" w:rsidR="008E7A10" w:rsidRDefault="008E7A10">
            <w:pPr>
              <w:jc w:val="right"/>
              <w:rPr>
                <w:rFonts w:ascii="宋体"/>
              </w:rPr>
            </w:pPr>
          </w:p>
        </w:tc>
      </w:tr>
      <w:tr w:rsidR="008E7A10" w14:paraId="746EFF1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F16" w14:textId="77777777" w:rsidR="008E7A10" w:rsidRDefault="00E047B2">
            <w:pPr>
              <w:textAlignment w:val="bottom"/>
            </w:pPr>
            <w:r>
              <w:rPr>
                <w:rFonts w:ascii="Arial" w:eastAsia="宋体" w:hAnsi="Arial" w:cs="Arial"/>
                <w:color w:val="000000"/>
                <w:sz w:val="17"/>
                <w:szCs w:val="17"/>
              </w:rPr>
              <w:t xml:space="preserve">Effect of </w:t>
            </w:r>
            <w:r>
              <w:rPr>
                <w:rFonts w:ascii="Arial" w:eastAsia="宋体" w:hAnsi="Arial" w:cs="Arial"/>
                <w:color w:val="000000"/>
                <w:sz w:val="17"/>
                <w:szCs w:val="17"/>
              </w:rPr>
              <w:t>exchange rate changes on cash and equivalents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17" w14:textId="77777777" w:rsidR="008E7A10" w:rsidRDefault="00E047B2">
            <w:pPr>
              <w:jc w:val="right"/>
              <w:textAlignment w:val="bottom"/>
            </w:pPr>
            <w:r>
              <w:rPr>
                <w:rFonts w:ascii="Arial" w:eastAsia="宋体" w:hAnsi="Arial" w:cs="Arial"/>
                <w:color w:val="000000"/>
                <w:sz w:val="17"/>
                <w:szCs w:val="17"/>
              </w:rPr>
              <w:t>101 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1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F19" w14:textId="77777777" w:rsidR="008E7A10" w:rsidRDefault="00E047B2">
            <w:pPr>
              <w:jc w:val="right"/>
              <w:textAlignment w:val="bottom"/>
            </w:pPr>
            <w:r>
              <w:rPr>
                <w:rFonts w:ascii="Arial" w:eastAsia="宋体" w:hAnsi="Arial" w:cs="Arial"/>
                <w:color w:val="000000"/>
                <w:sz w:val="17"/>
                <w:szCs w:val="17"/>
              </w:rPr>
              <w:t>(46)</w:t>
            </w:r>
          </w:p>
        </w:tc>
        <w:tc>
          <w:tcPr>
            <w:tcW w:w="0" w:type="auto"/>
            <w:tcBorders>
              <w:top w:val="single" w:sz="8" w:space="0" w:color="808080"/>
            </w:tcBorders>
            <w:shd w:val="clear" w:color="auto" w:fill="auto"/>
            <w:tcMar>
              <w:top w:w="40" w:type="dxa"/>
              <w:left w:w="0" w:type="dxa"/>
              <w:bottom w:w="40" w:type="dxa"/>
              <w:right w:w="20" w:type="dxa"/>
            </w:tcMar>
            <w:vAlign w:val="bottom"/>
          </w:tcPr>
          <w:p w14:paraId="746EFF1A" w14:textId="77777777" w:rsidR="008E7A10" w:rsidRDefault="008E7A10">
            <w:pPr>
              <w:jc w:val="right"/>
              <w:rPr>
                <w:rFonts w:ascii="宋体"/>
              </w:rPr>
            </w:pPr>
          </w:p>
        </w:tc>
      </w:tr>
      <w:tr w:rsidR="008E7A10" w14:paraId="746EFF2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F1C" w14:textId="77777777" w:rsidR="008E7A10" w:rsidRDefault="00E047B2">
            <w:pPr>
              <w:textAlignment w:val="bottom"/>
            </w:pPr>
            <w:r>
              <w:rPr>
                <w:rFonts w:ascii="Arial" w:eastAsia="宋体" w:hAnsi="Arial" w:cs="Arial"/>
                <w:color w:val="000000"/>
                <w:sz w:val="17"/>
                <w:szCs w:val="17"/>
              </w:rPr>
              <w:t>Net increase (decrease) in cash and equivalents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F1D" w14:textId="77777777" w:rsidR="008E7A10" w:rsidRDefault="00E047B2">
            <w:pPr>
              <w:jc w:val="right"/>
              <w:textAlignment w:val="bottom"/>
            </w:pPr>
            <w:r>
              <w:rPr>
                <w:rFonts w:ascii="Arial" w:eastAsia="宋体" w:hAnsi="Arial" w:cs="Arial"/>
                <w:color w:val="000000"/>
                <w:sz w:val="17"/>
                <w:szCs w:val="17"/>
              </w:rPr>
              <w:t>287 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F1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F1F" w14:textId="77777777" w:rsidR="008E7A10" w:rsidRDefault="00E047B2">
            <w:pPr>
              <w:jc w:val="right"/>
              <w:textAlignment w:val="bottom"/>
            </w:pPr>
            <w:r>
              <w:rPr>
                <w:rFonts w:ascii="Arial" w:eastAsia="宋体" w:hAnsi="Arial" w:cs="Arial"/>
                <w:color w:val="000000"/>
                <w:sz w:val="17"/>
                <w:szCs w:val="17"/>
              </w:rPr>
              <w:t>(1,396)</w:t>
            </w:r>
          </w:p>
        </w:tc>
        <w:tc>
          <w:tcPr>
            <w:tcW w:w="0" w:type="auto"/>
            <w:tcBorders>
              <w:top w:val="single" w:sz="8" w:space="0" w:color="E87722"/>
            </w:tcBorders>
            <w:shd w:val="clear" w:color="auto" w:fill="auto"/>
            <w:tcMar>
              <w:top w:w="40" w:type="dxa"/>
              <w:left w:w="0" w:type="dxa"/>
              <w:bottom w:w="40" w:type="dxa"/>
              <w:right w:w="20" w:type="dxa"/>
            </w:tcMar>
            <w:vAlign w:val="bottom"/>
          </w:tcPr>
          <w:p w14:paraId="746EFF20" w14:textId="77777777" w:rsidR="008E7A10" w:rsidRDefault="008E7A10">
            <w:pPr>
              <w:jc w:val="right"/>
              <w:rPr>
                <w:rFonts w:ascii="宋体"/>
              </w:rPr>
            </w:pPr>
          </w:p>
        </w:tc>
      </w:tr>
      <w:tr w:rsidR="008E7A10" w14:paraId="746EFF2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F22" w14:textId="77777777" w:rsidR="008E7A10" w:rsidRDefault="00E047B2">
            <w:pPr>
              <w:textAlignment w:val="bottom"/>
            </w:pPr>
            <w:r>
              <w:rPr>
                <w:rFonts w:ascii="Arial" w:eastAsia="宋体" w:hAnsi="Arial" w:cs="Arial"/>
                <w:color w:val="000000"/>
                <w:sz w:val="17"/>
                <w:szCs w:val="17"/>
              </w:rPr>
              <w:t>Cash and equivalents, beginning of period</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23" w14:textId="77777777" w:rsidR="008E7A10" w:rsidRDefault="00E047B2">
            <w:pPr>
              <w:jc w:val="right"/>
              <w:textAlignment w:val="bottom"/>
            </w:pPr>
            <w:r>
              <w:rPr>
                <w:rFonts w:ascii="Arial" w:eastAsia="宋体" w:hAnsi="Arial" w:cs="Arial"/>
                <w:color w:val="000000"/>
                <w:sz w:val="17"/>
                <w:szCs w:val="17"/>
              </w:rPr>
              <w:t>8,348 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2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EFF25" w14:textId="77777777" w:rsidR="008E7A10" w:rsidRDefault="00E047B2">
            <w:pPr>
              <w:jc w:val="right"/>
              <w:textAlignment w:val="bottom"/>
            </w:pPr>
            <w:r>
              <w:rPr>
                <w:rFonts w:ascii="Arial" w:eastAsia="宋体" w:hAnsi="Arial" w:cs="Arial"/>
                <w:color w:val="000000"/>
                <w:sz w:val="17"/>
                <w:szCs w:val="17"/>
              </w:rPr>
              <w:t>4,466 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F26" w14:textId="77777777" w:rsidR="008E7A10" w:rsidRDefault="008E7A10">
            <w:pPr>
              <w:jc w:val="right"/>
              <w:rPr>
                <w:rFonts w:ascii="宋体"/>
              </w:rPr>
            </w:pPr>
          </w:p>
        </w:tc>
      </w:tr>
      <w:tr w:rsidR="008E7A10" w14:paraId="746EFF2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F28" w14:textId="77777777" w:rsidR="008E7A10" w:rsidRDefault="00E047B2">
            <w:pPr>
              <w:textAlignment w:val="bottom"/>
            </w:pPr>
            <w:r>
              <w:rPr>
                <w:rFonts w:ascii="Arial" w:eastAsia="宋体" w:hAnsi="Arial" w:cs="Arial"/>
                <w:b/>
                <w:bCs/>
                <w:color w:val="000000"/>
                <w:sz w:val="17"/>
                <w:szCs w:val="17"/>
              </w:rPr>
              <w:t>CASH AND EQUIVALENTS, END OF PERIOD</w:t>
            </w:r>
          </w:p>
        </w:tc>
        <w:tc>
          <w:tcPr>
            <w:tcW w:w="0" w:type="auto"/>
            <w:tcBorders>
              <w:top w:val="single" w:sz="8" w:space="0" w:color="E87722"/>
            </w:tcBorders>
            <w:shd w:val="clear" w:color="auto" w:fill="FFF1E7"/>
            <w:tcMar>
              <w:top w:w="40" w:type="dxa"/>
              <w:left w:w="20" w:type="dxa"/>
              <w:bottom w:w="40" w:type="dxa"/>
              <w:right w:w="0" w:type="dxa"/>
            </w:tcMar>
            <w:vAlign w:val="bottom"/>
          </w:tcPr>
          <w:p w14:paraId="746EFF2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EFF2A" w14:textId="77777777" w:rsidR="008E7A10" w:rsidRDefault="00E047B2">
            <w:pPr>
              <w:jc w:val="right"/>
              <w:textAlignment w:val="bottom"/>
            </w:pPr>
            <w:r>
              <w:rPr>
                <w:rFonts w:ascii="Arial" w:eastAsia="宋体" w:hAnsi="Arial" w:cs="Arial"/>
                <w:b/>
                <w:bCs/>
                <w:color w:val="000000"/>
                <w:sz w:val="17"/>
                <w:szCs w:val="17"/>
              </w:rPr>
              <w:t>8,635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F2B"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F2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F2D" w14:textId="77777777" w:rsidR="008E7A10" w:rsidRDefault="00E047B2">
            <w:pPr>
              <w:jc w:val="right"/>
              <w:textAlignment w:val="bottom"/>
            </w:pPr>
            <w:r>
              <w:rPr>
                <w:rFonts w:ascii="Arial" w:eastAsia="宋体" w:hAnsi="Arial" w:cs="Arial"/>
                <w:b/>
                <w:bCs/>
                <w:color w:val="000000"/>
                <w:sz w:val="17"/>
                <w:szCs w:val="17"/>
              </w:rPr>
              <w:t>3,070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F2E" w14:textId="77777777" w:rsidR="008E7A10" w:rsidRDefault="008E7A10">
            <w:pPr>
              <w:jc w:val="right"/>
              <w:rPr>
                <w:rFonts w:ascii="宋体"/>
              </w:rPr>
            </w:pPr>
          </w:p>
        </w:tc>
      </w:tr>
      <w:tr w:rsidR="008E7A10" w14:paraId="746EFF3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F30" w14:textId="77777777" w:rsidR="008E7A10" w:rsidRDefault="00E047B2">
            <w:pPr>
              <w:textAlignment w:val="bottom"/>
            </w:pPr>
            <w:r>
              <w:rPr>
                <w:rFonts w:ascii="Arial" w:eastAsia="宋体" w:hAnsi="Arial" w:cs="Arial"/>
                <w:b/>
                <w:bCs/>
                <w:color w:val="000000"/>
                <w:sz w:val="17"/>
                <w:szCs w:val="17"/>
              </w:rPr>
              <w:t>Supplemental disclosure of cash flow information:</w:t>
            </w:r>
          </w:p>
        </w:tc>
        <w:tc>
          <w:tcPr>
            <w:tcW w:w="0" w:type="auto"/>
            <w:gridSpan w:val="3"/>
            <w:tcBorders>
              <w:top w:val="single" w:sz="8" w:space="0" w:color="E87722"/>
            </w:tcBorders>
            <w:shd w:val="clear" w:color="auto" w:fill="FFF1E7"/>
            <w:tcMar>
              <w:top w:w="0" w:type="dxa"/>
              <w:left w:w="20" w:type="dxa"/>
              <w:bottom w:w="0" w:type="dxa"/>
              <w:right w:w="20" w:type="dxa"/>
            </w:tcMar>
          </w:tcPr>
          <w:p w14:paraId="746EFF3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F32" w14:textId="77777777" w:rsidR="008E7A10" w:rsidRDefault="008E7A10">
            <w:pPr>
              <w:rPr>
                <w:rFonts w:ascii="宋体"/>
              </w:rPr>
            </w:pPr>
          </w:p>
        </w:tc>
      </w:tr>
      <w:tr w:rsidR="008E7A10" w14:paraId="746EFF3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F34" w14:textId="77777777" w:rsidR="008E7A10" w:rsidRDefault="00E047B2">
            <w:pPr>
              <w:textAlignment w:val="bottom"/>
            </w:pPr>
            <w:r>
              <w:rPr>
                <w:rFonts w:ascii="Arial" w:eastAsia="宋体" w:hAnsi="Arial" w:cs="Arial"/>
                <w:color w:val="000000"/>
                <w:sz w:val="17"/>
                <w:szCs w:val="17"/>
              </w:rPr>
              <w:t>Non-cash additions to property, plant and equipment</w:t>
            </w:r>
          </w:p>
        </w:tc>
        <w:tc>
          <w:tcPr>
            <w:tcW w:w="0" w:type="auto"/>
            <w:tcBorders>
              <w:top w:val="single" w:sz="8" w:space="0" w:color="808080"/>
            </w:tcBorders>
            <w:shd w:val="clear" w:color="auto" w:fill="FFF1E7"/>
            <w:tcMar>
              <w:top w:w="40" w:type="dxa"/>
              <w:left w:w="20" w:type="dxa"/>
              <w:bottom w:w="40" w:type="dxa"/>
              <w:right w:w="0" w:type="dxa"/>
            </w:tcMar>
            <w:vAlign w:val="bottom"/>
          </w:tcPr>
          <w:p w14:paraId="746EFF3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EFF36" w14:textId="77777777" w:rsidR="008E7A10" w:rsidRDefault="00E047B2">
            <w:pPr>
              <w:jc w:val="right"/>
              <w:textAlignment w:val="bottom"/>
            </w:pPr>
            <w:r>
              <w:rPr>
                <w:rFonts w:ascii="Arial" w:eastAsia="宋体" w:hAnsi="Arial" w:cs="Arial"/>
                <w:color w:val="000000"/>
                <w:sz w:val="17"/>
                <w:szCs w:val="17"/>
              </w:rPr>
              <w:t>118 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37"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EFF3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EFF39" w14:textId="77777777" w:rsidR="008E7A10" w:rsidRDefault="00E047B2">
            <w:pPr>
              <w:jc w:val="right"/>
              <w:textAlignment w:val="bottom"/>
            </w:pPr>
            <w:r>
              <w:rPr>
                <w:rFonts w:ascii="Arial" w:eastAsia="宋体" w:hAnsi="Arial" w:cs="Arial"/>
                <w:color w:val="000000"/>
                <w:sz w:val="17"/>
                <w:szCs w:val="17"/>
              </w:rPr>
              <w:t>86 </w:t>
            </w:r>
          </w:p>
        </w:tc>
        <w:tc>
          <w:tcPr>
            <w:tcW w:w="0" w:type="auto"/>
            <w:tcBorders>
              <w:top w:val="single" w:sz="8" w:space="0" w:color="808080"/>
            </w:tcBorders>
            <w:shd w:val="clear" w:color="auto" w:fill="auto"/>
            <w:tcMar>
              <w:top w:w="40" w:type="dxa"/>
              <w:left w:w="0" w:type="dxa"/>
              <w:bottom w:w="40" w:type="dxa"/>
              <w:right w:w="20" w:type="dxa"/>
            </w:tcMar>
            <w:vAlign w:val="bottom"/>
          </w:tcPr>
          <w:p w14:paraId="746EFF3A" w14:textId="77777777" w:rsidR="008E7A10" w:rsidRDefault="008E7A10">
            <w:pPr>
              <w:jc w:val="right"/>
              <w:rPr>
                <w:rFonts w:ascii="宋体"/>
              </w:rPr>
            </w:pPr>
          </w:p>
        </w:tc>
      </w:tr>
      <w:tr w:rsidR="008E7A10" w14:paraId="746EFF41"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EFF3C" w14:textId="77777777" w:rsidR="008E7A10" w:rsidRDefault="00E047B2">
            <w:pPr>
              <w:textAlignment w:val="bottom"/>
            </w:pPr>
            <w:r>
              <w:rPr>
                <w:rFonts w:ascii="Arial" w:eastAsia="宋体" w:hAnsi="Arial" w:cs="Arial"/>
                <w:color w:val="000000"/>
                <w:sz w:val="17"/>
                <w:szCs w:val="17"/>
              </w:rPr>
              <w:t>Dividends declared and not paid</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EFF3D" w14:textId="77777777" w:rsidR="008E7A10" w:rsidRDefault="00E047B2">
            <w:pPr>
              <w:jc w:val="right"/>
              <w:textAlignment w:val="bottom"/>
            </w:pPr>
            <w:r>
              <w:rPr>
                <w:rFonts w:ascii="Arial" w:eastAsia="宋体" w:hAnsi="Arial" w:cs="Arial"/>
                <w:color w:val="000000"/>
                <w:sz w:val="17"/>
                <w:szCs w:val="17"/>
              </w:rPr>
              <w:t>435 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EFF3E"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EFF3F" w14:textId="77777777" w:rsidR="008E7A10" w:rsidRDefault="00E047B2">
            <w:pPr>
              <w:jc w:val="right"/>
              <w:textAlignment w:val="bottom"/>
            </w:pPr>
            <w:r>
              <w:rPr>
                <w:rFonts w:ascii="Arial" w:eastAsia="宋体" w:hAnsi="Arial" w:cs="Arial"/>
                <w:color w:val="000000"/>
                <w:sz w:val="17"/>
                <w:szCs w:val="17"/>
              </w:rPr>
              <w:t>384 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EFF40" w14:textId="77777777" w:rsidR="008E7A10" w:rsidRDefault="008E7A10">
            <w:pPr>
              <w:jc w:val="right"/>
              <w:rPr>
                <w:rFonts w:ascii="宋体"/>
              </w:rPr>
            </w:pPr>
          </w:p>
        </w:tc>
      </w:tr>
    </w:tbl>
    <w:p w14:paraId="746EFF42" w14:textId="77777777" w:rsidR="008E7A10" w:rsidRDefault="00E047B2">
      <w:pPr>
        <w:spacing w:before="120" w:after="120"/>
      </w:pPr>
      <w:r>
        <w:rPr>
          <w:rFonts w:ascii="Arial" w:eastAsia="宋体" w:hAnsi="Arial" w:cs="Arial"/>
          <w:i/>
          <w:iCs/>
          <w:color w:val="000000"/>
          <w:sz w:val="17"/>
          <w:szCs w:val="17"/>
        </w:rPr>
        <w:t xml:space="preserve">The accompanying Notes to the Unaudited Condensed Consolidated Financial </w:t>
      </w:r>
      <w:r>
        <w:rPr>
          <w:rFonts w:ascii="Arial" w:eastAsia="宋体" w:hAnsi="Arial" w:cs="Arial"/>
          <w:i/>
          <w:iCs/>
          <w:color w:val="000000"/>
          <w:sz w:val="17"/>
          <w:szCs w:val="17"/>
        </w:rPr>
        <w:t>Statements are an integral part of this statement.</w:t>
      </w:r>
    </w:p>
    <w:p w14:paraId="746EFF43" w14:textId="77777777" w:rsidR="008E7A10" w:rsidRDefault="00E047B2">
      <w:pPr>
        <w:spacing w:before="120" w:after="120"/>
      </w:pPr>
      <w:r>
        <w:rPr>
          <w:rFonts w:ascii="Arial" w:eastAsia="宋体" w:hAnsi="Arial" w:cs="Arial"/>
          <w:color w:val="E87722"/>
          <w:sz w:val="17"/>
          <w:szCs w:val="17"/>
        </w:rPr>
        <w:t>4</w:t>
      </w:r>
      <w:r>
        <w:rPr>
          <w:rFonts w:ascii="sans-serif" w:eastAsia="sans-serif" w:hAnsi="sans-serif" w:cs="sans-serif"/>
          <w:color w:val="000000"/>
          <w:sz w:val="17"/>
          <w:szCs w:val="17"/>
        </w:rPr>
        <w:t xml:space="preserve"> </w:t>
      </w:r>
    </w:p>
    <w:p w14:paraId="746EFF44" w14:textId="77777777" w:rsidR="008E7A10" w:rsidRDefault="00E047B2">
      <w:r>
        <w:pict w14:anchorId="746F200C">
          <v:rect id="_x0000_i1030" style="width:415.3pt;height:1.5pt" o:hralign="center" o:hrstd="t" o:hr="t" fillcolor="#a0a0a0" stroked="f"/>
        </w:pict>
      </w:r>
    </w:p>
    <w:p w14:paraId="746EFF45" w14:textId="77777777" w:rsidR="008E7A10" w:rsidRDefault="008E7A10"/>
    <w:p w14:paraId="746EFF46" w14:textId="77777777" w:rsidR="008E7A10" w:rsidRDefault="00E047B2">
      <w:hyperlink r:id="rId47" w:anchor="i31a624617c6c41b38f8f700fa0df5bde_7" w:history="1">
        <w:r>
          <w:rPr>
            <w:rStyle w:val="a5"/>
            <w:rFonts w:ascii="sans-serif" w:eastAsia="sans-serif" w:hAnsi="sans-serif" w:cs="sans-serif"/>
            <w:sz w:val="17"/>
            <w:szCs w:val="17"/>
          </w:rPr>
          <w:t>Table of Contents</w:t>
        </w:r>
      </w:hyperlink>
    </w:p>
    <w:p w14:paraId="746EFF47" w14:textId="77777777" w:rsidR="008E7A10" w:rsidRDefault="008E7A10"/>
    <w:p w14:paraId="746EFF48" w14:textId="77777777" w:rsidR="008E7A10" w:rsidRDefault="00E047B2">
      <w:pPr>
        <w:spacing w:before="300"/>
      </w:pPr>
      <w:r>
        <w:rPr>
          <w:rFonts w:ascii="sans-serif" w:eastAsia="sans-serif" w:hAnsi="sans-serif" w:cs="sans-serif"/>
          <w:b/>
          <w:bCs/>
          <w:color w:val="E87722"/>
          <w:sz w:val="36"/>
          <w:szCs w:val="36"/>
        </w:rPr>
        <w:t>NIKE, INC.</w:t>
      </w:r>
    </w:p>
    <w:p w14:paraId="746EFF49" w14:textId="77777777" w:rsidR="008E7A10" w:rsidRDefault="00E047B2">
      <w:pPr>
        <w:spacing w:before="120" w:after="120"/>
      </w:pPr>
      <w:r>
        <w:rPr>
          <w:rFonts w:ascii="sans-serif" w:eastAsia="sans-serif" w:hAnsi="sans-serif" w:cs="sans-serif"/>
          <w:b/>
          <w:bCs/>
          <w:color w:val="000000"/>
          <w:sz w:val="28"/>
          <w:szCs w:val="28"/>
        </w:rPr>
        <w:t>UNAUDITED CONDENSED CONSOLIDATED STATEMENTS OF SHAREHOLDERS' EQUITY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8E7A10" w14:paraId="746EFF68" w14:textId="77777777">
        <w:trPr>
          <w:jc w:val="center"/>
        </w:trPr>
        <w:tc>
          <w:tcPr>
            <w:tcW w:w="50" w:type="pct"/>
            <w:shd w:val="clear" w:color="auto" w:fill="auto"/>
          </w:tcPr>
          <w:p w14:paraId="746EFF4A" w14:textId="77777777" w:rsidR="008E7A10" w:rsidRDefault="008E7A10">
            <w:pPr>
              <w:rPr>
                <w:rFonts w:ascii="宋体"/>
              </w:rPr>
            </w:pPr>
          </w:p>
        </w:tc>
        <w:tc>
          <w:tcPr>
            <w:tcW w:w="1560" w:type="pct"/>
            <w:shd w:val="clear" w:color="auto" w:fill="auto"/>
          </w:tcPr>
          <w:p w14:paraId="746EFF4B" w14:textId="77777777" w:rsidR="008E7A10" w:rsidRDefault="008E7A10">
            <w:pPr>
              <w:rPr>
                <w:rFonts w:ascii="宋体"/>
              </w:rPr>
            </w:pPr>
          </w:p>
        </w:tc>
        <w:tc>
          <w:tcPr>
            <w:tcW w:w="5" w:type="pct"/>
            <w:shd w:val="clear" w:color="auto" w:fill="auto"/>
          </w:tcPr>
          <w:p w14:paraId="746EFF4C" w14:textId="77777777" w:rsidR="008E7A10" w:rsidRDefault="008E7A10">
            <w:pPr>
              <w:rPr>
                <w:rFonts w:ascii="宋体"/>
              </w:rPr>
            </w:pPr>
          </w:p>
        </w:tc>
        <w:tc>
          <w:tcPr>
            <w:tcW w:w="50" w:type="pct"/>
            <w:shd w:val="clear" w:color="auto" w:fill="auto"/>
          </w:tcPr>
          <w:p w14:paraId="746EFF4D" w14:textId="77777777" w:rsidR="008E7A10" w:rsidRDefault="008E7A10">
            <w:pPr>
              <w:rPr>
                <w:rFonts w:ascii="宋体"/>
              </w:rPr>
            </w:pPr>
          </w:p>
        </w:tc>
        <w:tc>
          <w:tcPr>
            <w:tcW w:w="285" w:type="pct"/>
            <w:shd w:val="clear" w:color="auto" w:fill="auto"/>
          </w:tcPr>
          <w:p w14:paraId="746EFF4E" w14:textId="77777777" w:rsidR="008E7A10" w:rsidRDefault="008E7A10">
            <w:pPr>
              <w:rPr>
                <w:rFonts w:ascii="宋体"/>
              </w:rPr>
            </w:pPr>
          </w:p>
        </w:tc>
        <w:tc>
          <w:tcPr>
            <w:tcW w:w="5" w:type="pct"/>
            <w:shd w:val="clear" w:color="auto" w:fill="auto"/>
          </w:tcPr>
          <w:p w14:paraId="746EFF4F" w14:textId="77777777" w:rsidR="008E7A10" w:rsidRDefault="008E7A10">
            <w:pPr>
              <w:rPr>
                <w:rFonts w:ascii="宋体"/>
              </w:rPr>
            </w:pPr>
          </w:p>
        </w:tc>
        <w:tc>
          <w:tcPr>
            <w:tcW w:w="50" w:type="pct"/>
            <w:shd w:val="clear" w:color="auto" w:fill="auto"/>
          </w:tcPr>
          <w:p w14:paraId="746EFF50" w14:textId="77777777" w:rsidR="008E7A10" w:rsidRDefault="008E7A10">
            <w:pPr>
              <w:rPr>
                <w:rFonts w:ascii="宋体"/>
              </w:rPr>
            </w:pPr>
          </w:p>
        </w:tc>
        <w:tc>
          <w:tcPr>
            <w:tcW w:w="346" w:type="pct"/>
            <w:shd w:val="clear" w:color="auto" w:fill="auto"/>
          </w:tcPr>
          <w:p w14:paraId="746EFF51" w14:textId="77777777" w:rsidR="008E7A10" w:rsidRDefault="008E7A10">
            <w:pPr>
              <w:rPr>
                <w:rFonts w:ascii="宋体"/>
              </w:rPr>
            </w:pPr>
          </w:p>
        </w:tc>
        <w:tc>
          <w:tcPr>
            <w:tcW w:w="5" w:type="pct"/>
            <w:shd w:val="clear" w:color="auto" w:fill="auto"/>
          </w:tcPr>
          <w:p w14:paraId="746EFF52" w14:textId="77777777" w:rsidR="008E7A10" w:rsidRDefault="008E7A10">
            <w:pPr>
              <w:rPr>
                <w:rFonts w:ascii="宋体"/>
              </w:rPr>
            </w:pPr>
          </w:p>
        </w:tc>
        <w:tc>
          <w:tcPr>
            <w:tcW w:w="5" w:type="pct"/>
            <w:shd w:val="clear" w:color="auto" w:fill="auto"/>
          </w:tcPr>
          <w:p w14:paraId="746EFF53" w14:textId="77777777" w:rsidR="008E7A10" w:rsidRDefault="008E7A10">
            <w:pPr>
              <w:rPr>
                <w:rFonts w:ascii="宋体"/>
              </w:rPr>
            </w:pPr>
          </w:p>
        </w:tc>
        <w:tc>
          <w:tcPr>
            <w:tcW w:w="28" w:type="pct"/>
            <w:shd w:val="clear" w:color="auto" w:fill="auto"/>
          </w:tcPr>
          <w:p w14:paraId="746EFF54" w14:textId="77777777" w:rsidR="008E7A10" w:rsidRDefault="008E7A10">
            <w:pPr>
              <w:rPr>
                <w:rFonts w:ascii="宋体"/>
              </w:rPr>
            </w:pPr>
          </w:p>
        </w:tc>
        <w:tc>
          <w:tcPr>
            <w:tcW w:w="5" w:type="pct"/>
            <w:shd w:val="clear" w:color="auto" w:fill="auto"/>
          </w:tcPr>
          <w:p w14:paraId="746EFF55" w14:textId="77777777" w:rsidR="008E7A10" w:rsidRDefault="008E7A10">
            <w:pPr>
              <w:rPr>
                <w:rFonts w:ascii="宋体"/>
              </w:rPr>
            </w:pPr>
          </w:p>
        </w:tc>
        <w:tc>
          <w:tcPr>
            <w:tcW w:w="50" w:type="pct"/>
            <w:shd w:val="clear" w:color="auto" w:fill="auto"/>
          </w:tcPr>
          <w:p w14:paraId="746EFF56" w14:textId="77777777" w:rsidR="008E7A10" w:rsidRDefault="008E7A10">
            <w:pPr>
              <w:rPr>
                <w:rFonts w:ascii="宋体"/>
              </w:rPr>
            </w:pPr>
          </w:p>
        </w:tc>
        <w:tc>
          <w:tcPr>
            <w:tcW w:w="285" w:type="pct"/>
            <w:shd w:val="clear" w:color="auto" w:fill="auto"/>
          </w:tcPr>
          <w:p w14:paraId="746EFF57" w14:textId="77777777" w:rsidR="008E7A10" w:rsidRDefault="008E7A10">
            <w:pPr>
              <w:rPr>
                <w:rFonts w:ascii="宋体"/>
              </w:rPr>
            </w:pPr>
          </w:p>
        </w:tc>
        <w:tc>
          <w:tcPr>
            <w:tcW w:w="5" w:type="pct"/>
            <w:shd w:val="clear" w:color="auto" w:fill="auto"/>
          </w:tcPr>
          <w:p w14:paraId="746EFF58" w14:textId="77777777" w:rsidR="008E7A10" w:rsidRDefault="008E7A10">
            <w:pPr>
              <w:rPr>
                <w:rFonts w:ascii="宋体"/>
              </w:rPr>
            </w:pPr>
          </w:p>
        </w:tc>
        <w:tc>
          <w:tcPr>
            <w:tcW w:w="50" w:type="pct"/>
            <w:shd w:val="clear" w:color="auto" w:fill="auto"/>
          </w:tcPr>
          <w:p w14:paraId="746EFF59" w14:textId="77777777" w:rsidR="008E7A10" w:rsidRDefault="008E7A10">
            <w:pPr>
              <w:rPr>
                <w:rFonts w:ascii="宋体"/>
              </w:rPr>
            </w:pPr>
          </w:p>
        </w:tc>
        <w:tc>
          <w:tcPr>
            <w:tcW w:w="323" w:type="pct"/>
            <w:shd w:val="clear" w:color="auto" w:fill="auto"/>
          </w:tcPr>
          <w:p w14:paraId="746EFF5A" w14:textId="77777777" w:rsidR="008E7A10" w:rsidRDefault="008E7A10">
            <w:pPr>
              <w:rPr>
                <w:rFonts w:ascii="宋体"/>
              </w:rPr>
            </w:pPr>
          </w:p>
        </w:tc>
        <w:tc>
          <w:tcPr>
            <w:tcW w:w="5" w:type="pct"/>
            <w:shd w:val="clear" w:color="auto" w:fill="auto"/>
          </w:tcPr>
          <w:p w14:paraId="746EFF5B" w14:textId="77777777" w:rsidR="008E7A10" w:rsidRDefault="008E7A10">
            <w:pPr>
              <w:rPr>
                <w:rFonts w:ascii="宋体"/>
              </w:rPr>
            </w:pPr>
          </w:p>
        </w:tc>
        <w:tc>
          <w:tcPr>
            <w:tcW w:w="50" w:type="pct"/>
            <w:shd w:val="clear" w:color="auto" w:fill="auto"/>
          </w:tcPr>
          <w:p w14:paraId="746EFF5C" w14:textId="77777777" w:rsidR="008E7A10" w:rsidRDefault="008E7A10">
            <w:pPr>
              <w:rPr>
                <w:rFonts w:ascii="宋体"/>
              </w:rPr>
            </w:pPr>
          </w:p>
        </w:tc>
        <w:tc>
          <w:tcPr>
            <w:tcW w:w="385" w:type="pct"/>
            <w:shd w:val="clear" w:color="auto" w:fill="auto"/>
          </w:tcPr>
          <w:p w14:paraId="746EFF5D" w14:textId="77777777" w:rsidR="008E7A10" w:rsidRDefault="008E7A10">
            <w:pPr>
              <w:rPr>
                <w:rFonts w:ascii="宋体"/>
              </w:rPr>
            </w:pPr>
          </w:p>
        </w:tc>
        <w:tc>
          <w:tcPr>
            <w:tcW w:w="5" w:type="pct"/>
            <w:shd w:val="clear" w:color="auto" w:fill="auto"/>
          </w:tcPr>
          <w:p w14:paraId="746EFF5E" w14:textId="77777777" w:rsidR="008E7A10" w:rsidRDefault="008E7A10">
            <w:pPr>
              <w:rPr>
                <w:rFonts w:ascii="宋体"/>
              </w:rPr>
            </w:pPr>
          </w:p>
        </w:tc>
        <w:tc>
          <w:tcPr>
            <w:tcW w:w="50" w:type="pct"/>
            <w:shd w:val="clear" w:color="auto" w:fill="auto"/>
          </w:tcPr>
          <w:p w14:paraId="746EFF5F" w14:textId="77777777" w:rsidR="008E7A10" w:rsidRDefault="008E7A10">
            <w:pPr>
              <w:rPr>
                <w:rFonts w:ascii="宋体"/>
              </w:rPr>
            </w:pPr>
          </w:p>
        </w:tc>
        <w:tc>
          <w:tcPr>
            <w:tcW w:w="586" w:type="pct"/>
            <w:shd w:val="clear" w:color="auto" w:fill="auto"/>
          </w:tcPr>
          <w:p w14:paraId="746EFF60" w14:textId="77777777" w:rsidR="008E7A10" w:rsidRDefault="008E7A10">
            <w:pPr>
              <w:rPr>
                <w:rFonts w:ascii="宋体"/>
              </w:rPr>
            </w:pPr>
          </w:p>
        </w:tc>
        <w:tc>
          <w:tcPr>
            <w:tcW w:w="5" w:type="pct"/>
            <w:shd w:val="clear" w:color="auto" w:fill="auto"/>
          </w:tcPr>
          <w:p w14:paraId="746EFF61" w14:textId="77777777" w:rsidR="008E7A10" w:rsidRDefault="008E7A10">
            <w:pPr>
              <w:rPr>
                <w:rFonts w:ascii="宋体"/>
              </w:rPr>
            </w:pPr>
          </w:p>
        </w:tc>
        <w:tc>
          <w:tcPr>
            <w:tcW w:w="50" w:type="pct"/>
            <w:shd w:val="clear" w:color="auto" w:fill="auto"/>
          </w:tcPr>
          <w:p w14:paraId="746EFF62" w14:textId="77777777" w:rsidR="008E7A10" w:rsidRDefault="008E7A10">
            <w:pPr>
              <w:rPr>
                <w:rFonts w:ascii="宋体"/>
              </w:rPr>
            </w:pPr>
          </w:p>
        </w:tc>
        <w:tc>
          <w:tcPr>
            <w:tcW w:w="370" w:type="pct"/>
            <w:shd w:val="clear" w:color="auto" w:fill="auto"/>
          </w:tcPr>
          <w:p w14:paraId="746EFF63" w14:textId="77777777" w:rsidR="008E7A10" w:rsidRDefault="008E7A10">
            <w:pPr>
              <w:rPr>
                <w:rFonts w:ascii="宋体"/>
              </w:rPr>
            </w:pPr>
          </w:p>
        </w:tc>
        <w:tc>
          <w:tcPr>
            <w:tcW w:w="5" w:type="pct"/>
            <w:shd w:val="clear" w:color="auto" w:fill="auto"/>
          </w:tcPr>
          <w:p w14:paraId="746EFF64" w14:textId="77777777" w:rsidR="008E7A10" w:rsidRDefault="008E7A10">
            <w:pPr>
              <w:rPr>
                <w:rFonts w:ascii="宋体"/>
              </w:rPr>
            </w:pPr>
          </w:p>
        </w:tc>
        <w:tc>
          <w:tcPr>
            <w:tcW w:w="50" w:type="pct"/>
            <w:shd w:val="clear" w:color="auto" w:fill="auto"/>
          </w:tcPr>
          <w:p w14:paraId="746EFF65" w14:textId="77777777" w:rsidR="008E7A10" w:rsidRDefault="008E7A10">
            <w:pPr>
              <w:rPr>
                <w:rFonts w:ascii="宋体"/>
              </w:rPr>
            </w:pPr>
          </w:p>
        </w:tc>
        <w:tc>
          <w:tcPr>
            <w:tcW w:w="323" w:type="pct"/>
            <w:shd w:val="clear" w:color="auto" w:fill="auto"/>
          </w:tcPr>
          <w:p w14:paraId="746EFF66" w14:textId="77777777" w:rsidR="008E7A10" w:rsidRDefault="008E7A10">
            <w:pPr>
              <w:rPr>
                <w:rFonts w:ascii="宋体"/>
              </w:rPr>
            </w:pPr>
          </w:p>
        </w:tc>
        <w:tc>
          <w:tcPr>
            <w:tcW w:w="5" w:type="pct"/>
            <w:shd w:val="clear" w:color="auto" w:fill="auto"/>
          </w:tcPr>
          <w:p w14:paraId="746EFF67" w14:textId="77777777" w:rsidR="008E7A10" w:rsidRDefault="008E7A10">
            <w:pPr>
              <w:rPr>
                <w:rFonts w:ascii="宋体"/>
              </w:rPr>
            </w:pPr>
          </w:p>
        </w:tc>
      </w:tr>
      <w:tr w:rsidR="008E7A10" w14:paraId="746EFF6F" w14:textId="77777777">
        <w:trPr>
          <w:trHeight w:val="240"/>
          <w:jc w:val="center"/>
        </w:trPr>
        <w:tc>
          <w:tcPr>
            <w:tcW w:w="0" w:type="auto"/>
            <w:gridSpan w:val="3"/>
            <w:shd w:val="clear" w:color="auto" w:fill="auto"/>
            <w:tcMar>
              <w:top w:w="0" w:type="dxa"/>
              <w:left w:w="20" w:type="dxa"/>
              <w:bottom w:w="0" w:type="dxa"/>
              <w:right w:w="20" w:type="dxa"/>
            </w:tcMar>
          </w:tcPr>
          <w:p w14:paraId="746EFF69" w14:textId="77777777" w:rsidR="008E7A10" w:rsidRDefault="008E7A10">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746EFF6A" w14:textId="77777777" w:rsidR="008E7A10" w:rsidRDefault="00E047B2">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746EFF6B" w14:textId="77777777" w:rsidR="008E7A10" w:rsidRDefault="00E047B2">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746EFF6C" w14:textId="77777777" w:rsidR="008E7A10" w:rsidRDefault="00E047B2">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746EFF6D" w14:textId="77777777" w:rsidR="008E7A10" w:rsidRDefault="00E047B2">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shd w:val="clear" w:color="auto" w:fill="auto"/>
            <w:tcMar>
              <w:top w:w="40" w:type="dxa"/>
              <w:left w:w="20" w:type="dxa"/>
              <w:bottom w:w="40" w:type="dxa"/>
              <w:right w:w="20" w:type="dxa"/>
            </w:tcMar>
            <w:vAlign w:val="bottom"/>
          </w:tcPr>
          <w:p w14:paraId="746EFF6E" w14:textId="77777777" w:rsidR="008E7A10" w:rsidRDefault="00E047B2">
            <w:pPr>
              <w:jc w:val="right"/>
              <w:textAlignment w:val="bottom"/>
            </w:pPr>
            <w:r>
              <w:rPr>
                <w:rFonts w:ascii="sans-serif" w:eastAsia="sans-serif" w:hAnsi="sans-serif" w:cs="sans-serif"/>
                <w:b/>
                <w:bCs/>
                <w:color w:val="000000"/>
                <w:sz w:val="17"/>
                <w:szCs w:val="17"/>
              </w:rPr>
              <w:t>TOTAL</w:t>
            </w:r>
          </w:p>
        </w:tc>
      </w:tr>
      <w:tr w:rsidR="008E7A10" w14:paraId="746EFF78" w14:textId="77777777">
        <w:trPr>
          <w:trHeight w:val="240"/>
          <w:jc w:val="center"/>
        </w:trPr>
        <w:tc>
          <w:tcPr>
            <w:tcW w:w="0" w:type="auto"/>
            <w:gridSpan w:val="3"/>
            <w:shd w:val="clear" w:color="auto" w:fill="auto"/>
            <w:tcMar>
              <w:top w:w="0" w:type="dxa"/>
              <w:left w:w="20" w:type="dxa"/>
              <w:bottom w:w="0" w:type="dxa"/>
              <w:right w:w="20" w:type="dxa"/>
            </w:tcMar>
          </w:tcPr>
          <w:p w14:paraId="746EFF70"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EFF71" w14:textId="77777777" w:rsidR="008E7A10" w:rsidRDefault="00E047B2">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tcPr>
          <w:p w14:paraId="746EFF72"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EFF73" w14:textId="77777777" w:rsidR="008E7A10" w:rsidRDefault="00E047B2">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746EFF74"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EFF75"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EFF76"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EFF77" w14:textId="77777777" w:rsidR="008E7A10" w:rsidRDefault="008E7A10">
            <w:pPr>
              <w:jc w:val="right"/>
              <w:rPr>
                <w:rFonts w:ascii="宋体"/>
              </w:rPr>
            </w:pPr>
          </w:p>
        </w:tc>
      </w:tr>
      <w:tr w:rsidR="008E7A10" w14:paraId="746EFF83" w14:textId="77777777">
        <w:trPr>
          <w:trHeight w:val="240"/>
          <w:jc w:val="center"/>
        </w:trPr>
        <w:tc>
          <w:tcPr>
            <w:tcW w:w="0" w:type="auto"/>
            <w:gridSpan w:val="3"/>
            <w:shd w:val="clear" w:color="auto" w:fill="auto"/>
            <w:tcMar>
              <w:top w:w="40" w:type="dxa"/>
              <w:left w:w="20" w:type="dxa"/>
              <w:bottom w:w="40" w:type="dxa"/>
              <w:right w:w="20" w:type="dxa"/>
            </w:tcMar>
            <w:vAlign w:val="bottom"/>
          </w:tcPr>
          <w:p w14:paraId="746EFF79" w14:textId="77777777" w:rsidR="008E7A10" w:rsidRDefault="00E047B2">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F7A" w14:textId="77777777" w:rsidR="008E7A10" w:rsidRDefault="00E047B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F7B" w14:textId="77777777" w:rsidR="008E7A10" w:rsidRDefault="00E047B2">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tcPr>
          <w:p w14:paraId="746EFF7C"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F7D" w14:textId="77777777" w:rsidR="008E7A10" w:rsidRDefault="00E047B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F7E" w14:textId="77777777" w:rsidR="008E7A10" w:rsidRDefault="00E047B2">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746EFF7F"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EFF80"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EFF81"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EFF82" w14:textId="77777777" w:rsidR="008E7A10" w:rsidRDefault="008E7A10">
            <w:pPr>
              <w:jc w:val="right"/>
              <w:rPr>
                <w:rFonts w:ascii="宋体"/>
              </w:rPr>
            </w:pPr>
          </w:p>
        </w:tc>
      </w:tr>
      <w:tr w:rsidR="008E7A10" w14:paraId="746EFF9C" w14:textId="77777777">
        <w:trPr>
          <w:jc w:val="center"/>
        </w:trPr>
        <w:tc>
          <w:tcPr>
            <w:tcW w:w="0" w:type="auto"/>
            <w:gridSpan w:val="3"/>
            <w:shd w:val="clear" w:color="auto" w:fill="auto"/>
            <w:tcMar>
              <w:top w:w="40" w:type="dxa"/>
              <w:left w:w="20" w:type="dxa"/>
              <w:bottom w:w="40" w:type="dxa"/>
              <w:right w:w="20" w:type="dxa"/>
            </w:tcMar>
            <w:vAlign w:val="bottom"/>
          </w:tcPr>
          <w:p w14:paraId="746EFF84" w14:textId="77777777" w:rsidR="008E7A10" w:rsidRDefault="00E047B2">
            <w:pPr>
              <w:textAlignment w:val="bottom"/>
            </w:pPr>
            <w:r>
              <w:rPr>
                <w:rFonts w:ascii="Arial" w:eastAsia="宋体" w:hAnsi="Arial" w:cs="Arial"/>
                <w:b/>
                <w:bCs/>
                <w:color w:val="000000"/>
                <w:sz w:val="17"/>
                <w:szCs w:val="17"/>
              </w:rPr>
              <w:t>Balance at August 31, 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F85" w14:textId="77777777" w:rsidR="008E7A10" w:rsidRDefault="00E047B2">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F86"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F8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F88" w14:textId="77777777" w:rsidR="008E7A10" w:rsidRDefault="00E047B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F89"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EFF8A"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EFF8B" w14:textId="77777777" w:rsidR="008E7A10" w:rsidRDefault="00E047B2">
            <w:pPr>
              <w:jc w:val="right"/>
              <w:textAlignment w:val="bottom"/>
            </w:pPr>
            <w:r>
              <w:rPr>
                <w:rFonts w:ascii="Arial" w:eastAsia="宋体" w:hAnsi="Arial" w:cs="Arial"/>
                <w:b/>
                <w:bCs/>
                <w:color w:val="000000"/>
                <w:sz w:val="17"/>
                <w:szCs w:val="17"/>
              </w:rPr>
              <w:t>1,250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F8C"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F8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F8E"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F8F"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F9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F91" w14:textId="77777777" w:rsidR="008E7A10" w:rsidRDefault="00E047B2">
            <w:pPr>
              <w:jc w:val="right"/>
              <w:textAlignment w:val="bottom"/>
            </w:pPr>
            <w:r>
              <w:rPr>
                <w:rFonts w:ascii="Arial" w:eastAsia="宋体" w:hAnsi="Arial" w:cs="Arial"/>
                <w:b/>
                <w:bCs/>
                <w:color w:val="000000"/>
                <w:sz w:val="17"/>
                <w:szCs w:val="17"/>
              </w:rPr>
              <w:t>8,695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F92"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F9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F94" w14:textId="77777777" w:rsidR="008E7A10" w:rsidRDefault="00E047B2">
            <w:pPr>
              <w:jc w:val="right"/>
              <w:textAlignment w:val="bottom"/>
            </w:pPr>
            <w:r>
              <w:rPr>
                <w:rFonts w:ascii="Arial" w:eastAsia="宋体" w:hAnsi="Arial" w:cs="Arial"/>
                <w:b/>
                <w:bCs/>
                <w:color w:val="000000"/>
                <w:sz w:val="17"/>
                <w:szCs w:val="17"/>
              </w:rPr>
              <w:t>(401)</w:t>
            </w:r>
          </w:p>
        </w:tc>
        <w:tc>
          <w:tcPr>
            <w:tcW w:w="0" w:type="auto"/>
            <w:tcBorders>
              <w:top w:val="single" w:sz="8" w:space="0" w:color="E87722"/>
            </w:tcBorders>
            <w:shd w:val="clear" w:color="auto" w:fill="auto"/>
            <w:tcMar>
              <w:top w:w="40" w:type="dxa"/>
              <w:left w:w="0" w:type="dxa"/>
              <w:bottom w:w="40" w:type="dxa"/>
              <w:right w:w="20" w:type="dxa"/>
            </w:tcMar>
            <w:vAlign w:val="bottom"/>
          </w:tcPr>
          <w:p w14:paraId="746EFF95"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F9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F97" w14:textId="77777777" w:rsidR="008E7A10" w:rsidRDefault="00E047B2">
            <w:pPr>
              <w:jc w:val="right"/>
              <w:textAlignment w:val="bottom"/>
            </w:pPr>
            <w:r>
              <w:rPr>
                <w:rFonts w:ascii="Arial" w:eastAsia="宋体" w:hAnsi="Arial" w:cs="Arial"/>
                <w:b/>
                <w:bCs/>
                <w:color w:val="000000"/>
                <w:sz w:val="17"/>
                <w:szCs w:val="17"/>
              </w:rPr>
              <w:t>927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F98"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EFF9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EFF9A" w14:textId="77777777" w:rsidR="008E7A10" w:rsidRDefault="00E047B2">
            <w:pPr>
              <w:jc w:val="right"/>
              <w:textAlignment w:val="bottom"/>
            </w:pPr>
            <w:r>
              <w:rPr>
                <w:rFonts w:ascii="Arial" w:eastAsia="宋体" w:hAnsi="Arial" w:cs="Arial"/>
                <w:b/>
                <w:bCs/>
                <w:color w:val="000000"/>
                <w:sz w:val="17"/>
                <w:szCs w:val="17"/>
              </w:rPr>
              <w:t>9,224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EFF9B" w14:textId="77777777" w:rsidR="008E7A10" w:rsidRDefault="008E7A10">
            <w:pPr>
              <w:jc w:val="right"/>
              <w:rPr>
                <w:rFonts w:ascii="宋体"/>
              </w:rPr>
            </w:pPr>
          </w:p>
        </w:tc>
      </w:tr>
      <w:tr w:rsidR="008E7A10" w14:paraId="746EFFAA"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EFF9D" w14:textId="77777777" w:rsidR="008E7A10" w:rsidRDefault="00E047B2">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tcPr>
          <w:p w14:paraId="746EFF9E"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EFF9F"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EFFA0"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FA1"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FA2" w14:textId="77777777" w:rsidR="008E7A10" w:rsidRDefault="008E7A10">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EFFA3"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FA4" w14:textId="77777777" w:rsidR="008E7A10" w:rsidRDefault="00E047B2">
            <w:pPr>
              <w:jc w:val="right"/>
              <w:textAlignment w:val="bottom"/>
            </w:pPr>
            <w:r>
              <w:rPr>
                <w:rFonts w:ascii="Arial" w:eastAsia="宋体" w:hAnsi="Arial" w:cs="Arial"/>
                <w:color w:val="000000"/>
                <w:sz w:val="17"/>
                <w:szCs w:val="17"/>
              </w:rPr>
              <w:t>366 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FA5" w14:textId="77777777" w:rsidR="008E7A10" w:rsidRDefault="008E7A10">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EFFA6"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EFFA7"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EFFA8" w14:textId="77777777" w:rsidR="008E7A10" w:rsidRDefault="00E047B2">
            <w:pPr>
              <w:jc w:val="right"/>
              <w:textAlignment w:val="bottom"/>
            </w:pPr>
            <w:r>
              <w:rPr>
                <w:rFonts w:ascii="Arial" w:eastAsia="宋体" w:hAnsi="Arial" w:cs="Arial"/>
                <w:color w:val="000000"/>
                <w:sz w:val="17"/>
                <w:szCs w:val="17"/>
              </w:rPr>
              <w:t>366 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EFFA9" w14:textId="77777777" w:rsidR="008E7A10" w:rsidRDefault="008E7A10">
            <w:pPr>
              <w:jc w:val="right"/>
              <w:rPr>
                <w:rFonts w:ascii="宋体"/>
              </w:rPr>
            </w:pPr>
          </w:p>
        </w:tc>
      </w:tr>
      <w:tr w:rsidR="008E7A10" w14:paraId="746EFFB8" w14:textId="77777777">
        <w:trPr>
          <w:jc w:val="center"/>
        </w:trPr>
        <w:tc>
          <w:tcPr>
            <w:tcW w:w="0" w:type="auto"/>
            <w:gridSpan w:val="3"/>
            <w:tcBorders>
              <w:top w:val="single" w:sz="8" w:space="0" w:color="808080"/>
            </w:tcBorders>
            <w:shd w:val="clear" w:color="auto" w:fill="FFFFFF"/>
            <w:tcMar>
              <w:top w:w="40" w:type="dxa"/>
              <w:left w:w="20" w:type="dxa"/>
              <w:bottom w:w="40" w:type="dxa"/>
              <w:right w:w="20" w:type="dxa"/>
            </w:tcMar>
            <w:vAlign w:val="bottom"/>
          </w:tcPr>
          <w:p w14:paraId="746EFFAB" w14:textId="77777777" w:rsidR="008E7A10" w:rsidRDefault="00E047B2">
            <w:pPr>
              <w:textAlignment w:val="bottom"/>
            </w:pPr>
            <w:r>
              <w:rPr>
                <w:rFonts w:ascii="Arial" w:eastAsia="宋体" w:hAnsi="Arial" w:cs="Arial"/>
                <w:color w:val="000000"/>
                <w:sz w:val="17"/>
                <w:szCs w:val="17"/>
              </w:rPr>
              <w:t>Conversion to Class B Common Stock</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AC" w14:textId="77777777" w:rsidR="008E7A10" w:rsidRDefault="00E047B2">
            <w:pPr>
              <w:jc w:val="right"/>
              <w:textAlignment w:val="bottom"/>
            </w:pPr>
            <w:r>
              <w:rPr>
                <w:rFonts w:ascii="Arial" w:eastAsia="宋体" w:hAnsi="Arial" w:cs="Arial"/>
                <w:color w:val="000000"/>
                <w:sz w:val="17"/>
                <w:szCs w:val="17"/>
              </w:rPr>
              <w:t>(10)</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AD"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AE"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AF"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B0"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B1"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B2"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B3"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B4"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B5"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B6"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B7" w14:textId="77777777" w:rsidR="008E7A10" w:rsidRDefault="008E7A10">
            <w:pPr>
              <w:jc w:val="right"/>
              <w:rPr>
                <w:rFonts w:ascii="宋体"/>
              </w:rPr>
            </w:pPr>
          </w:p>
        </w:tc>
      </w:tr>
      <w:tr w:rsidR="008E7A10" w14:paraId="746EFFC5"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EFFB9" w14:textId="77777777" w:rsidR="008E7A10" w:rsidRDefault="00E047B2">
            <w:pPr>
              <w:textAlignment w:val="bottom"/>
            </w:pPr>
            <w:r>
              <w:rPr>
                <w:rFonts w:ascii="Arial" w:eastAsia="宋体" w:hAnsi="Arial" w:cs="Arial"/>
                <w:color w:val="000000"/>
                <w:sz w:val="17"/>
                <w:szCs w:val="17"/>
              </w:rPr>
              <w:t xml:space="preserve">Dividends on common stock ($0.275 per share) </w:t>
            </w:r>
          </w:p>
        </w:tc>
        <w:tc>
          <w:tcPr>
            <w:tcW w:w="0" w:type="auto"/>
            <w:gridSpan w:val="3"/>
            <w:tcBorders>
              <w:top w:val="single" w:sz="8" w:space="0" w:color="808080"/>
            </w:tcBorders>
            <w:shd w:val="clear" w:color="auto" w:fill="FFF1E7"/>
            <w:tcMar>
              <w:top w:w="0" w:type="dxa"/>
              <w:left w:w="20" w:type="dxa"/>
              <w:bottom w:w="0" w:type="dxa"/>
              <w:right w:w="20" w:type="dxa"/>
            </w:tcMar>
          </w:tcPr>
          <w:p w14:paraId="746EFFBA"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BB"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BC"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BD"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BE"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BF"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C0"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C1" w14:textId="77777777" w:rsidR="008E7A10" w:rsidRDefault="00E047B2">
            <w:pPr>
              <w:jc w:val="right"/>
              <w:textAlignment w:val="bottom"/>
            </w:pPr>
            <w:r>
              <w:rPr>
                <w:rFonts w:ascii="Arial" w:eastAsia="宋体" w:hAnsi="Arial" w:cs="Arial"/>
                <w:color w:val="000000"/>
                <w:sz w:val="17"/>
                <w:szCs w:val="17"/>
              </w:rPr>
              <w:t>(437)</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C2"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C3" w14:textId="77777777" w:rsidR="008E7A10" w:rsidRDefault="00E047B2">
            <w:pPr>
              <w:jc w:val="right"/>
              <w:textAlignment w:val="bottom"/>
            </w:pPr>
            <w:r>
              <w:rPr>
                <w:rFonts w:ascii="Arial" w:eastAsia="宋体" w:hAnsi="Arial" w:cs="Arial"/>
                <w:color w:val="000000"/>
                <w:sz w:val="17"/>
                <w:szCs w:val="17"/>
              </w:rPr>
              <w:t>(437)</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C4" w14:textId="77777777" w:rsidR="008E7A10" w:rsidRDefault="008E7A10">
            <w:pPr>
              <w:jc w:val="right"/>
              <w:rPr>
                <w:rFonts w:ascii="宋体"/>
              </w:rPr>
            </w:pPr>
          </w:p>
        </w:tc>
      </w:tr>
      <w:tr w:rsidR="008E7A10" w14:paraId="746EFFD4" w14:textId="77777777">
        <w:trPr>
          <w:jc w:val="center"/>
        </w:trPr>
        <w:tc>
          <w:tcPr>
            <w:tcW w:w="0" w:type="auto"/>
            <w:gridSpan w:val="3"/>
            <w:tcBorders>
              <w:top w:val="single" w:sz="8" w:space="0" w:color="808080"/>
            </w:tcBorders>
            <w:shd w:val="clear" w:color="auto" w:fill="FFFFFF"/>
            <w:tcMar>
              <w:top w:w="40" w:type="dxa"/>
              <w:left w:w="20" w:type="dxa"/>
              <w:bottom w:w="40" w:type="dxa"/>
              <w:right w:w="20" w:type="dxa"/>
            </w:tcMar>
            <w:vAlign w:val="bottom"/>
          </w:tcPr>
          <w:p w14:paraId="746EFFC6" w14:textId="77777777" w:rsidR="008E7A10" w:rsidRDefault="00E047B2">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8" w:space="0" w:color="808080"/>
            </w:tcBorders>
            <w:shd w:val="clear" w:color="auto" w:fill="FFF1E7"/>
            <w:tcMar>
              <w:top w:w="0" w:type="dxa"/>
              <w:left w:w="20" w:type="dxa"/>
              <w:bottom w:w="0" w:type="dxa"/>
              <w:right w:w="20" w:type="dxa"/>
            </w:tcMar>
          </w:tcPr>
          <w:p w14:paraId="746EFFC7"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C8"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C9"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CA"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CB"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CC"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CD" w14:textId="77777777" w:rsidR="008E7A10" w:rsidRDefault="00E047B2">
            <w:pPr>
              <w:jc w:val="right"/>
              <w:textAlignment w:val="bottom"/>
            </w:pPr>
            <w:r>
              <w:rPr>
                <w:rFonts w:ascii="Arial" w:eastAsia="宋体" w:hAnsi="Arial" w:cs="Arial"/>
                <w:color w:val="000000"/>
                <w:sz w:val="17"/>
                <w:szCs w:val="17"/>
              </w:rPr>
              <w:t>86 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CE"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CF"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D0" w14:textId="77777777" w:rsidR="008E7A10" w:rsidRDefault="00E047B2">
            <w:pPr>
              <w:jc w:val="right"/>
              <w:textAlignment w:val="bottom"/>
            </w:pPr>
            <w:r>
              <w:rPr>
                <w:rFonts w:ascii="Arial" w:eastAsia="宋体" w:hAnsi="Arial" w:cs="Arial"/>
                <w:color w:val="000000"/>
                <w:sz w:val="17"/>
                <w:szCs w:val="17"/>
              </w:rPr>
              <w:t>(11)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D1"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D2" w14:textId="77777777" w:rsidR="008E7A10" w:rsidRDefault="00E047B2">
            <w:pPr>
              <w:jc w:val="right"/>
              <w:textAlignment w:val="bottom"/>
            </w:pPr>
            <w:r>
              <w:rPr>
                <w:rFonts w:ascii="Arial" w:eastAsia="宋体" w:hAnsi="Arial" w:cs="Arial"/>
                <w:color w:val="000000"/>
                <w:sz w:val="17"/>
                <w:szCs w:val="17"/>
              </w:rPr>
              <w:t>75 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D3" w14:textId="77777777" w:rsidR="008E7A10" w:rsidRDefault="008E7A10">
            <w:pPr>
              <w:jc w:val="right"/>
              <w:rPr>
                <w:rFonts w:ascii="宋体"/>
              </w:rPr>
            </w:pPr>
          </w:p>
        </w:tc>
      </w:tr>
      <w:tr w:rsidR="008E7A10" w14:paraId="746EFFE1" w14:textId="77777777">
        <w:trPr>
          <w:jc w:val="center"/>
        </w:trPr>
        <w:tc>
          <w:tcPr>
            <w:tcW w:w="0" w:type="auto"/>
            <w:gridSpan w:val="3"/>
            <w:tcBorders>
              <w:top w:val="single" w:sz="8" w:space="0" w:color="808080"/>
            </w:tcBorders>
            <w:shd w:val="clear" w:color="auto" w:fill="FFFFFF"/>
            <w:tcMar>
              <w:top w:w="40" w:type="dxa"/>
              <w:left w:w="20" w:type="dxa"/>
              <w:bottom w:w="40" w:type="dxa"/>
              <w:right w:w="20" w:type="dxa"/>
            </w:tcMar>
            <w:vAlign w:val="bottom"/>
          </w:tcPr>
          <w:p w14:paraId="746EFFD5" w14:textId="77777777" w:rsidR="008E7A10" w:rsidRDefault="00E047B2">
            <w:pPr>
              <w:textAlignment w:val="bottom"/>
            </w:pPr>
            <w:r>
              <w:rPr>
                <w:rFonts w:ascii="Arial" w:eastAsia="宋体" w:hAnsi="Arial" w:cs="Arial"/>
                <w:color w:val="000000"/>
                <w:sz w:val="17"/>
                <w:szCs w:val="17"/>
              </w:rPr>
              <w:t>Stock-based compensation</w:t>
            </w:r>
          </w:p>
        </w:tc>
        <w:tc>
          <w:tcPr>
            <w:tcW w:w="0" w:type="auto"/>
            <w:gridSpan w:val="3"/>
            <w:tcBorders>
              <w:top w:val="single" w:sz="8" w:space="0" w:color="808080"/>
            </w:tcBorders>
            <w:shd w:val="clear" w:color="auto" w:fill="FFF1E7"/>
            <w:tcMar>
              <w:top w:w="0" w:type="dxa"/>
              <w:left w:w="20" w:type="dxa"/>
              <w:bottom w:w="0" w:type="dxa"/>
              <w:right w:w="20" w:type="dxa"/>
            </w:tcMar>
          </w:tcPr>
          <w:p w14:paraId="746EFFD6"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D7"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D8"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D9"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DA"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DB" w14:textId="77777777" w:rsidR="008E7A10" w:rsidRDefault="00E047B2">
            <w:pPr>
              <w:jc w:val="right"/>
              <w:textAlignment w:val="bottom"/>
            </w:pPr>
            <w:r>
              <w:rPr>
                <w:rFonts w:ascii="Arial" w:eastAsia="宋体" w:hAnsi="Arial" w:cs="Arial"/>
                <w:color w:val="000000"/>
                <w:sz w:val="17"/>
                <w:szCs w:val="17"/>
              </w:rPr>
              <w:t>189 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DC"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DD"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DE"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DF" w14:textId="77777777" w:rsidR="008E7A10" w:rsidRDefault="00E047B2">
            <w:pPr>
              <w:jc w:val="right"/>
              <w:textAlignment w:val="bottom"/>
            </w:pPr>
            <w:r>
              <w:rPr>
                <w:rFonts w:ascii="Arial" w:eastAsia="宋体" w:hAnsi="Arial" w:cs="Arial"/>
                <w:color w:val="000000"/>
                <w:sz w:val="17"/>
                <w:szCs w:val="17"/>
              </w:rPr>
              <w:t>189 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E0" w14:textId="77777777" w:rsidR="008E7A10" w:rsidRDefault="008E7A10">
            <w:pPr>
              <w:jc w:val="right"/>
              <w:rPr>
                <w:rFonts w:ascii="宋体"/>
              </w:rPr>
            </w:pPr>
          </w:p>
        </w:tc>
      </w:tr>
      <w:tr w:rsidR="008E7A10" w14:paraId="746EFFEE" w14:textId="77777777">
        <w:trPr>
          <w:jc w:val="center"/>
        </w:trPr>
        <w:tc>
          <w:tcPr>
            <w:tcW w:w="0" w:type="auto"/>
            <w:gridSpan w:val="3"/>
            <w:tcBorders>
              <w:top w:val="single" w:sz="8" w:space="0" w:color="808080"/>
            </w:tcBorders>
            <w:shd w:val="clear" w:color="auto" w:fill="FFFFFF"/>
            <w:tcMar>
              <w:top w:w="40" w:type="dxa"/>
              <w:left w:w="20" w:type="dxa"/>
              <w:bottom w:w="40" w:type="dxa"/>
              <w:right w:w="20" w:type="dxa"/>
            </w:tcMar>
            <w:vAlign w:val="bottom"/>
          </w:tcPr>
          <w:p w14:paraId="746EFFE2" w14:textId="77777777" w:rsidR="008E7A10" w:rsidRDefault="00E047B2">
            <w:pPr>
              <w:textAlignment w:val="bottom"/>
            </w:pPr>
            <w:r>
              <w:rPr>
                <w:rFonts w:ascii="Arial" w:eastAsia="宋体" w:hAnsi="Arial" w:cs="Arial"/>
                <w:color w:val="000000"/>
                <w:sz w:val="17"/>
                <w:szCs w:val="17"/>
              </w:rPr>
              <w:t>Net income</w:t>
            </w:r>
          </w:p>
        </w:tc>
        <w:tc>
          <w:tcPr>
            <w:tcW w:w="0" w:type="auto"/>
            <w:gridSpan w:val="3"/>
            <w:tcBorders>
              <w:top w:val="single" w:sz="8" w:space="0" w:color="808080"/>
            </w:tcBorders>
            <w:shd w:val="clear" w:color="auto" w:fill="FFF1E7"/>
            <w:tcMar>
              <w:top w:w="0" w:type="dxa"/>
              <w:left w:w="20" w:type="dxa"/>
              <w:bottom w:w="0" w:type="dxa"/>
              <w:right w:w="20" w:type="dxa"/>
            </w:tcMar>
          </w:tcPr>
          <w:p w14:paraId="746EFFE3"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E4"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E5"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E6"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E7"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E8"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E9"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EA" w14:textId="77777777" w:rsidR="008E7A10" w:rsidRDefault="00E047B2">
            <w:pPr>
              <w:jc w:val="right"/>
              <w:textAlignment w:val="bottom"/>
            </w:pPr>
            <w:r>
              <w:rPr>
                <w:rFonts w:ascii="Arial" w:eastAsia="宋体" w:hAnsi="Arial" w:cs="Arial"/>
                <w:color w:val="000000"/>
                <w:sz w:val="17"/>
                <w:szCs w:val="17"/>
              </w:rPr>
              <w:t>1,251 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EB"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EC" w14:textId="77777777" w:rsidR="008E7A10" w:rsidRDefault="00E047B2">
            <w:pPr>
              <w:jc w:val="right"/>
              <w:textAlignment w:val="bottom"/>
            </w:pPr>
            <w:r>
              <w:rPr>
                <w:rFonts w:ascii="Arial" w:eastAsia="宋体" w:hAnsi="Arial" w:cs="Arial"/>
                <w:color w:val="000000"/>
                <w:sz w:val="17"/>
                <w:szCs w:val="17"/>
              </w:rPr>
              <w:t>1,251 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ED" w14:textId="77777777" w:rsidR="008E7A10" w:rsidRDefault="008E7A10">
            <w:pPr>
              <w:jc w:val="right"/>
              <w:rPr>
                <w:rFonts w:ascii="宋体"/>
              </w:rPr>
            </w:pPr>
          </w:p>
        </w:tc>
      </w:tr>
      <w:tr w:rsidR="008E7A10" w14:paraId="746EFFFB" w14:textId="77777777">
        <w:trPr>
          <w:jc w:val="center"/>
        </w:trPr>
        <w:tc>
          <w:tcPr>
            <w:tcW w:w="0" w:type="auto"/>
            <w:gridSpan w:val="3"/>
            <w:tcBorders>
              <w:top w:val="single" w:sz="8" w:space="0" w:color="808080"/>
            </w:tcBorders>
            <w:shd w:val="clear" w:color="auto" w:fill="FFFFFF"/>
            <w:tcMar>
              <w:top w:w="40" w:type="dxa"/>
              <w:left w:w="20" w:type="dxa"/>
              <w:bottom w:w="40" w:type="dxa"/>
              <w:right w:w="20" w:type="dxa"/>
            </w:tcMar>
            <w:vAlign w:val="bottom"/>
          </w:tcPr>
          <w:p w14:paraId="746EFFEF" w14:textId="77777777" w:rsidR="008E7A10" w:rsidRDefault="00E047B2">
            <w:pPr>
              <w:textAlignment w:val="bottom"/>
            </w:pPr>
            <w:r>
              <w:rPr>
                <w:rFonts w:ascii="Arial" w:eastAsia="宋体" w:hAnsi="Arial" w:cs="Arial"/>
                <w:color w:val="000000"/>
                <w:sz w:val="17"/>
                <w:szCs w:val="17"/>
              </w:rPr>
              <w:t>Other comprehensive income (loss)</w:t>
            </w:r>
          </w:p>
        </w:tc>
        <w:tc>
          <w:tcPr>
            <w:tcW w:w="0" w:type="auto"/>
            <w:gridSpan w:val="3"/>
            <w:tcBorders>
              <w:top w:val="single" w:sz="8" w:space="0" w:color="808080"/>
            </w:tcBorders>
            <w:shd w:val="clear" w:color="auto" w:fill="FFF1E7"/>
            <w:tcMar>
              <w:top w:w="0" w:type="dxa"/>
              <w:left w:w="20" w:type="dxa"/>
              <w:bottom w:w="0" w:type="dxa"/>
              <w:right w:w="20" w:type="dxa"/>
            </w:tcMar>
          </w:tcPr>
          <w:p w14:paraId="746EFFF0"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F1"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F2"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F3"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F4"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F5"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F6" w14:textId="77777777" w:rsidR="008E7A10" w:rsidRDefault="00E047B2">
            <w:pPr>
              <w:jc w:val="right"/>
              <w:textAlignment w:val="bottom"/>
            </w:pPr>
            <w:r>
              <w:rPr>
                <w:rFonts w:ascii="Arial" w:eastAsia="宋体" w:hAnsi="Arial" w:cs="Arial"/>
                <w:color w:val="000000"/>
                <w:sz w:val="17"/>
                <w:szCs w:val="17"/>
              </w:rPr>
              <w:t>(28)</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F7"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EFFF8"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EFFF9" w14:textId="77777777" w:rsidR="008E7A10" w:rsidRDefault="00E047B2">
            <w:pPr>
              <w:jc w:val="right"/>
              <w:textAlignment w:val="bottom"/>
            </w:pPr>
            <w:r>
              <w:rPr>
                <w:rFonts w:ascii="Arial" w:eastAsia="宋体" w:hAnsi="Arial" w:cs="Arial"/>
                <w:color w:val="000000"/>
                <w:sz w:val="17"/>
                <w:szCs w:val="17"/>
              </w:rPr>
              <w:t>(28)</w:t>
            </w:r>
          </w:p>
        </w:tc>
        <w:tc>
          <w:tcPr>
            <w:tcW w:w="0" w:type="auto"/>
            <w:tcBorders>
              <w:top w:val="single" w:sz="8" w:space="0" w:color="808080"/>
            </w:tcBorders>
            <w:shd w:val="clear" w:color="auto" w:fill="FFF1E7"/>
            <w:tcMar>
              <w:top w:w="40" w:type="dxa"/>
              <w:left w:w="0" w:type="dxa"/>
              <w:bottom w:w="40" w:type="dxa"/>
              <w:right w:w="20" w:type="dxa"/>
            </w:tcMar>
            <w:vAlign w:val="bottom"/>
          </w:tcPr>
          <w:p w14:paraId="746EFFFA" w14:textId="77777777" w:rsidR="008E7A10" w:rsidRDefault="008E7A10">
            <w:pPr>
              <w:jc w:val="right"/>
              <w:rPr>
                <w:rFonts w:ascii="宋体"/>
              </w:rPr>
            </w:pPr>
          </w:p>
        </w:tc>
      </w:tr>
      <w:tr w:rsidR="008E7A10" w14:paraId="746F0014" w14:textId="77777777">
        <w:trPr>
          <w:jc w:val="center"/>
        </w:trPr>
        <w:tc>
          <w:tcPr>
            <w:tcW w:w="0" w:type="auto"/>
            <w:gridSpan w:val="3"/>
            <w:tcBorders>
              <w:top w:val="single" w:sz="8" w:space="0" w:color="E87722"/>
              <w:bottom w:val="single" w:sz="8" w:space="0" w:color="E87722"/>
            </w:tcBorders>
            <w:shd w:val="clear" w:color="auto" w:fill="FFFFFF"/>
            <w:tcMar>
              <w:top w:w="40" w:type="dxa"/>
              <w:left w:w="20" w:type="dxa"/>
              <w:bottom w:w="40" w:type="dxa"/>
              <w:right w:w="20" w:type="dxa"/>
            </w:tcMar>
            <w:vAlign w:val="bottom"/>
          </w:tcPr>
          <w:p w14:paraId="746EFFFC" w14:textId="77777777" w:rsidR="008E7A10" w:rsidRDefault="00E047B2">
            <w:pPr>
              <w:textAlignment w:val="bottom"/>
            </w:pPr>
            <w:r>
              <w:rPr>
                <w:rFonts w:ascii="Arial" w:eastAsia="宋体" w:hAnsi="Arial" w:cs="Arial"/>
                <w:b/>
                <w:bCs/>
                <w:color w:val="000000"/>
                <w:sz w:val="17"/>
                <w:szCs w:val="17"/>
              </w:rPr>
              <w:t>Balance at November 30, 2020</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EFFFD" w14:textId="77777777" w:rsidR="008E7A10" w:rsidRDefault="00E047B2">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EFFFE"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EFFF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000" w14:textId="77777777" w:rsidR="008E7A10" w:rsidRDefault="00E047B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001"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tcPr>
          <w:p w14:paraId="746F0002" w14:textId="77777777" w:rsidR="008E7A10" w:rsidRDefault="008E7A10">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003" w14:textId="77777777" w:rsidR="008E7A10" w:rsidRDefault="00E047B2">
            <w:pPr>
              <w:jc w:val="right"/>
              <w:textAlignment w:val="bottom"/>
            </w:pPr>
            <w:r>
              <w:rPr>
                <w:rFonts w:ascii="Arial" w:eastAsia="宋体" w:hAnsi="Arial" w:cs="Arial"/>
                <w:b/>
                <w:bCs/>
                <w:color w:val="000000"/>
                <w:sz w:val="17"/>
                <w:szCs w:val="17"/>
              </w:rPr>
              <w:t>1,270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004"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00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006"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007"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00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009" w14:textId="77777777" w:rsidR="008E7A10" w:rsidRDefault="00E047B2">
            <w:pPr>
              <w:jc w:val="right"/>
              <w:textAlignment w:val="bottom"/>
            </w:pPr>
            <w:r>
              <w:rPr>
                <w:rFonts w:ascii="Arial" w:eastAsia="宋体" w:hAnsi="Arial" w:cs="Arial"/>
                <w:b/>
                <w:bCs/>
                <w:color w:val="000000"/>
                <w:sz w:val="17"/>
                <w:szCs w:val="17"/>
              </w:rPr>
              <w:t>9,336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00A"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00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00C" w14:textId="77777777" w:rsidR="008E7A10" w:rsidRDefault="00E047B2">
            <w:pPr>
              <w:jc w:val="right"/>
              <w:textAlignment w:val="bottom"/>
            </w:pPr>
            <w:r>
              <w:rPr>
                <w:rFonts w:ascii="Arial" w:eastAsia="宋体" w:hAnsi="Arial" w:cs="Arial"/>
                <w:b/>
                <w:bCs/>
                <w:color w:val="000000"/>
                <w:sz w:val="17"/>
                <w:szCs w:val="17"/>
              </w:rPr>
              <w:t>(429)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00D"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00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00F" w14:textId="77777777" w:rsidR="008E7A10" w:rsidRDefault="00E047B2">
            <w:pPr>
              <w:jc w:val="right"/>
              <w:textAlignment w:val="bottom"/>
            </w:pPr>
            <w:r>
              <w:rPr>
                <w:rFonts w:ascii="Arial" w:eastAsia="宋体" w:hAnsi="Arial" w:cs="Arial"/>
                <w:b/>
                <w:bCs/>
                <w:color w:val="000000"/>
                <w:sz w:val="17"/>
                <w:szCs w:val="17"/>
              </w:rPr>
              <w:t>1,730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010"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01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012" w14:textId="77777777" w:rsidR="008E7A10" w:rsidRDefault="00E047B2">
            <w:pPr>
              <w:jc w:val="right"/>
              <w:textAlignment w:val="bottom"/>
            </w:pPr>
            <w:r>
              <w:rPr>
                <w:rFonts w:ascii="Arial" w:eastAsia="宋体" w:hAnsi="Arial" w:cs="Arial"/>
                <w:b/>
                <w:bCs/>
                <w:color w:val="000000"/>
                <w:sz w:val="17"/>
                <w:szCs w:val="17"/>
              </w:rPr>
              <w:t>10,640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013" w14:textId="77777777" w:rsidR="008E7A10" w:rsidRDefault="008E7A10">
            <w:pPr>
              <w:jc w:val="right"/>
              <w:rPr>
                <w:rFonts w:ascii="宋体"/>
              </w:rPr>
            </w:pPr>
          </w:p>
        </w:tc>
      </w:tr>
    </w:tbl>
    <w:p w14:paraId="746F0015" w14:textId="77777777" w:rsidR="008E7A10" w:rsidRDefault="008E7A10">
      <w:pPr>
        <w:spacing w:before="120" w:after="12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727"/>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473"/>
        <w:gridCol w:w="36"/>
      </w:tblGrid>
      <w:tr w:rsidR="008E7A10" w14:paraId="746F0034" w14:textId="77777777">
        <w:trPr>
          <w:jc w:val="center"/>
        </w:trPr>
        <w:tc>
          <w:tcPr>
            <w:tcW w:w="50" w:type="pct"/>
            <w:shd w:val="clear" w:color="auto" w:fill="auto"/>
          </w:tcPr>
          <w:p w14:paraId="746F0016" w14:textId="77777777" w:rsidR="008E7A10" w:rsidRDefault="008E7A10">
            <w:pPr>
              <w:rPr>
                <w:rFonts w:ascii="宋体"/>
              </w:rPr>
            </w:pPr>
          </w:p>
        </w:tc>
        <w:tc>
          <w:tcPr>
            <w:tcW w:w="1560" w:type="pct"/>
            <w:shd w:val="clear" w:color="auto" w:fill="auto"/>
          </w:tcPr>
          <w:p w14:paraId="746F0017" w14:textId="77777777" w:rsidR="008E7A10" w:rsidRDefault="008E7A10">
            <w:pPr>
              <w:rPr>
                <w:rFonts w:ascii="宋体"/>
              </w:rPr>
            </w:pPr>
          </w:p>
        </w:tc>
        <w:tc>
          <w:tcPr>
            <w:tcW w:w="5" w:type="pct"/>
            <w:shd w:val="clear" w:color="auto" w:fill="auto"/>
          </w:tcPr>
          <w:p w14:paraId="746F0018" w14:textId="77777777" w:rsidR="008E7A10" w:rsidRDefault="008E7A10">
            <w:pPr>
              <w:rPr>
                <w:rFonts w:ascii="宋体"/>
              </w:rPr>
            </w:pPr>
          </w:p>
        </w:tc>
        <w:tc>
          <w:tcPr>
            <w:tcW w:w="50" w:type="pct"/>
            <w:shd w:val="clear" w:color="auto" w:fill="auto"/>
          </w:tcPr>
          <w:p w14:paraId="746F0019" w14:textId="77777777" w:rsidR="008E7A10" w:rsidRDefault="008E7A10">
            <w:pPr>
              <w:rPr>
                <w:rFonts w:ascii="宋体"/>
              </w:rPr>
            </w:pPr>
          </w:p>
        </w:tc>
        <w:tc>
          <w:tcPr>
            <w:tcW w:w="285" w:type="pct"/>
            <w:shd w:val="clear" w:color="auto" w:fill="auto"/>
          </w:tcPr>
          <w:p w14:paraId="746F001A" w14:textId="77777777" w:rsidR="008E7A10" w:rsidRDefault="008E7A10">
            <w:pPr>
              <w:rPr>
                <w:rFonts w:ascii="宋体"/>
              </w:rPr>
            </w:pPr>
          </w:p>
        </w:tc>
        <w:tc>
          <w:tcPr>
            <w:tcW w:w="5" w:type="pct"/>
            <w:shd w:val="clear" w:color="auto" w:fill="auto"/>
          </w:tcPr>
          <w:p w14:paraId="746F001B" w14:textId="77777777" w:rsidR="008E7A10" w:rsidRDefault="008E7A10">
            <w:pPr>
              <w:rPr>
                <w:rFonts w:ascii="宋体"/>
              </w:rPr>
            </w:pPr>
          </w:p>
        </w:tc>
        <w:tc>
          <w:tcPr>
            <w:tcW w:w="50" w:type="pct"/>
            <w:shd w:val="clear" w:color="auto" w:fill="auto"/>
          </w:tcPr>
          <w:p w14:paraId="746F001C" w14:textId="77777777" w:rsidR="008E7A10" w:rsidRDefault="008E7A10">
            <w:pPr>
              <w:rPr>
                <w:rFonts w:ascii="宋体"/>
              </w:rPr>
            </w:pPr>
          </w:p>
        </w:tc>
        <w:tc>
          <w:tcPr>
            <w:tcW w:w="346" w:type="pct"/>
            <w:shd w:val="clear" w:color="auto" w:fill="auto"/>
          </w:tcPr>
          <w:p w14:paraId="746F001D" w14:textId="77777777" w:rsidR="008E7A10" w:rsidRDefault="008E7A10">
            <w:pPr>
              <w:rPr>
                <w:rFonts w:ascii="宋体"/>
              </w:rPr>
            </w:pPr>
          </w:p>
        </w:tc>
        <w:tc>
          <w:tcPr>
            <w:tcW w:w="5" w:type="pct"/>
            <w:shd w:val="clear" w:color="auto" w:fill="auto"/>
          </w:tcPr>
          <w:p w14:paraId="746F001E" w14:textId="77777777" w:rsidR="008E7A10" w:rsidRDefault="008E7A10">
            <w:pPr>
              <w:rPr>
                <w:rFonts w:ascii="宋体"/>
              </w:rPr>
            </w:pPr>
          </w:p>
        </w:tc>
        <w:tc>
          <w:tcPr>
            <w:tcW w:w="5" w:type="pct"/>
            <w:shd w:val="clear" w:color="auto" w:fill="auto"/>
          </w:tcPr>
          <w:p w14:paraId="746F001F" w14:textId="77777777" w:rsidR="008E7A10" w:rsidRDefault="008E7A10">
            <w:pPr>
              <w:rPr>
                <w:rFonts w:ascii="宋体"/>
              </w:rPr>
            </w:pPr>
          </w:p>
        </w:tc>
        <w:tc>
          <w:tcPr>
            <w:tcW w:w="28" w:type="pct"/>
            <w:shd w:val="clear" w:color="auto" w:fill="auto"/>
          </w:tcPr>
          <w:p w14:paraId="746F0020" w14:textId="77777777" w:rsidR="008E7A10" w:rsidRDefault="008E7A10">
            <w:pPr>
              <w:rPr>
                <w:rFonts w:ascii="宋体"/>
              </w:rPr>
            </w:pPr>
          </w:p>
        </w:tc>
        <w:tc>
          <w:tcPr>
            <w:tcW w:w="5" w:type="pct"/>
            <w:shd w:val="clear" w:color="auto" w:fill="auto"/>
          </w:tcPr>
          <w:p w14:paraId="746F0021" w14:textId="77777777" w:rsidR="008E7A10" w:rsidRDefault="008E7A10">
            <w:pPr>
              <w:rPr>
                <w:rFonts w:ascii="宋体"/>
              </w:rPr>
            </w:pPr>
          </w:p>
        </w:tc>
        <w:tc>
          <w:tcPr>
            <w:tcW w:w="50" w:type="pct"/>
            <w:shd w:val="clear" w:color="auto" w:fill="auto"/>
          </w:tcPr>
          <w:p w14:paraId="746F0022" w14:textId="77777777" w:rsidR="008E7A10" w:rsidRDefault="008E7A10">
            <w:pPr>
              <w:rPr>
                <w:rFonts w:ascii="宋体"/>
              </w:rPr>
            </w:pPr>
          </w:p>
        </w:tc>
        <w:tc>
          <w:tcPr>
            <w:tcW w:w="285" w:type="pct"/>
            <w:shd w:val="clear" w:color="auto" w:fill="auto"/>
          </w:tcPr>
          <w:p w14:paraId="746F0023" w14:textId="77777777" w:rsidR="008E7A10" w:rsidRDefault="008E7A10">
            <w:pPr>
              <w:rPr>
                <w:rFonts w:ascii="宋体"/>
              </w:rPr>
            </w:pPr>
          </w:p>
        </w:tc>
        <w:tc>
          <w:tcPr>
            <w:tcW w:w="5" w:type="pct"/>
            <w:shd w:val="clear" w:color="auto" w:fill="auto"/>
          </w:tcPr>
          <w:p w14:paraId="746F0024" w14:textId="77777777" w:rsidR="008E7A10" w:rsidRDefault="008E7A10">
            <w:pPr>
              <w:rPr>
                <w:rFonts w:ascii="宋体"/>
              </w:rPr>
            </w:pPr>
          </w:p>
        </w:tc>
        <w:tc>
          <w:tcPr>
            <w:tcW w:w="50" w:type="pct"/>
            <w:shd w:val="clear" w:color="auto" w:fill="auto"/>
          </w:tcPr>
          <w:p w14:paraId="746F0025" w14:textId="77777777" w:rsidR="008E7A10" w:rsidRDefault="008E7A10">
            <w:pPr>
              <w:rPr>
                <w:rFonts w:ascii="宋体"/>
              </w:rPr>
            </w:pPr>
          </w:p>
        </w:tc>
        <w:tc>
          <w:tcPr>
            <w:tcW w:w="323" w:type="pct"/>
            <w:shd w:val="clear" w:color="auto" w:fill="auto"/>
          </w:tcPr>
          <w:p w14:paraId="746F0026" w14:textId="77777777" w:rsidR="008E7A10" w:rsidRDefault="008E7A10">
            <w:pPr>
              <w:rPr>
                <w:rFonts w:ascii="宋体"/>
              </w:rPr>
            </w:pPr>
          </w:p>
        </w:tc>
        <w:tc>
          <w:tcPr>
            <w:tcW w:w="5" w:type="pct"/>
            <w:shd w:val="clear" w:color="auto" w:fill="auto"/>
          </w:tcPr>
          <w:p w14:paraId="746F0027" w14:textId="77777777" w:rsidR="008E7A10" w:rsidRDefault="008E7A10">
            <w:pPr>
              <w:rPr>
                <w:rFonts w:ascii="宋体"/>
              </w:rPr>
            </w:pPr>
          </w:p>
        </w:tc>
        <w:tc>
          <w:tcPr>
            <w:tcW w:w="50" w:type="pct"/>
            <w:shd w:val="clear" w:color="auto" w:fill="auto"/>
          </w:tcPr>
          <w:p w14:paraId="746F0028" w14:textId="77777777" w:rsidR="008E7A10" w:rsidRDefault="008E7A10">
            <w:pPr>
              <w:rPr>
                <w:rFonts w:ascii="宋体"/>
              </w:rPr>
            </w:pPr>
          </w:p>
        </w:tc>
        <w:tc>
          <w:tcPr>
            <w:tcW w:w="385" w:type="pct"/>
            <w:shd w:val="clear" w:color="auto" w:fill="auto"/>
          </w:tcPr>
          <w:p w14:paraId="746F0029" w14:textId="77777777" w:rsidR="008E7A10" w:rsidRDefault="008E7A10">
            <w:pPr>
              <w:rPr>
                <w:rFonts w:ascii="宋体"/>
              </w:rPr>
            </w:pPr>
          </w:p>
        </w:tc>
        <w:tc>
          <w:tcPr>
            <w:tcW w:w="5" w:type="pct"/>
            <w:shd w:val="clear" w:color="auto" w:fill="auto"/>
          </w:tcPr>
          <w:p w14:paraId="746F002A" w14:textId="77777777" w:rsidR="008E7A10" w:rsidRDefault="008E7A10">
            <w:pPr>
              <w:rPr>
                <w:rFonts w:ascii="宋体"/>
              </w:rPr>
            </w:pPr>
          </w:p>
        </w:tc>
        <w:tc>
          <w:tcPr>
            <w:tcW w:w="50" w:type="pct"/>
            <w:shd w:val="clear" w:color="auto" w:fill="auto"/>
          </w:tcPr>
          <w:p w14:paraId="746F002B" w14:textId="77777777" w:rsidR="008E7A10" w:rsidRDefault="008E7A10">
            <w:pPr>
              <w:rPr>
                <w:rFonts w:ascii="宋体"/>
              </w:rPr>
            </w:pPr>
          </w:p>
        </w:tc>
        <w:tc>
          <w:tcPr>
            <w:tcW w:w="586" w:type="pct"/>
            <w:shd w:val="clear" w:color="auto" w:fill="auto"/>
          </w:tcPr>
          <w:p w14:paraId="746F002C" w14:textId="77777777" w:rsidR="008E7A10" w:rsidRDefault="008E7A10">
            <w:pPr>
              <w:rPr>
                <w:rFonts w:ascii="宋体"/>
              </w:rPr>
            </w:pPr>
          </w:p>
        </w:tc>
        <w:tc>
          <w:tcPr>
            <w:tcW w:w="5" w:type="pct"/>
            <w:shd w:val="clear" w:color="auto" w:fill="auto"/>
          </w:tcPr>
          <w:p w14:paraId="746F002D" w14:textId="77777777" w:rsidR="008E7A10" w:rsidRDefault="008E7A10">
            <w:pPr>
              <w:rPr>
                <w:rFonts w:ascii="宋体"/>
              </w:rPr>
            </w:pPr>
          </w:p>
        </w:tc>
        <w:tc>
          <w:tcPr>
            <w:tcW w:w="50" w:type="pct"/>
            <w:shd w:val="clear" w:color="auto" w:fill="auto"/>
          </w:tcPr>
          <w:p w14:paraId="746F002E" w14:textId="77777777" w:rsidR="008E7A10" w:rsidRDefault="008E7A10">
            <w:pPr>
              <w:rPr>
                <w:rFonts w:ascii="宋体"/>
              </w:rPr>
            </w:pPr>
          </w:p>
        </w:tc>
        <w:tc>
          <w:tcPr>
            <w:tcW w:w="370" w:type="pct"/>
            <w:shd w:val="clear" w:color="auto" w:fill="auto"/>
          </w:tcPr>
          <w:p w14:paraId="746F002F" w14:textId="77777777" w:rsidR="008E7A10" w:rsidRDefault="008E7A10">
            <w:pPr>
              <w:rPr>
                <w:rFonts w:ascii="宋体"/>
              </w:rPr>
            </w:pPr>
          </w:p>
        </w:tc>
        <w:tc>
          <w:tcPr>
            <w:tcW w:w="5" w:type="pct"/>
            <w:shd w:val="clear" w:color="auto" w:fill="auto"/>
          </w:tcPr>
          <w:p w14:paraId="746F0030" w14:textId="77777777" w:rsidR="008E7A10" w:rsidRDefault="008E7A10">
            <w:pPr>
              <w:rPr>
                <w:rFonts w:ascii="宋体"/>
              </w:rPr>
            </w:pPr>
          </w:p>
        </w:tc>
        <w:tc>
          <w:tcPr>
            <w:tcW w:w="50" w:type="pct"/>
            <w:shd w:val="clear" w:color="auto" w:fill="auto"/>
          </w:tcPr>
          <w:p w14:paraId="746F0031" w14:textId="77777777" w:rsidR="008E7A10" w:rsidRDefault="008E7A10">
            <w:pPr>
              <w:rPr>
                <w:rFonts w:ascii="宋体"/>
              </w:rPr>
            </w:pPr>
          </w:p>
        </w:tc>
        <w:tc>
          <w:tcPr>
            <w:tcW w:w="323" w:type="pct"/>
            <w:shd w:val="clear" w:color="auto" w:fill="auto"/>
          </w:tcPr>
          <w:p w14:paraId="746F0032" w14:textId="77777777" w:rsidR="008E7A10" w:rsidRDefault="008E7A10">
            <w:pPr>
              <w:rPr>
                <w:rFonts w:ascii="宋体"/>
              </w:rPr>
            </w:pPr>
          </w:p>
        </w:tc>
        <w:tc>
          <w:tcPr>
            <w:tcW w:w="5" w:type="pct"/>
            <w:shd w:val="clear" w:color="auto" w:fill="auto"/>
          </w:tcPr>
          <w:p w14:paraId="746F0033" w14:textId="77777777" w:rsidR="008E7A10" w:rsidRDefault="008E7A10">
            <w:pPr>
              <w:rPr>
                <w:rFonts w:ascii="宋体"/>
              </w:rPr>
            </w:pPr>
          </w:p>
        </w:tc>
      </w:tr>
      <w:tr w:rsidR="008E7A10" w14:paraId="746F003B" w14:textId="77777777">
        <w:trPr>
          <w:trHeight w:val="240"/>
          <w:jc w:val="center"/>
        </w:trPr>
        <w:tc>
          <w:tcPr>
            <w:tcW w:w="0" w:type="auto"/>
            <w:gridSpan w:val="3"/>
            <w:shd w:val="clear" w:color="auto" w:fill="auto"/>
            <w:tcMar>
              <w:top w:w="0" w:type="dxa"/>
              <w:left w:w="20" w:type="dxa"/>
              <w:bottom w:w="0" w:type="dxa"/>
              <w:right w:w="20" w:type="dxa"/>
            </w:tcMar>
          </w:tcPr>
          <w:p w14:paraId="746F0035" w14:textId="77777777" w:rsidR="008E7A10" w:rsidRDefault="008E7A10">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746F0036" w14:textId="77777777" w:rsidR="008E7A10" w:rsidRDefault="00E047B2">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46F0037" w14:textId="77777777" w:rsidR="008E7A10" w:rsidRDefault="00E047B2">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46F0038" w14:textId="77777777" w:rsidR="008E7A10" w:rsidRDefault="00E047B2">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46F0039" w14:textId="77777777" w:rsidR="008E7A10" w:rsidRDefault="00E047B2">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46F003A" w14:textId="77777777" w:rsidR="008E7A10" w:rsidRDefault="00E047B2">
            <w:pPr>
              <w:jc w:val="right"/>
              <w:textAlignment w:val="bottom"/>
            </w:pPr>
            <w:r>
              <w:rPr>
                <w:rFonts w:ascii="sans-serif" w:eastAsia="sans-serif" w:hAnsi="sans-serif" w:cs="sans-serif"/>
                <w:b/>
                <w:bCs/>
                <w:color w:val="000000"/>
                <w:sz w:val="17"/>
                <w:szCs w:val="17"/>
              </w:rPr>
              <w:t>TOTAL</w:t>
            </w:r>
          </w:p>
        </w:tc>
      </w:tr>
      <w:tr w:rsidR="008E7A10" w14:paraId="746F0044" w14:textId="77777777">
        <w:trPr>
          <w:trHeight w:val="240"/>
          <w:jc w:val="center"/>
        </w:trPr>
        <w:tc>
          <w:tcPr>
            <w:tcW w:w="0" w:type="auto"/>
            <w:gridSpan w:val="3"/>
            <w:shd w:val="clear" w:color="auto" w:fill="auto"/>
            <w:tcMar>
              <w:top w:w="0" w:type="dxa"/>
              <w:left w:w="20" w:type="dxa"/>
              <w:bottom w:w="0" w:type="dxa"/>
              <w:right w:w="20" w:type="dxa"/>
            </w:tcMar>
          </w:tcPr>
          <w:p w14:paraId="746F003C"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03D" w14:textId="77777777" w:rsidR="008E7A10" w:rsidRDefault="00E047B2">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tcPr>
          <w:p w14:paraId="746F003E"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03F" w14:textId="77777777" w:rsidR="008E7A10" w:rsidRDefault="00E047B2">
            <w:pPr>
              <w:jc w:val="center"/>
              <w:textAlignment w:val="bottom"/>
            </w:pPr>
            <w:r>
              <w:rPr>
                <w:rFonts w:ascii="sans-serif" w:eastAsia="sans-serif" w:hAnsi="sans-serif" w:cs="sans-serif"/>
                <w:b/>
                <w:bCs/>
                <w:color w:val="000000"/>
                <w:sz w:val="17"/>
                <w:szCs w:val="17"/>
              </w:rPr>
              <w:t>CLASS B</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040"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041"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042"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043" w14:textId="77777777" w:rsidR="008E7A10" w:rsidRDefault="008E7A10">
            <w:pPr>
              <w:jc w:val="right"/>
              <w:rPr>
                <w:rFonts w:ascii="宋体"/>
              </w:rPr>
            </w:pPr>
          </w:p>
        </w:tc>
      </w:tr>
      <w:tr w:rsidR="008E7A10" w14:paraId="746F004F" w14:textId="77777777">
        <w:trPr>
          <w:trHeight w:val="240"/>
          <w:jc w:val="center"/>
        </w:trPr>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746F0045" w14:textId="77777777" w:rsidR="008E7A10" w:rsidRDefault="00E047B2">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046" w14:textId="77777777" w:rsidR="008E7A10" w:rsidRDefault="00E047B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047" w14:textId="77777777" w:rsidR="008E7A10" w:rsidRDefault="00E047B2">
            <w:pPr>
              <w:jc w:val="right"/>
              <w:textAlignment w:val="bottom"/>
            </w:pPr>
            <w:r>
              <w:rPr>
                <w:rFonts w:ascii="sans-serif" w:eastAsia="sans-serif" w:hAnsi="sans-serif" w:cs="sans-serif"/>
                <w:b/>
                <w:bCs/>
                <w:color w:val="000000"/>
                <w:sz w:val="17"/>
                <w:szCs w:val="17"/>
              </w:rPr>
              <w:t>AMOUNT</w:t>
            </w:r>
          </w:p>
        </w:tc>
        <w:tc>
          <w:tcPr>
            <w:tcW w:w="0" w:type="auto"/>
            <w:gridSpan w:val="3"/>
            <w:tcBorders>
              <w:bottom w:val="single" w:sz="8" w:space="0" w:color="E87722"/>
            </w:tcBorders>
            <w:shd w:val="clear" w:color="auto" w:fill="auto"/>
            <w:tcMar>
              <w:top w:w="0" w:type="dxa"/>
              <w:left w:w="20" w:type="dxa"/>
              <w:bottom w:w="0" w:type="dxa"/>
              <w:right w:w="20" w:type="dxa"/>
            </w:tcMar>
          </w:tcPr>
          <w:p w14:paraId="746F0048" w14:textId="77777777" w:rsidR="008E7A10" w:rsidRDefault="008E7A10">
            <w:pPr>
              <w:rPr>
                <w:rFonts w:ascii="宋体"/>
              </w:rPr>
            </w:pP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049" w14:textId="77777777" w:rsidR="008E7A10" w:rsidRDefault="00E047B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04A" w14:textId="77777777" w:rsidR="008E7A10" w:rsidRDefault="00E047B2">
            <w:pPr>
              <w:jc w:val="right"/>
              <w:textAlignment w:val="bottom"/>
            </w:pPr>
            <w:r>
              <w:rPr>
                <w:rFonts w:ascii="sans-serif" w:eastAsia="sans-serif" w:hAnsi="sans-serif" w:cs="sans-serif"/>
                <w:b/>
                <w:bCs/>
                <w:color w:val="000000"/>
                <w:sz w:val="17"/>
                <w:szCs w:val="17"/>
              </w:rPr>
              <w:t>AMOUNT</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04B"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04C"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04D"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04E" w14:textId="77777777" w:rsidR="008E7A10" w:rsidRDefault="008E7A10">
            <w:pPr>
              <w:jc w:val="right"/>
              <w:rPr>
                <w:rFonts w:ascii="宋体"/>
              </w:rPr>
            </w:pPr>
          </w:p>
        </w:tc>
      </w:tr>
      <w:tr w:rsidR="008E7A10" w14:paraId="746F0068"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050" w14:textId="77777777" w:rsidR="008E7A10" w:rsidRDefault="00E047B2">
            <w:pPr>
              <w:textAlignment w:val="bottom"/>
            </w:pPr>
            <w:r>
              <w:rPr>
                <w:rFonts w:ascii="Arial" w:eastAsia="宋体" w:hAnsi="Arial" w:cs="Arial"/>
                <w:b/>
                <w:bCs/>
                <w:color w:val="000000"/>
                <w:sz w:val="17"/>
                <w:szCs w:val="17"/>
              </w:rPr>
              <w:t>Balance at August 31, 2019</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051" w14:textId="77777777" w:rsidR="008E7A10" w:rsidRDefault="00E047B2">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052"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05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054" w14:textId="77777777" w:rsidR="008E7A10" w:rsidRDefault="00E047B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055"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056"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057" w14:textId="77777777" w:rsidR="008E7A10" w:rsidRDefault="00E047B2">
            <w:pPr>
              <w:jc w:val="right"/>
              <w:textAlignment w:val="bottom"/>
            </w:pPr>
            <w:r>
              <w:rPr>
                <w:rFonts w:ascii="Arial" w:eastAsia="宋体" w:hAnsi="Arial" w:cs="Arial"/>
                <w:b/>
                <w:bCs/>
                <w:color w:val="000000"/>
                <w:sz w:val="17"/>
                <w:szCs w:val="17"/>
              </w:rPr>
              <w:t>1,245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058"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05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05A"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05B"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05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05D" w14:textId="77777777" w:rsidR="008E7A10" w:rsidRDefault="00E047B2">
            <w:pPr>
              <w:jc w:val="right"/>
              <w:textAlignment w:val="bottom"/>
            </w:pPr>
            <w:r>
              <w:rPr>
                <w:rFonts w:ascii="Arial" w:eastAsia="宋体" w:hAnsi="Arial" w:cs="Arial"/>
                <w:b/>
                <w:bCs/>
                <w:color w:val="000000"/>
                <w:sz w:val="17"/>
                <w:szCs w:val="17"/>
              </w:rPr>
              <w:t>7,296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05E"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05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060" w14:textId="77777777" w:rsidR="008E7A10" w:rsidRDefault="00E047B2">
            <w:pPr>
              <w:jc w:val="right"/>
              <w:textAlignment w:val="bottom"/>
            </w:pPr>
            <w:r>
              <w:rPr>
                <w:rFonts w:ascii="Arial" w:eastAsia="宋体" w:hAnsi="Arial" w:cs="Arial"/>
                <w:b/>
                <w:bCs/>
                <w:color w:val="000000"/>
                <w:sz w:val="17"/>
                <w:szCs w:val="17"/>
              </w:rPr>
              <w:t>180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061"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06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063" w14:textId="77777777" w:rsidR="008E7A10" w:rsidRDefault="00E047B2">
            <w:pPr>
              <w:jc w:val="right"/>
              <w:textAlignment w:val="bottom"/>
            </w:pPr>
            <w:r>
              <w:rPr>
                <w:rFonts w:ascii="Arial" w:eastAsia="宋体" w:hAnsi="Arial" w:cs="Arial"/>
                <w:b/>
                <w:bCs/>
                <w:color w:val="000000"/>
                <w:sz w:val="17"/>
                <w:szCs w:val="17"/>
              </w:rPr>
              <w:t>1,721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064"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06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066" w14:textId="77777777" w:rsidR="008E7A10" w:rsidRDefault="00E047B2">
            <w:pPr>
              <w:jc w:val="right"/>
              <w:textAlignment w:val="bottom"/>
            </w:pPr>
            <w:r>
              <w:rPr>
                <w:rFonts w:ascii="Arial" w:eastAsia="宋体" w:hAnsi="Arial" w:cs="Arial"/>
                <w:b/>
                <w:bCs/>
                <w:color w:val="000000"/>
                <w:sz w:val="17"/>
                <w:szCs w:val="17"/>
              </w:rPr>
              <w:t>9,200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067" w14:textId="77777777" w:rsidR="008E7A10" w:rsidRDefault="008E7A10">
            <w:pPr>
              <w:jc w:val="right"/>
              <w:rPr>
                <w:rFonts w:ascii="宋体"/>
              </w:rPr>
            </w:pPr>
          </w:p>
        </w:tc>
      </w:tr>
      <w:tr w:rsidR="008E7A10" w14:paraId="746F007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069" w14:textId="77777777" w:rsidR="008E7A10" w:rsidRDefault="00E047B2">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tcPr>
          <w:p w14:paraId="746F006A"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06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06C"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06D"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06E"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06F"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070" w14:textId="77777777" w:rsidR="008E7A10" w:rsidRDefault="00E047B2">
            <w:pPr>
              <w:jc w:val="right"/>
              <w:textAlignment w:val="bottom"/>
            </w:pPr>
            <w:r>
              <w:rPr>
                <w:rFonts w:ascii="Arial" w:eastAsia="宋体" w:hAnsi="Arial" w:cs="Arial"/>
                <w:color w:val="000000"/>
                <w:sz w:val="17"/>
                <w:szCs w:val="17"/>
              </w:rPr>
              <w:t>265 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071"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072"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073"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074" w14:textId="77777777" w:rsidR="008E7A10" w:rsidRDefault="00E047B2">
            <w:pPr>
              <w:jc w:val="right"/>
              <w:textAlignment w:val="bottom"/>
            </w:pPr>
            <w:r>
              <w:rPr>
                <w:rFonts w:ascii="Arial" w:eastAsia="宋体" w:hAnsi="Arial" w:cs="Arial"/>
                <w:color w:val="000000"/>
                <w:sz w:val="17"/>
                <w:szCs w:val="17"/>
              </w:rPr>
              <w:t>265 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075" w14:textId="77777777" w:rsidR="008E7A10" w:rsidRDefault="008E7A10">
            <w:pPr>
              <w:jc w:val="right"/>
              <w:rPr>
                <w:rFonts w:ascii="宋体"/>
              </w:rPr>
            </w:pPr>
          </w:p>
        </w:tc>
      </w:tr>
      <w:tr w:rsidR="008E7A10" w14:paraId="746F0085"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077" w14:textId="77777777" w:rsidR="008E7A10" w:rsidRDefault="00E047B2">
            <w:pPr>
              <w:textAlignment w:val="bottom"/>
            </w:pPr>
            <w:r>
              <w:rPr>
                <w:rFonts w:ascii="Arial" w:eastAsia="宋体" w:hAnsi="Arial" w:cs="Arial"/>
                <w:color w:val="000000"/>
                <w:sz w:val="17"/>
                <w:szCs w:val="17"/>
              </w:rPr>
              <w:t>Repurchase of Class B Common Stock</w:t>
            </w:r>
          </w:p>
        </w:tc>
        <w:tc>
          <w:tcPr>
            <w:tcW w:w="0" w:type="auto"/>
            <w:gridSpan w:val="3"/>
            <w:tcBorders>
              <w:top w:val="single" w:sz="8" w:space="0" w:color="808080"/>
            </w:tcBorders>
            <w:shd w:val="clear" w:color="auto" w:fill="auto"/>
            <w:tcMar>
              <w:top w:w="0" w:type="dxa"/>
              <w:left w:w="20" w:type="dxa"/>
              <w:bottom w:w="0" w:type="dxa"/>
              <w:right w:w="20" w:type="dxa"/>
            </w:tcMar>
          </w:tcPr>
          <w:p w14:paraId="746F0078"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79"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7A"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7B" w14:textId="77777777" w:rsidR="008E7A10" w:rsidRDefault="00E047B2">
            <w:pPr>
              <w:jc w:val="right"/>
              <w:textAlignment w:val="bottom"/>
            </w:pPr>
            <w:r>
              <w:rPr>
                <w:rFonts w:ascii="Arial" w:eastAsia="宋体" w:hAnsi="Arial" w:cs="Arial"/>
                <w:color w:val="000000"/>
                <w:sz w:val="17"/>
                <w:szCs w:val="17"/>
              </w:rPr>
              <w:t>(10)</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7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7D"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7E" w14:textId="77777777" w:rsidR="008E7A10" w:rsidRDefault="00E047B2">
            <w:pPr>
              <w:jc w:val="right"/>
              <w:textAlignment w:val="bottom"/>
            </w:pPr>
            <w:r>
              <w:rPr>
                <w:rFonts w:ascii="Arial" w:eastAsia="宋体" w:hAnsi="Arial" w:cs="Arial"/>
                <w:color w:val="000000"/>
                <w:sz w:val="17"/>
                <w:szCs w:val="17"/>
              </w:rPr>
              <w:t>(47)</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7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80"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81" w14:textId="77777777" w:rsidR="008E7A10" w:rsidRDefault="00E047B2">
            <w:pPr>
              <w:jc w:val="right"/>
              <w:textAlignment w:val="bottom"/>
            </w:pPr>
            <w:r>
              <w:rPr>
                <w:rFonts w:ascii="Arial" w:eastAsia="宋体" w:hAnsi="Arial" w:cs="Arial"/>
                <w:color w:val="000000"/>
                <w:sz w:val="17"/>
                <w:szCs w:val="17"/>
              </w:rPr>
              <w:t>(875)</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8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83" w14:textId="77777777" w:rsidR="008E7A10" w:rsidRDefault="00E047B2">
            <w:pPr>
              <w:jc w:val="right"/>
              <w:textAlignment w:val="bottom"/>
            </w:pPr>
            <w:r>
              <w:rPr>
                <w:rFonts w:ascii="Arial" w:eastAsia="宋体" w:hAnsi="Arial" w:cs="Arial"/>
                <w:color w:val="000000"/>
                <w:sz w:val="17"/>
                <w:szCs w:val="17"/>
              </w:rPr>
              <w:t>(922)</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84" w14:textId="77777777" w:rsidR="008E7A10" w:rsidRDefault="008E7A10">
            <w:pPr>
              <w:jc w:val="right"/>
              <w:rPr>
                <w:rFonts w:ascii="宋体"/>
              </w:rPr>
            </w:pPr>
          </w:p>
        </w:tc>
      </w:tr>
      <w:tr w:rsidR="008E7A10" w14:paraId="746F0092"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086" w14:textId="77777777" w:rsidR="008E7A10" w:rsidRDefault="00E047B2">
            <w:pPr>
              <w:textAlignment w:val="bottom"/>
            </w:pPr>
            <w:r>
              <w:rPr>
                <w:rFonts w:ascii="Arial" w:eastAsia="宋体" w:hAnsi="Arial" w:cs="Arial"/>
                <w:color w:val="000000"/>
                <w:sz w:val="17"/>
                <w:szCs w:val="17"/>
              </w:rPr>
              <w:t>Dividends on common stock ($0.245 per share)</w:t>
            </w:r>
          </w:p>
        </w:tc>
        <w:tc>
          <w:tcPr>
            <w:tcW w:w="0" w:type="auto"/>
            <w:gridSpan w:val="3"/>
            <w:tcBorders>
              <w:top w:val="single" w:sz="8" w:space="0" w:color="808080"/>
            </w:tcBorders>
            <w:shd w:val="clear" w:color="auto" w:fill="auto"/>
            <w:tcMar>
              <w:top w:w="0" w:type="dxa"/>
              <w:left w:w="20" w:type="dxa"/>
              <w:bottom w:w="0" w:type="dxa"/>
              <w:right w:w="20" w:type="dxa"/>
            </w:tcMar>
          </w:tcPr>
          <w:p w14:paraId="746F0087"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88"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89"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8A"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8B"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8C"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8D"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8E" w14:textId="77777777" w:rsidR="008E7A10" w:rsidRDefault="00E047B2">
            <w:pPr>
              <w:jc w:val="right"/>
              <w:textAlignment w:val="bottom"/>
            </w:pPr>
            <w:r>
              <w:rPr>
                <w:rFonts w:ascii="Arial" w:eastAsia="宋体" w:hAnsi="Arial" w:cs="Arial"/>
                <w:color w:val="000000"/>
                <w:sz w:val="17"/>
                <w:szCs w:val="17"/>
              </w:rPr>
              <w:t>(383)</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8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90" w14:textId="77777777" w:rsidR="008E7A10" w:rsidRDefault="00E047B2">
            <w:pPr>
              <w:jc w:val="right"/>
              <w:textAlignment w:val="bottom"/>
            </w:pPr>
            <w:r>
              <w:rPr>
                <w:rFonts w:ascii="Arial" w:eastAsia="宋体" w:hAnsi="Arial" w:cs="Arial"/>
                <w:color w:val="000000"/>
                <w:sz w:val="17"/>
                <w:szCs w:val="17"/>
              </w:rPr>
              <w:t>(383)</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91" w14:textId="77777777" w:rsidR="008E7A10" w:rsidRDefault="008E7A10">
            <w:pPr>
              <w:jc w:val="right"/>
              <w:rPr>
                <w:rFonts w:ascii="宋体"/>
              </w:rPr>
            </w:pPr>
          </w:p>
        </w:tc>
      </w:tr>
      <w:tr w:rsidR="008E7A10" w14:paraId="746F00A1"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093" w14:textId="77777777" w:rsidR="008E7A10" w:rsidRDefault="00E047B2">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8" w:space="0" w:color="808080"/>
            </w:tcBorders>
            <w:shd w:val="clear" w:color="auto" w:fill="auto"/>
            <w:tcMar>
              <w:top w:w="0" w:type="dxa"/>
              <w:left w:w="20" w:type="dxa"/>
              <w:bottom w:w="0" w:type="dxa"/>
              <w:right w:w="20" w:type="dxa"/>
            </w:tcMar>
          </w:tcPr>
          <w:p w14:paraId="746F0094"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95"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96"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97"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98"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99"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9A" w14:textId="77777777" w:rsidR="008E7A10" w:rsidRDefault="00E047B2">
            <w:pPr>
              <w:jc w:val="right"/>
              <w:textAlignment w:val="bottom"/>
            </w:pPr>
            <w:r>
              <w:rPr>
                <w:rFonts w:ascii="Arial" w:eastAsia="宋体" w:hAnsi="Arial" w:cs="Arial"/>
                <w:color w:val="000000"/>
                <w:sz w:val="17"/>
                <w:szCs w:val="17"/>
              </w:rPr>
              <w:t>95 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9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9C"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9D"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9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9F" w14:textId="77777777" w:rsidR="008E7A10" w:rsidRDefault="00E047B2">
            <w:pPr>
              <w:jc w:val="right"/>
              <w:textAlignment w:val="bottom"/>
            </w:pPr>
            <w:r>
              <w:rPr>
                <w:rFonts w:ascii="Arial" w:eastAsia="宋体" w:hAnsi="Arial" w:cs="Arial"/>
                <w:color w:val="000000"/>
                <w:sz w:val="17"/>
                <w:szCs w:val="17"/>
              </w:rPr>
              <w:t>94 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A0" w14:textId="77777777" w:rsidR="008E7A10" w:rsidRDefault="008E7A10">
            <w:pPr>
              <w:jc w:val="right"/>
              <w:rPr>
                <w:rFonts w:ascii="宋体"/>
              </w:rPr>
            </w:pPr>
          </w:p>
        </w:tc>
      </w:tr>
      <w:tr w:rsidR="008E7A10" w14:paraId="746F00AE"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0A2" w14:textId="77777777" w:rsidR="008E7A10" w:rsidRDefault="00E047B2">
            <w:pPr>
              <w:textAlignment w:val="bottom"/>
            </w:pPr>
            <w:r>
              <w:rPr>
                <w:rFonts w:ascii="Arial" w:eastAsia="宋体" w:hAnsi="Arial" w:cs="Arial"/>
                <w:color w:val="000000"/>
                <w:sz w:val="17"/>
                <w:szCs w:val="17"/>
              </w:rPr>
              <w:t>Stock-based compensation</w:t>
            </w:r>
          </w:p>
        </w:tc>
        <w:tc>
          <w:tcPr>
            <w:tcW w:w="0" w:type="auto"/>
            <w:gridSpan w:val="3"/>
            <w:tcBorders>
              <w:top w:val="single" w:sz="8" w:space="0" w:color="808080"/>
            </w:tcBorders>
            <w:shd w:val="clear" w:color="auto" w:fill="auto"/>
            <w:tcMar>
              <w:top w:w="0" w:type="dxa"/>
              <w:left w:w="20" w:type="dxa"/>
              <w:bottom w:w="0" w:type="dxa"/>
              <w:right w:w="20" w:type="dxa"/>
            </w:tcMar>
          </w:tcPr>
          <w:p w14:paraId="746F00A3"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A4"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A5"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A6"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A7"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A8" w14:textId="77777777" w:rsidR="008E7A10" w:rsidRDefault="00E047B2">
            <w:pPr>
              <w:jc w:val="right"/>
              <w:textAlignment w:val="bottom"/>
            </w:pPr>
            <w:r>
              <w:rPr>
                <w:rFonts w:ascii="Arial" w:eastAsia="宋体" w:hAnsi="Arial" w:cs="Arial"/>
                <w:color w:val="000000"/>
                <w:sz w:val="17"/>
                <w:szCs w:val="17"/>
              </w:rPr>
              <w:t>110 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A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AA"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AB"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AC" w14:textId="77777777" w:rsidR="008E7A10" w:rsidRDefault="00E047B2">
            <w:pPr>
              <w:jc w:val="right"/>
              <w:textAlignment w:val="bottom"/>
            </w:pPr>
            <w:r>
              <w:rPr>
                <w:rFonts w:ascii="Arial" w:eastAsia="宋体" w:hAnsi="Arial" w:cs="Arial"/>
                <w:color w:val="000000"/>
                <w:sz w:val="17"/>
                <w:szCs w:val="17"/>
              </w:rPr>
              <w:t>110 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AD" w14:textId="77777777" w:rsidR="008E7A10" w:rsidRDefault="008E7A10">
            <w:pPr>
              <w:jc w:val="right"/>
              <w:rPr>
                <w:rFonts w:ascii="宋体"/>
              </w:rPr>
            </w:pPr>
          </w:p>
        </w:tc>
      </w:tr>
      <w:tr w:rsidR="008E7A10" w14:paraId="746F00BB"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0AF" w14:textId="77777777" w:rsidR="008E7A10" w:rsidRDefault="00E047B2">
            <w:pPr>
              <w:textAlignment w:val="bottom"/>
            </w:pPr>
            <w:r>
              <w:rPr>
                <w:rFonts w:ascii="Arial" w:eastAsia="宋体" w:hAnsi="Arial" w:cs="Arial"/>
                <w:color w:val="000000"/>
                <w:sz w:val="17"/>
                <w:szCs w:val="17"/>
              </w:rPr>
              <w:t>Net income</w:t>
            </w:r>
          </w:p>
        </w:tc>
        <w:tc>
          <w:tcPr>
            <w:tcW w:w="0" w:type="auto"/>
            <w:gridSpan w:val="3"/>
            <w:tcBorders>
              <w:top w:val="single" w:sz="8" w:space="0" w:color="808080"/>
            </w:tcBorders>
            <w:shd w:val="clear" w:color="auto" w:fill="auto"/>
            <w:tcMar>
              <w:top w:w="0" w:type="dxa"/>
              <w:left w:w="20" w:type="dxa"/>
              <w:bottom w:w="0" w:type="dxa"/>
              <w:right w:w="20" w:type="dxa"/>
            </w:tcMar>
          </w:tcPr>
          <w:p w14:paraId="746F00B0"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B1"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B2"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B3"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B4"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B5"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B6"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B7" w14:textId="77777777" w:rsidR="008E7A10" w:rsidRDefault="00E047B2">
            <w:pPr>
              <w:jc w:val="right"/>
              <w:textAlignment w:val="bottom"/>
            </w:pPr>
            <w:r>
              <w:rPr>
                <w:rFonts w:ascii="Arial" w:eastAsia="宋体" w:hAnsi="Arial" w:cs="Arial"/>
                <w:color w:val="000000"/>
                <w:sz w:val="17"/>
                <w:szCs w:val="17"/>
              </w:rPr>
              <w:t>1,115 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B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B9" w14:textId="77777777" w:rsidR="008E7A10" w:rsidRDefault="00E047B2">
            <w:pPr>
              <w:jc w:val="right"/>
              <w:textAlignment w:val="bottom"/>
            </w:pPr>
            <w:r>
              <w:rPr>
                <w:rFonts w:ascii="Arial" w:eastAsia="宋体" w:hAnsi="Arial" w:cs="Arial"/>
                <w:color w:val="000000"/>
                <w:sz w:val="17"/>
                <w:szCs w:val="17"/>
              </w:rPr>
              <w:t>1,115 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BA" w14:textId="77777777" w:rsidR="008E7A10" w:rsidRDefault="008E7A10">
            <w:pPr>
              <w:jc w:val="right"/>
              <w:rPr>
                <w:rFonts w:ascii="宋体"/>
              </w:rPr>
            </w:pPr>
          </w:p>
        </w:tc>
      </w:tr>
      <w:tr w:rsidR="008E7A10" w14:paraId="746F00C8"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0BC" w14:textId="77777777" w:rsidR="008E7A10" w:rsidRDefault="00E047B2">
            <w:pPr>
              <w:textAlignment w:val="bottom"/>
            </w:pPr>
            <w:r>
              <w:rPr>
                <w:rFonts w:ascii="Arial" w:eastAsia="宋体" w:hAnsi="Arial" w:cs="Arial"/>
                <w:color w:val="000000"/>
                <w:sz w:val="17"/>
                <w:szCs w:val="17"/>
              </w:rPr>
              <w:t>Other comprehensive income (loss)</w:t>
            </w:r>
          </w:p>
        </w:tc>
        <w:tc>
          <w:tcPr>
            <w:tcW w:w="0" w:type="auto"/>
            <w:gridSpan w:val="3"/>
            <w:tcBorders>
              <w:top w:val="single" w:sz="8" w:space="0" w:color="808080"/>
            </w:tcBorders>
            <w:shd w:val="clear" w:color="auto" w:fill="auto"/>
            <w:tcMar>
              <w:top w:w="0" w:type="dxa"/>
              <w:left w:w="20" w:type="dxa"/>
              <w:bottom w:w="0" w:type="dxa"/>
              <w:right w:w="20" w:type="dxa"/>
            </w:tcMar>
          </w:tcPr>
          <w:p w14:paraId="746F00BD"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BE"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BF"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C0"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C1"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C2"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C3" w14:textId="77777777" w:rsidR="008E7A10" w:rsidRDefault="00E047B2">
            <w:pPr>
              <w:jc w:val="right"/>
              <w:textAlignment w:val="bottom"/>
            </w:pPr>
            <w:r>
              <w:rPr>
                <w:rFonts w:ascii="Arial" w:eastAsia="宋体" w:hAnsi="Arial" w:cs="Arial"/>
                <w:color w:val="000000"/>
                <w:sz w:val="17"/>
                <w:szCs w:val="17"/>
              </w:rPr>
              <w:t>(128)</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C4"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0C5"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0C6" w14:textId="77777777" w:rsidR="008E7A10" w:rsidRDefault="00E047B2">
            <w:pPr>
              <w:jc w:val="right"/>
              <w:textAlignment w:val="bottom"/>
            </w:pPr>
            <w:r>
              <w:rPr>
                <w:rFonts w:ascii="Arial" w:eastAsia="宋体" w:hAnsi="Arial" w:cs="Arial"/>
                <w:color w:val="000000"/>
                <w:sz w:val="17"/>
                <w:szCs w:val="17"/>
              </w:rPr>
              <w:t>(128)</w:t>
            </w:r>
          </w:p>
        </w:tc>
        <w:tc>
          <w:tcPr>
            <w:tcW w:w="0" w:type="auto"/>
            <w:tcBorders>
              <w:top w:val="single" w:sz="8" w:space="0" w:color="808080"/>
            </w:tcBorders>
            <w:shd w:val="clear" w:color="auto" w:fill="auto"/>
            <w:tcMar>
              <w:top w:w="40" w:type="dxa"/>
              <w:left w:w="0" w:type="dxa"/>
              <w:bottom w:w="40" w:type="dxa"/>
              <w:right w:w="20" w:type="dxa"/>
            </w:tcMar>
            <w:vAlign w:val="bottom"/>
          </w:tcPr>
          <w:p w14:paraId="746F00C7" w14:textId="77777777" w:rsidR="008E7A10" w:rsidRDefault="008E7A10">
            <w:pPr>
              <w:jc w:val="right"/>
              <w:rPr>
                <w:rFonts w:ascii="宋体"/>
              </w:rPr>
            </w:pPr>
          </w:p>
        </w:tc>
      </w:tr>
      <w:tr w:rsidR="008E7A10" w14:paraId="746F00E1"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0C9" w14:textId="77777777" w:rsidR="008E7A10" w:rsidRDefault="00E047B2">
            <w:pPr>
              <w:textAlignment w:val="bottom"/>
            </w:pPr>
            <w:r>
              <w:rPr>
                <w:rFonts w:ascii="Arial" w:eastAsia="宋体" w:hAnsi="Arial" w:cs="Arial"/>
                <w:b/>
                <w:bCs/>
                <w:color w:val="000000"/>
                <w:sz w:val="17"/>
                <w:szCs w:val="17"/>
              </w:rPr>
              <w:t>Balance at November 30, 2019</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0CA" w14:textId="77777777" w:rsidR="008E7A10" w:rsidRDefault="00E047B2">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0CB"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0C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0CD" w14:textId="77777777" w:rsidR="008E7A10" w:rsidRDefault="00E047B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0CE"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0CF" w14:textId="77777777" w:rsidR="008E7A10" w:rsidRDefault="008E7A10">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0D0" w14:textId="77777777" w:rsidR="008E7A10" w:rsidRDefault="00E047B2">
            <w:pPr>
              <w:jc w:val="right"/>
              <w:textAlignment w:val="bottom"/>
            </w:pPr>
            <w:r>
              <w:rPr>
                <w:rFonts w:ascii="Arial" w:eastAsia="宋体" w:hAnsi="Arial" w:cs="Arial"/>
                <w:b/>
                <w:bCs/>
                <w:color w:val="000000"/>
                <w:sz w:val="17"/>
                <w:szCs w:val="17"/>
              </w:rPr>
              <w:t>1,244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0D1"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0D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0D3"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0D4"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0D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0D6" w14:textId="77777777" w:rsidR="008E7A10" w:rsidRDefault="00E047B2">
            <w:pPr>
              <w:jc w:val="right"/>
              <w:textAlignment w:val="bottom"/>
            </w:pPr>
            <w:r>
              <w:rPr>
                <w:rFonts w:ascii="Arial" w:eastAsia="宋体" w:hAnsi="Arial" w:cs="Arial"/>
                <w:b/>
                <w:bCs/>
                <w:color w:val="000000"/>
                <w:sz w:val="17"/>
                <w:szCs w:val="17"/>
              </w:rPr>
              <w:t>7,719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0D7"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0D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0D9" w14:textId="77777777" w:rsidR="008E7A10" w:rsidRDefault="00E047B2">
            <w:pPr>
              <w:jc w:val="right"/>
              <w:textAlignment w:val="bottom"/>
            </w:pPr>
            <w:r>
              <w:rPr>
                <w:rFonts w:ascii="Arial" w:eastAsia="宋体" w:hAnsi="Arial" w:cs="Arial"/>
                <w:b/>
                <w:bCs/>
                <w:color w:val="000000"/>
                <w:sz w:val="17"/>
                <w:szCs w:val="17"/>
              </w:rPr>
              <w:t>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0DA"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0D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0DC" w14:textId="77777777" w:rsidR="008E7A10" w:rsidRDefault="00E047B2">
            <w:pPr>
              <w:jc w:val="right"/>
              <w:textAlignment w:val="bottom"/>
            </w:pPr>
            <w:r>
              <w:rPr>
                <w:rFonts w:ascii="Arial" w:eastAsia="宋体" w:hAnsi="Arial" w:cs="Arial"/>
                <w:b/>
                <w:bCs/>
                <w:color w:val="000000"/>
                <w:sz w:val="17"/>
                <w:szCs w:val="17"/>
              </w:rPr>
              <w:t>1,577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0DD"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0D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0DF" w14:textId="77777777" w:rsidR="008E7A10" w:rsidRDefault="00E047B2">
            <w:pPr>
              <w:jc w:val="right"/>
              <w:textAlignment w:val="bottom"/>
            </w:pPr>
            <w:r>
              <w:rPr>
                <w:rFonts w:ascii="Arial" w:eastAsia="宋体" w:hAnsi="Arial" w:cs="Arial"/>
                <w:b/>
                <w:bCs/>
                <w:color w:val="000000"/>
                <w:sz w:val="17"/>
                <w:szCs w:val="17"/>
              </w:rPr>
              <w:t>9,351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0E0" w14:textId="77777777" w:rsidR="008E7A10" w:rsidRDefault="008E7A10">
            <w:pPr>
              <w:jc w:val="right"/>
              <w:rPr>
                <w:rFonts w:ascii="宋体"/>
              </w:rPr>
            </w:pPr>
          </w:p>
        </w:tc>
      </w:tr>
    </w:tbl>
    <w:p w14:paraId="746F00E2" w14:textId="77777777" w:rsidR="008E7A10" w:rsidRDefault="00E047B2">
      <w:pPr>
        <w:spacing w:before="11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746F00E3" w14:textId="77777777" w:rsidR="008E7A10" w:rsidRDefault="008E7A10">
      <w:pPr>
        <w:spacing w:before="110" w:after="120"/>
      </w:pPr>
    </w:p>
    <w:p w14:paraId="746F00E4" w14:textId="77777777" w:rsidR="008E7A10" w:rsidRDefault="00E047B2">
      <w:pPr>
        <w:spacing w:before="120" w:after="120"/>
        <w:jc w:val="right"/>
      </w:pPr>
      <w:r>
        <w:rPr>
          <w:rFonts w:ascii="Arial" w:eastAsia="宋体" w:hAnsi="Arial" w:cs="Arial"/>
          <w:color w:val="E87722"/>
          <w:sz w:val="17"/>
          <w:szCs w:val="17"/>
        </w:rPr>
        <w:t>5</w:t>
      </w:r>
    </w:p>
    <w:p w14:paraId="746F00E5" w14:textId="77777777" w:rsidR="008E7A10" w:rsidRDefault="00E047B2">
      <w:r>
        <w:pict w14:anchorId="746F200D">
          <v:rect id="_x0000_i1031" style="width:415.3pt;height:1.5pt" o:hralign="center" o:hrstd="t" o:hr="t" fillcolor="#a0a0a0" stroked="f"/>
        </w:pict>
      </w:r>
    </w:p>
    <w:p w14:paraId="746F00E6" w14:textId="77777777" w:rsidR="008E7A10" w:rsidRDefault="008E7A10"/>
    <w:p w14:paraId="746F00E7" w14:textId="77777777" w:rsidR="008E7A10" w:rsidRDefault="00E047B2">
      <w:hyperlink r:id="rId48" w:anchor="i31a624617c6c41b38f8f700fa0df5bde_7" w:history="1">
        <w:r>
          <w:rPr>
            <w:rStyle w:val="a5"/>
            <w:rFonts w:ascii="sans-serif" w:eastAsia="sans-serif" w:hAnsi="sans-serif" w:cs="sans-serif"/>
            <w:sz w:val="17"/>
            <w:szCs w:val="17"/>
          </w:rPr>
          <w:t>Table of Contents</w:t>
        </w:r>
      </w:hyperlink>
    </w:p>
    <w:p w14:paraId="746F00E8" w14:textId="77777777" w:rsidR="008E7A10" w:rsidRDefault="008E7A10"/>
    <w:p w14:paraId="746F00E9" w14:textId="77777777" w:rsidR="008E7A10" w:rsidRDefault="008E7A10">
      <w:pPr>
        <w:spacing w:before="110" w:after="120"/>
        <w:jc w:val="center"/>
      </w:pPr>
    </w:p>
    <w:p w14:paraId="746F00EA" w14:textId="77777777" w:rsidR="008E7A10" w:rsidRDefault="008E7A10">
      <w:pPr>
        <w:spacing w:before="120" w:after="12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8E7A10" w14:paraId="746F0109" w14:textId="77777777">
        <w:trPr>
          <w:jc w:val="center"/>
        </w:trPr>
        <w:tc>
          <w:tcPr>
            <w:tcW w:w="50" w:type="pct"/>
            <w:shd w:val="clear" w:color="auto" w:fill="auto"/>
          </w:tcPr>
          <w:p w14:paraId="746F00EB" w14:textId="77777777" w:rsidR="008E7A10" w:rsidRDefault="008E7A10">
            <w:pPr>
              <w:rPr>
                <w:rFonts w:ascii="宋体"/>
              </w:rPr>
            </w:pPr>
          </w:p>
        </w:tc>
        <w:tc>
          <w:tcPr>
            <w:tcW w:w="1560" w:type="pct"/>
            <w:shd w:val="clear" w:color="auto" w:fill="auto"/>
          </w:tcPr>
          <w:p w14:paraId="746F00EC" w14:textId="77777777" w:rsidR="008E7A10" w:rsidRDefault="008E7A10">
            <w:pPr>
              <w:rPr>
                <w:rFonts w:ascii="宋体"/>
              </w:rPr>
            </w:pPr>
          </w:p>
        </w:tc>
        <w:tc>
          <w:tcPr>
            <w:tcW w:w="5" w:type="pct"/>
            <w:shd w:val="clear" w:color="auto" w:fill="auto"/>
          </w:tcPr>
          <w:p w14:paraId="746F00ED" w14:textId="77777777" w:rsidR="008E7A10" w:rsidRDefault="008E7A10">
            <w:pPr>
              <w:rPr>
                <w:rFonts w:ascii="宋体"/>
              </w:rPr>
            </w:pPr>
          </w:p>
        </w:tc>
        <w:tc>
          <w:tcPr>
            <w:tcW w:w="50" w:type="pct"/>
            <w:shd w:val="clear" w:color="auto" w:fill="auto"/>
          </w:tcPr>
          <w:p w14:paraId="746F00EE" w14:textId="77777777" w:rsidR="008E7A10" w:rsidRDefault="008E7A10">
            <w:pPr>
              <w:rPr>
                <w:rFonts w:ascii="宋体"/>
              </w:rPr>
            </w:pPr>
          </w:p>
        </w:tc>
        <w:tc>
          <w:tcPr>
            <w:tcW w:w="285" w:type="pct"/>
            <w:shd w:val="clear" w:color="auto" w:fill="auto"/>
          </w:tcPr>
          <w:p w14:paraId="746F00EF" w14:textId="77777777" w:rsidR="008E7A10" w:rsidRDefault="008E7A10">
            <w:pPr>
              <w:rPr>
                <w:rFonts w:ascii="宋体"/>
              </w:rPr>
            </w:pPr>
          </w:p>
        </w:tc>
        <w:tc>
          <w:tcPr>
            <w:tcW w:w="5" w:type="pct"/>
            <w:shd w:val="clear" w:color="auto" w:fill="auto"/>
          </w:tcPr>
          <w:p w14:paraId="746F00F0" w14:textId="77777777" w:rsidR="008E7A10" w:rsidRDefault="008E7A10">
            <w:pPr>
              <w:rPr>
                <w:rFonts w:ascii="宋体"/>
              </w:rPr>
            </w:pPr>
          </w:p>
        </w:tc>
        <w:tc>
          <w:tcPr>
            <w:tcW w:w="50" w:type="pct"/>
            <w:shd w:val="clear" w:color="auto" w:fill="auto"/>
          </w:tcPr>
          <w:p w14:paraId="746F00F1" w14:textId="77777777" w:rsidR="008E7A10" w:rsidRDefault="008E7A10">
            <w:pPr>
              <w:rPr>
                <w:rFonts w:ascii="宋体"/>
              </w:rPr>
            </w:pPr>
          </w:p>
        </w:tc>
        <w:tc>
          <w:tcPr>
            <w:tcW w:w="346" w:type="pct"/>
            <w:shd w:val="clear" w:color="auto" w:fill="auto"/>
          </w:tcPr>
          <w:p w14:paraId="746F00F2" w14:textId="77777777" w:rsidR="008E7A10" w:rsidRDefault="008E7A10">
            <w:pPr>
              <w:rPr>
                <w:rFonts w:ascii="宋体"/>
              </w:rPr>
            </w:pPr>
          </w:p>
        </w:tc>
        <w:tc>
          <w:tcPr>
            <w:tcW w:w="5" w:type="pct"/>
            <w:shd w:val="clear" w:color="auto" w:fill="auto"/>
          </w:tcPr>
          <w:p w14:paraId="746F00F3" w14:textId="77777777" w:rsidR="008E7A10" w:rsidRDefault="008E7A10">
            <w:pPr>
              <w:rPr>
                <w:rFonts w:ascii="宋体"/>
              </w:rPr>
            </w:pPr>
          </w:p>
        </w:tc>
        <w:tc>
          <w:tcPr>
            <w:tcW w:w="5" w:type="pct"/>
            <w:shd w:val="clear" w:color="auto" w:fill="auto"/>
          </w:tcPr>
          <w:p w14:paraId="746F00F4" w14:textId="77777777" w:rsidR="008E7A10" w:rsidRDefault="008E7A10">
            <w:pPr>
              <w:rPr>
                <w:rFonts w:ascii="宋体"/>
              </w:rPr>
            </w:pPr>
          </w:p>
        </w:tc>
        <w:tc>
          <w:tcPr>
            <w:tcW w:w="28" w:type="pct"/>
            <w:shd w:val="clear" w:color="auto" w:fill="auto"/>
          </w:tcPr>
          <w:p w14:paraId="746F00F5" w14:textId="77777777" w:rsidR="008E7A10" w:rsidRDefault="008E7A10">
            <w:pPr>
              <w:rPr>
                <w:rFonts w:ascii="宋体"/>
              </w:rPr>
            </w:pPr>
          </w:p>
        </w:tc>
        <w:tc>
          <w:tcPr>
            <w:tcW w:w="5" w:type="pct"/>
            <w:shd w:val="clear" w:color="auto" w:fill="auto"/>
          </w:tcPr>
          <w:p w14:paraId="746F00F6" w14:textId="77777777" w:rsidR="008E7A10" w:rsidRDefault="008E7A10">
            <w:pPr>
              <w:rPr>
                <w:rFonts w:ascii="宋体"/>
              </w:rPr>
            </w:pPr>
          </w:p>
        </w:tc>
        <w:tc>
          <w:tcPr>
            <w:tcW w:w="50" w:type="pct"/>
            <w:shd w:val="clear" w:color="auto" w:fill="auto"/>
          </w:tcPr>
          <w:p w14:paraId="746F00F7" w14:textId="77777777" w:rsidR="008E7A10" w:rsidRDefault="008E7A10">
            <w:pPr>
              <w:rPr>
                <w:rFonts w:ascii="宋体"/>
              </w:rPr>
            </w:pPr>
          </w:p>
        </w:tc>
        <w:tc>
          <w:tcPr>
            <w:tcW w:w="285" w:type="pct"/>
            <w:shd w:val="clear" w:color="auto" w:fill="auto"/>
          </w:tcPr>
          <w:p w14:paraId="746F00F8" w14:textId="77777777" w:rsidR="008E7A10" w:rsidRDefault="008E7A10">
            <w:pPr>
              <w:rPr>
                <w:rFonts w:ascii="宋体"/>
              </w:rPr>
            </w:pPr>
          </w:p>
        </w:tc>
        <w:tc>
          <w:tcPr>
            <w:tcW w:w="5" w:type="pct"/>
            <w:shd w:val="clear" w:color="auto" w:fill="auto"/>
          </w:tcPr>
          <w:p w14:paraId="746F00F9" w14:textId="77777777" w:rsidR="008E7A10" w:rsidRDefault="008E7A10">
            <w:pPr>
              <w:rPr>
                <w:rFonts w:ascii="宋体"/>
              </w:rPr>
            </w:pPr>
          </w:p>
        </w:tc>
        <w:tc>
          <w:tcPr>
            <w:tcW w:w="50" w:type="pct"/>
            <w:shd w:val="clear" w:color="auto" w:fill="auto"/>
          </w:tcPr>
          <w:p w14:paraId="746F00FA" w14:textId="77777777" w:rsidR="008E7A10" w:rsidRDefault="008E7A10">
            <w:pPr>
              <w:rPr>
                <w:rFonts w:ascii="宋体"/>
              </w:rPr>
            </w:pPr>
          </w:p>
        </w:tc>
        <w:tc>
          <w:tcPr>
            <w:tcW w:w="323" w:type="pct"/>
            <w:shd w:val="clear" w:color="auto" w:fill="auto"/>
          </w:tcPr>
          <w:p w14:paraId="746F00FB" w14:textId="77777777" w:rsidR="008E7A10" w:rsidRDefault="008E7A10">
            <w:pPr>
              <w:rPr>
                <w:rFonts w:ascii="宋体"/>
              </w:rPr>
            </w:pPr>
          </w:p>
        </w:tc>
        <w:tc>
          <w:tcPr>
            <w:tcW w:w="5" w:type="pct"/>
            <w:shd w:val="clear" w:color="auto" w:fill="auto"/>
          </w:tcPr>
          <w:p w14:paraId="746F00FC" w14:textId="77777777" w:rsidR="008E7A10" w:rsidRDefault="008E7A10">
            <w:pPr>
              <w:rPr>
                <w:rFonts w:ascii="宋体"/>
              </w:rPr>
            </w:pPr>
          </w:p>
        </w:tc>
        <w:tc>
          <w:tcPr>
            <w:tcW w:w="50" w:type="pct"/>
            <w:shd w:val="clear" w:color="auto" w:fill="auto"/>
          </w:tcPr>
          <w:p w14:paraId="746F00FD" w14:textId="77777777" w:rsidR="008E7A10" w:rsidRDefault="008E7A10">
            <w:pPr>
              <w:rPr>
                <w:rFonts w:ascii="宋体"/>
              </w:rPr>
            </w:pPr>
          </w:p>
        </w:tc>
        <w:tc>
          <w:tcPr>
            <w:tcW w:w="385" w:type="pct"/>
            <w:shd w:val="clear" w:color="auto" w:fill="auto"/>
          </w:tcPr>
          <w:p w14:paraId="746F00FE" w14:textId="77777777" w:rsidR="008E7A10" w:rsidRDefault="008E7A10">
            <w:pPr>
              <w:rPr>
                <w:rFonts w:ascii="宋体"/>
              </w:rPr>
            </w:pPr>
          </w:p>
        </w:tc>
        <w:tc>
          <w:tcPr>
            <w:tcW w:w="5" w:type="pct"/>
            <w:shd w:val="clear" w:color="auto" w:fill="auto"/>
          </w:tcPr>
          <w:p w14:paraId="746F00FF" w14:textId="77777777" w:rsidR="008E7A10" w:rsidRDefault="008E7A10">
            <w:pPr>
              <w:rPr>
                <w:rFonts w:ascii="宋体"/>
              </w:rPr>
            </w:pPr>
          </w:p>
        </w:tc>
        <w:tc>
          <w:tcPr>
            <w:tcW w:w="50" w:type="pct"/>
            <w:shd w:val="clear" w:color="auto" w:fill="auto"/>
          </w:tcPr>
          <w:p w14:paraId="746F0100" w14:textId="77777777" w:rsidR="008E7A10" w:rsidRDefault="008E7A10">
            <w:pPr>
              <w:rPr>
                <w:rFonts w:ascii="宋体"/>
              </w:rPr>
            </w:pPr>
          </w:p>
        </w:tc>
        <w:tc>
          <w:tcPr>
            <w:tcW w:w="586" w:type="pct"/>
            <w:shd w:val="clear" w:color="auto" w:fill="auto"/>
          </w:tcPr>
          <w:p w14:paraId="746F0101" w14:textId="77777777" w:rsidR="008E7A10" w:rsidRDefault="008E7A10">
            <w:pPr>
              <w:rPr>
                <w:rFonts w:ascii="宋体"/>
              </w:rPr>
            </w:pPr>
          </w:p>
        </w:tc>
        <w:tc>
          <w:tcPr>
            <w:tcW w:w="5" w:type="pct"/>
            <w:shd w:val="clear" w:color="auto" w:fill="auto"/>
          </w:tcPr>
          <w:p w14:paraId="746F0102" w14:textId="77777777" w:rsidR="008E7A10" w:rsidRDefault="008E7A10">
            <w:pPr>
              <w:rPr>
                <w:rFonts w:ascii="宋体"/>
              </w:rPr>
            </w:pPr>
          </w:p>
        </w:tc>
        <w:tc>
          <w:tcPr>
            <w:tcW w:w="50" w:type="pct"/>
            <w:shd w:val="clear" w:color="auto" w:fill="auto"/>
          </w:tcPr>
          <w:p w14:paraId="746F0103" w14:textId="77777777" w:rsidR="008E7A10" w:rsidRDefault="008E7A10">
            <w:pPr>
              <w:rPr>
                <w:rFonts w:ascii="宋体"/>
              </w:rPr>
            </w:pPr>
          </w:p>
        </w:tc>
        <w:tc>
          <w:tcPr>
            <w:tcW w:w="370" w:type="pct"/>
            <w:shd w:val="clear" w:color="auto" w:fill="auto"/>
          </w:tcPr>
          <w:p w14:paraId="746F0104" w14:textId="77777777" w:rsidR="008E7A10" w:rsidRDefault="008E7A10">
            <w:pPr>
              <w:rPr>
                <w:rFonts w:ascii="宋体"/>
              </w:rPr>
            </w:pPr>
          </w:p>
        </w:tc>
        <w:tc>
          <w:tcPr>
            <w:tcW w:w="5" w:type="pct"/>
            <w:shd w:val="clear" w:color="auto" w:fill="auto"/>
          </w:tcPr>
          <w:p w14:paraId="746F0105" w14:textId="77777777" w:rsidR="008E7A10" w:rsidRDefault="008E7A10">
            <w:pPr>
              <w:rPr>
                <w:rFonts w:ascii="宋体"/>
              </w:rPr>
            </w:pPr>
          </w:p>
        </w:tc>
        <w:tc>
          <w:tcPr>
            <w:tcW w:w="50" w:type="pct"/>
            <w:shd w:val="clear" w:color="auto" w:fill="auto"/>
          </w:tcPr>
          <w:p w14:paraId="746F0106" w14:textId="77777777" w:rsidR="008E7A10" w:rsidRDefault="008E7A10">
            <w:pPr>
              <w:rPr>
                <w:rFonts w:ascii="宋体"/>
              </w:rPr>
            </w:pPr>
          </w:p>
        </w:tc>
        <w:tc>
          <w:tcPr>
            <w:tcW w:w="323" w:type="pct"/>
            <w:shd w:val="clear" w:color="auto" w:fill="auto"/>
          </w:tcPr>
          <w:p w14:paraId="746F0107" w14:textId="77777777" w:rsidR="008E7A10" w:rsidRDefault="008E7A10">
            <w:pPr>
              <w:rPr>
                <w:rFonts w:ascii="宋体"/>
              </w:rPr>
            </w:pPr>
          </w:p>
        </w:tc>
        <w:tc>
          <w:tcPr>
            <w:tcW w:w="5" w:type="pct"/>
            <w:shd w:val="clear" w:color="auto" w:fill="auto"/>
          </w:tcPr>
          <w:p w14:paraId="746F0108" w14:textId="77777777" w:rsidR="008E7A10" w:rsidRDefault="008E7A10">
            <w:pPr>
              <w:rPr>
                <w:rFonts w:ascii="宋体"/>
              </w:rPr>
            </w:pPr>
          </w:p>
        </w:tc>
      </w:tr>
      <w:tr w:rsidR="008E7A10" w14:paraId="746F0110" w14:textId="77777777">
        <w:trPr>
          <w:trHeight w:val="240"/>
          <w:jc w:val="center"/>
        </w:trPr>
        <w:tc>
          <w:tcPr>
            <w:tcW w:w="0" w:type="auto"/>
            <w:gridSpan w:val="3"/>
            <w:shd w:val="clear" w:color="auto" w:fill="auto"/>
            <w:tcMar>
              <w:top w:w="0" w:type="dxa"/>
              <w:left w:w="20" w:type="dxa"/>
              <w:bottom w:w="0" w:type="dxa"/>
              <w:right w:w="20" w:type="dxa"/>
            </w:tcMar>
          </w:tcPr>
          <w:p w14:paraId="746F010A" w14:textId="77777777" w:rsidR="008E7A10" w:rsidRDefault="008E7A10">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746F010B" w14:textId="77777777" w:rsidR="008E7A10" w:rsidRDefault="00E047B2">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746F010C" w14:textId="77777777" w:rsidR="008E7A10" w:rsidRDefault="00E047B2">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746F010D" w14:textId="77777777" w:rsidR="008E7A10" w:rsidRDefault="00E047B2">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746F010E" w14:textId="77777777" w:rsidR="008E7A10" w:rsidRDefault="00E047B2">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shd w:val="clear" w:color="auto" w:fill="auto"/>
            <w:tcMar>
              <w:top w:w="40" w:type="dxa"/>
              <w:left w:w="20" w:type="dxa"/>
              <w:bottom w:w="40" w:type="dxa"/>
              <w:right w:w="20" w:type="dxa"/>
            </w:tcMar>
            <w:vAlign w:val="bottom"/>
          </w:tcPr>
          <w:p w14:paraId="746F010F" w14:textId="77777777" w:rsidR="008E7A10" w:rsidRDefault="00E047B2">
            <w:pPr>
              <w:jc w:val="right"/>
              <w:textAlignment w:val="bottom"/>
            </w:pPr>
            <w:r>
              <w:rPr>
                <w:rFonts w:ascii="sans-serif" w:eastAsia="sans-serif" w:hAnsi="sans-serif" w:cs="sans-serif"/>
                <w:b/>
                <w:bCs/>
                <w:color w:val="000000"/>
                <w:sz w:val="17"/>
                <w:szCs w:val="17"/>
              </w:rPr>
              <w:t>TOTAL</w:t>
            </w:r>
          </w:p>
        </w:tc>
      </w:tr>
      <w:tr w:rsidR="008E7A10" w14:paraId="746F0119" w14:textId="77777777">
        <w:trPr>
          <w:trHeight w:val="240"/>
          <w:jc w:val="center"/>
        </w:trPr>
        <w:tc>
          <w:tcPr>
            <w:tcW w:w="0" w:type="auto"/>
            <w:gridSpan w:val="3"/>
            <w:shd w:val="clear" w:color="auto" w:fill="auto"/>
            <w:tcMar>
              <w:top w:w="0" w:type="dxa"/>
              <w:left w:w="20" w:type="dxa"/>
              <w:bottom w:w="0" w:type="dxa"/>
              <w:right w:w="20" w:type="dxa"/>
            </w:tcMar>
          </w:tcPr>
          <w:p w14:paraId="746F0111"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112" w14:textId="77777777" w:rsidR="008E7A10" w:rsidRDefault="00E047B2">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tcPr>
          <w:p w14:paraId="746F0113"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114" w14:textId="77777777" w:rsidR="008E7A10" w:rsidRDefault="00E047B2">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746F0115"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F0116"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F0117"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F0118" w14:textId="77777777" w:rsidR="008E7A10" w:rsidRDefault="008E7A10">
            <w:pPr>
              <w:jc w:val="right"/>
              <w:rPr>
                <w:rFonts w:ascii="宋体"/>
              </w:rPr>
            </w:pPr>
          </w:p>
        </w:tc>
      </w:tr>
      <w:tr w:rsidR="008E7A10" w14:paraId="746F0124" w14:textId="77777777">
        <w:trPr>
          <w:trHeight w:val="240"/>
          <w:jc w:val="center"/>
        </w:trPr>
        <w:tc>
          <w:tcPr>
            <w:tcW w:w="0" w:type="auto"/>
            <w:gridSpan w:val="3"/>
            <w:shd w:val="clear" w:color="auto" w:fill="auto"/>
            <w:tcMar>
              <w:top w:w="40" w:type="dxa"/>
              <w:left w:w="20" w:type="dxa"/>
              <w:bottom w:w="40" w:type="dxa"/>
              <w:right w:w="20" w:type="dxa"/>
            </w:tcMar>
            <w:vAlign w:val="bottom"/>
          </w:tcPr>
          <w:p w14:paraId="746F011A" w14:textId="77777777" w:rsidR="008E7A10" w:rsidRDefault="00E047B2">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11B" w14:textId="77777777" w:rsidR="008E7A10" w:rsidRDefault="00E047B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11C" w14:textId="77777777" w:rsidR="008E7A10" w:rsidRDefault="00E047B2">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tcPr>
          <w:p w14:paraId="746F011D"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11E" w14:textId="77777777" w:rsidR="008E7A10" w:rsidRDefault="00E047B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11F" w14:textId="77777777" w:rsidR="008E7A10" w:rsidRDefault="00E047B2">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746F0120"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F0121"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F0122" w14:textId="77777777" w:rsidR="008E7A10" w:rsidRDefault="008E7A10">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746F0123" w14:textId="77777777" w:rsidR="008E7A10" w:rsidRDefault="008E7A10">
            <w:pPr>
              <w:jc w:val="right"/>
              <w:rPr>
                <w:rFonts w:ascii="宋体"/>
              </w:rPr>
            </w:pPr>
          </w:p>
        </w:tc>
      </w:tr>
      <w:tr w:rsidR="008E7A10" w14:paraId="746F013D"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125" w14:textId="77777777" w:rsidR="008E7A10" w:rsidRDefault="00E047B2">
            <w:pPr>
              <w:textAlignment w:val="bottom"/>
            </w:pPr>
            <w:r>
              <w:rPr>
                <w:rFonts w:ascii="Arial" w:eastAsia="宋体" w:hAnsi="Arial" w:cs="Arial"/>
                <w:b/>
                <w:bCs/>
                <w:color w:val="000000"/>
                <w:sz w:val="17"/>
                <w:szCs w:val="17"/>
              </w:rPr>
              <w:t>Balance at May 31, 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126" w14:textId="77777777" w:rsidR="008E7A10" w:rsidRDefault="00E047B2">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27"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12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129" w14:textId="77777777" w:rsidR="008E7A10" w:rsidRDefault="00E047B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2A"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12B"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12C" w14:textId="77777777" w:rsidR="008E7A10" w:rsidRDefault="00E047B2">
            <w:pPr>
              <w:jc w:val="right"/>
              <w:textAlignment w:val="bottom"/>
            </w:pPr>
            <w:r>
              <w:rPr>
                <w:rFonts w:ascii="Arial" w:eastAsia="宋体" w:hAnsi="Arial" w:cs="Arial"/>
                <w:b/>
                <w:bCs/>
                <w:color w:val="000000"/>
                <w:sz w:val="17"/>
                <w:szCs w:val="17"/>
              </w:rPr>
              <w:t>1,243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2D"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12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12F"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30"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13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132" w14:textId="77777777" w:rsidR="008E7A10" w:rsidRDefault="00E047B2">
            <w:pPr>
              <w:jc w:val="right"/>
              <w:textAlignment w:val="bottom"/>
            </w:pPr>
            <w:r>
              <w:rPr>
                <w:rFonts w:ascii="Arial" w:eastAsia="宋体" w:hAnsi="Arial" w:cs="Arial"/>
                <w:b/>
                <w:bCs/>
                <w:color w:val="000000"/>
                <w:sz w:val="17"/>
                <w:szCs w:val="17"/>
              </w:rPr>
              <w:t>8,299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33"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13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135" w14:textId="77777777" w:rsidR="008E7A10" w:rsidRDefault="00E047B2">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36"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13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138" w14:textId="77777777" w:rsidR="008E7A10" w:rsidRDefault="00E047B2">
            <w:pPr>
              <w:jc w:val="right"/>
              <w:textAlignment w:val="bottom"/>
            </w:pPr>
            <w:r>
              <w:rPr>
                <w:rFonts w:ascii="Arial" w:eastAsia="宋体" w:hAnsi="Arial" w:cs="Arial"/>
                <w:b/>
                <w:bCs/>
                <w:color w:val="000000"/>
                <w:sz w:val="17"/>
                <w:szCs w:val="17"/>
              </w:rPr>
              <w:t>(191)</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39"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13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13B" w14:textId="77777777" w:rsidR="008E7A10" w:rsidRDefault="00E047B2">
            <w:pPr>
              <w:jc w:val="right"/>
              <w:textAlignment w:val="bottom"/>
            </w:pPr>
            <w:r>
              <w:rPr>
                <w:rFonts w:ascii="Arial" w:eastAsia="宋体" w:hAnsi="Arial" w:cs="Arial"/>
                <w:b/>
                <w:bCs/>
                <w:color w:val="000000"/>
                <w:sz w:val="17"/>
                <w:szCs w:val="17"/>
              </w:rPr>
              <w:t>8,055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3C" w14:textId="77777777" w:rsidR="008E7A10" w:rsidRDefault="008E7A10">
            <w:pPr>
              <w:jc w:val="right"/>
              <w:rPr>
                <w:rFonts w:ascii="宋体"/>
              </w:rPr>
            </w:pPr>
          </w:p>
        </w:tc>
      </w:tr>
      <w:tr w:rsidR="008E7A10" w14:paraId="746F014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13E" w14:textId="77777777" w:rsidR="008E7A10" w:rsidRDefault="00E047B2">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tcPr>
          <w:p w14:paraId="746F013F"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140"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141"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142" w14:textId="77777777" w:rsidR="008E7A10" w:rsidRDefault="00E047B2">
            <w:pPr>
              <w:jc w:val="right"/>
              <w:textAlignment w:val="bottom"/>
            </w:pPr>
            <w:r>
              <w:rPr>
                <w:rFonts w:ascii="Arial" w:eastAsia="宋体" w:hAnsi="Arial" w:cs="Arial"/>
                <w:color w:val="000000"/>
                <w:sz w:val="17"/>
                <w:szCs w:val="17"/>
              </w:rPr>
              <w:t>15 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143" w14:textId="77777777" w:rsidR="008E7A10" w:rsidRDefault="008E7A10">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144"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145" w14:textId="77777777" w:rsidR="008E7A10" w:rsidRDefault="00E047B2">
            <w:pPr>
              <w:jc w:val="right"/>
              <w:textAlignment w:val="bottom"/>
            </w:pPr>
            <w:r>
              <w:rPr>
                <w:rFonts w:ascii="Arial" w:eastAsia="宋体" w:hAnsi="Arial" w:cs="Arial"/>
                <w:color w:val="000000"/>
                <w:sz w:val="17"/>
                <w:szCs w:val="17"/>
              </w:rPr>
              <w:t>657 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146" w14:textId="77777777" w:rsidR="008E7A10" w:rsidRDefault="008E7A10">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147"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148"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149" w14:textId="77777777" w:rsidR="008E7A10" w:rsidRDefault="00E047B2">
            <w:pPr>
              <w:jc w:val="right"/>
              <w:textAlignment w:val="bottom"/>
            </w:pPr>
            <w:r>
              <w:rPr>
                <w:rFonts w:ascii="Arial" w:eastAsia="宋体" w:hAnsi="Arial" w:cs="Arial"/>
                <w:color w:val="000000"/>
                <w:sz w:val="17"/>
                <w:szCs w:val="17"/>
              </w:rPr>
              <w:t>657 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14A" w14:textId="77777777" w:rsidR="008E7A10" w:rsidRDefault="008E7A10">
            <w:pPr>
              <w:jc w:val="right"/>
              <w:rPr>
                <w:rFonts w:ascii="宋体"/>
              </w:rPr>
            </w:pPr>
          </w:p>
        </w:tc>
      </w:tr>
      <w:tr w:rsidR="008E7A10" w14:paraId="746F0159"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14C" w14:textId="77777777" w:rsidR="008E7A10" w:rsidRDefault="00E047B2">
            <w:pPr>
              <w:textAlignment w:val="bottom"/>
            </w:pPr>
            <w:r>
              <w:rPr>
                <w:rFonts w:ascii="Arial" w:eastAsia="宋体" w:hAnsi="Arial" w:cs="Arial"/>
                <w:color w:val="000000"/>
                <w:sz w:val="17"/>
                <w:szCs w:val="17"/>
              </w:rPr>
              <w:t>Conversion to Class B Common Stock</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4D" w14:textId="77777777" w:rsidR="008E7A10" w:rsidRDefault="00E047B2">
            <w:pPr>
              <w:jc w:val="right"/>
              <w:textAlignment w:val="bottom"/>
            </w:pPr>
            <w:r>
              <w:rPr>
                <w:rFonts w:ascii="Arial" w:eastAsia="宋体" w:hAnsi="Arial" w:cs="Arial"/>
                <w:color w:val="000000"/>
                <w:sz w:val="17"/>
                <w:szCs w:val="17"/>
              </w:rPr>
              <w:t>(10)</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4E"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4F"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50"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51"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52"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53"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54"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55"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56"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57"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58" w14:textId="77777777" w:rsidR="008E7A10" w:rsidRDefault="008E7A10">
            <w:pPr>
              <w:jc w:val="right"/>
              <w:rPr>
                <w:rFonts w:ascii="宋体"/>
              </w:rPr>
            </w:pPr>
          </w:p>
        </w:tc>
      </w:tr>
      <w:tr w:rsidR="008E7A10" w14:paraId="746F0166"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15A" w14:textId="77777777" w:rsidR="008E7A10" w:rsidRDefault="00E047B2">
            <w:pPr>
              <w:textAlignment w:val="bottom"/>
            </w:pPr>
            <w:r>
              <w:rPr>
                <w:rFonts w:ascii="Arial" w:eastAsia="宋体" w:hAnsi="Arial" w:cs="Arial"/>
                <w:color w:val="000000"/>
                <w:sz w:val="17"/>
                <w:szCs w:val="17"/>
              </w:rPr>
              <w:t>Dividends on common stock ($0.520 per share) and preferred stock ($0.10 per share)</w:t>
            </w:r>
          </w:p>
        </w:tc>
        <w:tc>
          <w:tcPr>
            <w:tcW w:w="0" w:type="auto"/>
            <w:gridSpan w:val="3"/>
            <w:tcBorders>
              <w:top w:val="single" w:sz="8" w:space="0" w:color="808080"/>
            </w:tcBorders>
            <w:shd w:val="clear" w:color="auto" w:fill="FFF1E7"/>
            <w:tcMar>
              <w:top w:w="0" w:type="dxa"/>
              <w:left w:w="20" w:type="dxa"/>
              <w:bottom w:w="0" w:type="dxa"/>
              <w:right w:w="20" w:type="dxa"/>
            </w:tcMar>
          </w:tcPr>
          <w:p w14:paraId="746F015B"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5C"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5D"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5E"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5F"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60"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61"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62" w14:textId="77777777" w:rsidR="008E7A10" w:rsidRDefault="00E047B2">
            <w:pPr>
              <w:jc w:val="right"/>
              <w:textAlignment w:val="bottom"/>
            </w:pPr>
            <w:r>
              <w:rPr>
                <w:rFonts w:ascii="Arial" w:eastAsia="宋体" w:hAnsi="Arial" w:cs="Arial"/>
                <w:color w:val="000000"/>
                <w:sz w:val="17"/>
                <w:szCs w:val="17"/>
              </w:rPr>
              <w:t>(820)</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63"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64" w14:textId="77777777" w:rsidR="008E7A10" w:rsidRDefault="00E047B2">
            <w:pPr>
              <w:jc w:val="right"/>
              <w:textAlignment w:val="bottom"/>
            </w:pPr>
            <w:r>
              <w:rPr>
                <w:rFonts w:ascii="Arial" w:eastAsia="宋体" w:hAnsi="Arial" w:cs="Arial"/>
                <w:color w:val="000000"/>
                <w:sz w:val="17"/>
                <w:szCs w:val="17"/>
              </w:rPr>
              <w:t>(820)</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65" w14:textId="77777777" w:rsidR="008E7A10" w:rsidRDefault="008E7A10">
            <w:pPr>
              <w:jc w:val="right"/>
              <w:rPr>
                <w:rFonts w:ascii="宋体"/>
              </w:rPr>
            </w:pPr>
          </w:p>
        </w:tc>
      </w:tr>
      <w:tr w:rsidR="008E7A10" w14:paraId="746F0175"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167" w14:textId="77777777" w:rsidR="008E7A10" w:rsidRDefault="00E047B2">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8" w:space="0" w:color="808080"/>
            </w:tcBorders>
            <w:shd w:val="clear" w:color="auto" w:fill="FFF1E7"/>
            <w:tcMar>
              <w:top w:w="0" w:type="dxa"/>
              <w:left w:w="20" w:type="dxa"/>
              <w:bottom w:w="0" w:type="dxa"/>
              <w:right w:w="20" w:type="dxa"/>
            </w:tcMar>
          </w:tcPr>
          <w:p w14:paraId="746F0168"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69"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6A"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6B"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6C"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6D"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6E" w14:textId="77777777" w:rsidR="008E7A10" w:rsidRDefault="00E047B2">
            <w:pPr>
              <w:jc w:val="right"/>
              <w:textAlignment w:val="bottom"/>
            </w:pPr>
            <w:r>
              <w:rPr>
                <w:rFonts w:ascii="Arial" w:eastAsia="宋体" w:hAnsi="Arial" w:cs="Arial"/>
                <w:color w:val="000000"/>
                <w:sz w:val="17"/>
                <w:szCs w:val="17"/>
              </w:rPr>
              <w:t>55 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6F"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70"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71" w14:textId="77777777" w:rsidR="008E7A10" w:rsidRDefault="00E047B2">
            <w:pPr>
              <w:jc w:val="right"/>
              <w:textAlignment w:val="bottom"/>
            </w:pPr>
            <w:r>
              <w:rPr>
                <w:rFonts w:ascii="Arial" w:eastAsia="宋体" w:hAnsi="Arial" w:cs="Arial"/>
                <w:color w:val="000000"/>
                <w:sz w:val="17"/>
                <w:szCs w:val="17"/>
              </w:rPr>
              <w:t>(28)</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72"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73" w14:textId="77777777" w:rsidR="008E7A10" w:rsidRDefault="00E047B2">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74" w14:textId="77777777" w:rsidR="008E7A10" w:rsidRDefault="008E7A10">
            <w:pPr>
              <w:jc w:val="right"/>
              <w:rPr>
                <w:rFonts w:ascii="宋体"/>
              </w:rPr>
            </w:pPr>
          </w:p>
        </w:tc>
      </w:tr>
      <w:tr w:rsidR="008E7A10" w14:paraId="746F0182"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176" w14:textId="77777777" w:rsidR="008E7A10" w:rsidRDefault="00E047B2">
            <w:pPr>
              <w:textAlignment w:val="bottom"/>
            </w:pPr>
            <w:r>
              <w:rPr>
                <w:rFonts w:ascii="Arial" w:eastAsia="宋体" w:hAnsi="Arial" w:cs="Arial"/>
                <w:color w:val="000000"/>
                <w:sz w:val="17"/>
                <w:szCs w:val="17"/>
              </w:rPr>
              <w:t>Stock-based compensation</w:t>
            </w:r>
          </w:p>
        </w:tc>
        <w:tc>
          <w:tcPr>
            <w:tcW w:w="0" w:type="auto"/>
            <w:gridSpan w:val="3"/>
            <w:tcBorders>
              <w:top w:val="single" w:sz="8" w:space="0" w:color="808080"/>
            </w:tcBorders>
            <w:shd w:val="clear" w:color="auto" w:fill="FFF1E7"/>
            <w:tcMar>
              <w:top w:w="0" w:type="dxa"/>
              <w:left w:w="20" w:type="dxa"/>
              <w:bottom w:w="0" w:type="dxa"/>
              <w:right w:w="20" w:type="dxa"/>
            </w:tcMar>
          </w:tcPr>
          <w:p w14:paraId="746F0177"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78"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79"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7A"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7B"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7C" w14:textId="77777777" w:rsidR="008E7A10" w:rsidRDefault="00E047B2">
            <w:pPr>
              <w:jc w:val="right"/>
              <w:textAlignment w:val="bottom"/>
            </w:pPr>
            <w:r>
              <w:rPr>
                <w:rFonts w:ascii="Arial" w:eastAsia="宋体" w:hAnsi="Arial" w:cs="Arial"/>
                <w:color w:val="000000"/>
                <w:sz w:val="17"/>
                <w:szCs w:val="17"/>
              </w:rPr>
              <w:t>325 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7D"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7E"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7F"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80" w14:textId="77777777" w:rsidR="008E7A10" w:rsidRDefault="00E047B2">
            <w:pPr>
              <w:jc w:val="right"/>
              <w:textAlignment w:val="bottom"/>
            </w:pPr>
            <w:r>
              <w:rPr>
                <w:rFonts w:ascii="Arial" w:eastAsia="宋体" w:hAnsi="Arial" w:cs="Arial"/>
                <w:color w:val="000000"/>
                <w:sz w:val="17"/>
                <w:szCs w:val="17"/>
              </w:rPr>
              <w:t>325 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81" w14:textId="77777777" w:rsidR="008E7A10" w:rsidRDefault="008E7A10">
            <w:pPr>
              <w:jc w:val="right"/>
              <w:rPr>
                <w:rFonts w:ascii="宋体"/>
              </w:rPr>
            </w:pPr>
          </w:p>
        </w:tc>
      </w:tr>
      <w:tr w:rsidR="008E7A10" w14:paraId="746F018F"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183" w14:textId="77777777" w:rsidR="008E7A10" w:rsidRDefault="00E047B2">
            <w:pPr>
              <w:textAlignment w:val="bottom"/>
            </w:pPr>
            <w:r>
              <w:rPr>
                <w:rFonts w:ascii="Arial" w:eastAsia="宋体" w:hAnsi="Arial" w:cs="Arial"/>
                <w:color w:val="000000"/>
                <w:sz w:val="17"/>
                <w:szCs w:val="17"/>
              </w:rPr>
              <w:t>Net income</w:t>
            </w:r>
          </w:p>
        </w:tc>
        <w:tc>
          <w:tcPr>
            <w:tcW w:w="0" w:type="auto"/>
            <w:gridSpan w:val="3"/>
            <w:tcBorders>
              <w:top w:val="single" w:sz="8" w:space="0" w:color="808080"/>
            </w:tcBorders>
            <w:shd w:val="clear" w:color="auto" w:fill="FFF1E7"/>
            <w:tcMar>
              <w:top w:w="0" w:type="dxa"/>
              <w:left w:w="20" w:type="dxa"/>
              <w:bottom w:w="0" w:type="dxa"/>
              <w:right w:w="20" w:type="dxa"/>
            </w:tcMar>
          </w:tcPr>
          <w:p w14:paraId="746F0184"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85"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86"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87"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88"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89"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8A"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8B" w14:textId="77777777" w:rsidR="008E7A10" w:rsidRDefault="00E047B2">
            <w:pPr>
              <w:jc w:val="right"/>
              <w:textAlignment w:val="bottom"/>
            </w:pPr>
            <w:r>
              <w:rPr>
                <w:rFonts w:ascii="Arial" w:eastAsia="宋体" w:hAnsi="Arial" w:cs="Arial"/>
                <w:color w:val="000000"/>
                <w:sz w:val="17"/>
                <w:szCs w:val="17"/>
              </w:rPr>
              <w:t>2,769 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8C"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8D" w14:textId="77777777" w:rsidR="008E7A10" w:rsidRDefault="00E047B2">
            <w:pPr>
              <w:jc w:val="right"/>
              <w:textAlignment w:val="bottom"/>
            </w:pPr>
            <w:r>
              <w:rPr>
                <w:rFonts w:ascii="Arial" w:eastAsia="宋体" w:hAnsi="Arial" w:cs="Arial"/>
                <w:color w:val="000000"/>
                <w:sz w:val="17"/>
                <w:szCs w:val="17"/>
              </w:rPr>
              <w:t>2,769 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8E" w14:textId="77777777" w:rsidR="008E7A10" w:rsidRDefault="008E7A10">
            <w:pPr>
              <w:jc w:val="right"/>
              <w:rPr>
                <w:rFonts w:ascii="宋体"/>
              </w:rPr>
            </w:pPr>
          </w:p>
        </w:tc>
      </w:tr>
      <w:tr w:rsidR="008E7A10" w14:paraId="746F019C"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190" w14:textId="77777777" w:rsidR="008E7A10" w:rsidRDefault="00E047B2">
            <w:pPr>
              <w:textAlignment w:val="bottom"/>
            </w:pPr>
            <w:r>
              <w:rPr>
                <w:rFonts w:ascii="Arial" w:eastAsia="宋体" w:hAnsi="Arial" w:cs="Arial"/>
                <w:color w:val="000000"/>
                <w:sz w:val="17"/>
                <w:szCs w:val="17"/>
              </w:rPr>
              <w:t>Other comprehensive income (loss)</w:t>
            </w:r>
          </w:p>
        </w:tc>
        <w:tc>
          <w:tcPr>
            <w:tcW w:w="0" w:type="auto"/>
            <w:gridSpan w:val="3"/>
            <w:tcBorders>
              <w:top w:val="single" w:sz="8" w:space="0" w:color="808080"/>
            </w:tcBorders>
            <w:shd w:val="clear" w:color="auto" w:fill="FFF1E7"/>
            <w:tcMar>
              <w:top w:w="0" w:type="dxa"/>
              <w:left w:w="20" w:type="dxa"/>
              <w:bottom w:w="0" w:type="dxa"/>
              <w:right w:w="20" w:type="dxa"/>
            </w:tcMar>
          </w:tcPr>
          <w:p w14:paraId="746F0191"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92"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93"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94"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95"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96"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97" w14:textId="77777777" w:rsidR="008E7A10" w:rsidRDefault="00E047B2">
            <w:pPr>
              <w:jc w:val="right"/>
              <w:textAlignment w:val="bottom"/>
            </w:pPr>
            <w:r>
              <w:rPr>
                <w:rFonts w:ascii="Arial" w:eastAsia="宋体" w:hAnsi="Arial" w:cs="Arial"/>
                <w:color w:val="000000"/>
                <w:sz w:val="17"/>
                <w:szCs w:val="17"/>
              </w:rPr>
              <w:t>(373)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98"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199"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19A" w14:textId="77777777" w:rsidR="008E7A10" w:rsidRDefault="00E047B2">
            <w:pPr>
              <w:jc w:val="right"/>
              <w:textAlignment w:val="bottom"/>
            </w:pPr>
            <w:r>
              <w:rPr>
                <w:rFonts w:ascii="Arial" w:eastAsia="宋体" w:hAnsi="Arial" w:cs="Arial"/>
                <w:color w:val="000000"/>
                <w:sz w:val="17"/>
                <w:szCs w:val="17"/>
              </w:rPr>
              <w:t>(373)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19B" w14:textId="77777777" w:rsidR="008E7A10" w:rsidRDefault="008E7A10">
            <w:pPr>
              <w:jc w:val="right"/>
              <w:rPr>
                <w:rFonts w:ascii="宋体"/>
              </w:rPr>
            </w:pPr>
          </w:p>
        </w:tc>
      </w:tr>
      <w:tr w:rsidR="008E7A10" w14:paraId="746F01B5"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19D" w14:textId="77777777" w:rsidR="008E7A10" w:rsidRDefault="00E047B2">
            <w:pPr>
              <w:textAlignment w:val="bottom"/>
            </w:pPr>
            <w:r>
              <w:rPr>
                <w:rFonts w:ascii="Arial" w:eastAsia="宋体" w:hAnsi="Arial" w:cs="Arial"/>
                <w:b/>
                <w:bCs/>
                <w:color w:val="000000"/>
                <w:sz w:val="17"/>
                <w:szCs w:val="17"/>
              </w:rPr>
              <w:t>Balance at November 30, 2020</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19E" w14:textId="77777777" w:rsidR="008E7A10" w:rsidRDefault="00E047B2">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19F"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1A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1A1" w14:textId="77777777" w:rsidR="008E7A10" w:rsidRDefault="00E047B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1A2"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tcPr>
          <w:p w14:paraId="746F01A3" w14:textId="77777777" w:rsidR="008E7A10" w:rsidRDefault="008E7A10">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1A4" w14:textId="77777777" w:rsidR="008E7A10" w:rsidRDefault="00E047B2">
            <w:pPr>
              <w:jc w:val="right"/>
              <w:textAlignment w:val="bottom"/>
            </w:pPr>
            <w:r>
              <w:rPr>
                <w:rFonts w:ascii="Arial" w:eastAsia="宋体" w:hAnsi="Arial" w:cs="Arial"/>
                <w:b/>
                <w:bCs/>
                <w:color w:val="000000"/>
                <w:sz w:val="17"/>
                <w:szCs w:val="17"/>
              </w:rPr>
              <w:t>1,270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1A5"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1A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1A7"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1A8"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1A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1AA" w14:textId="77777777" w:rsidR="008E7A10" w:rsidRDefault="00E047B2">
            <w:pPr>
              <w:jc w:val="right"/>
              <w:textAlignment w:val="bottom"/>
            </w:pPr>
            <w:r>
              <w:rPr>
                <w:rFonts w:ascii="Arial" w:eastAsia="宋体" w:hAnsi="Arial" w:cs="Arial"/>
                <w:b/>
                <w:bCs/>
                <w:color w:val="000000"/>
                <w:sz w:val="17"/>
                <w:szCs w:val="17"/>
              </w:rPr>
              <w:t>9,336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1AB"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1A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1AD" w14:textId="77777777" w:rsidR="008E7A10" w:rsidRDefault="00E047B2">
            <w:pPr>
              <w:jc w:val="right"/>
              <w:textAlignment w:val="bottom"/>
            </w:pPr>
            <w:r>
              <w:rPr>
                <w:rFonts w:ascii="Arial" w:eastAsia="宋体" w:hAnsi="Arial" w:cs="Arial"/>
                <w:b/>
                <w:bCs/>
                <w:color w:val="000000"/>
                <w:sz w:val="17"/>
                <w:szCs w:val="17"/>
              </w:rPr>
              <w:t>(429)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1AE"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1A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1B0" w14:textId="77777777" w:rsidR="008E7A10" w:rsidRDefault="00E047B2">
            <w:pPr>
              <w:jc w:val="right"/>
              <w:textAlignment w:val="bottom"/>
            </w:pPr>
            <w:r>
              <w:rPr>
                <w:rFonts w:ascii="Arial" w:eastAsia="宋体" w:hAnsi="Arial" w:cs="Arial"/>
                <w:b/>
                <w:bCs/>
                <w:color w:val="000000"/>
                <w:sz w:val="17"/>
                <w:szCs w:val="17"/>
              </w:rPr>
              <w:t>1,730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1B1"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1B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1B3" w14:textId="77777777" w:rsidR="008E7A10" w:rsidRDefault="00E047B2">
            <w:pPr>
              <w:jc w:val="right"/>
              <w:textAlignment w:val="bottom"/>
            </w:pPr>
            <w:r>
              <w:rPr>
                <w:rFonts w:ascii="Arial" w:eastAsia="宋体" w:hAnsi="Arial" w:cs="Arial"/>
                <w:b/>
                <w:bCs/>
                <w:color w:val="000000"/>
                <w:sz w:val="17"/>
                <w:szCs w:val="17"/>
              </w:rPr>
              <w:t>10,640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1B4" w14:textId="77777777" w:rsidR="008E7A10" w:rsidRDefault="008E7A10">
            <w:pPr>
              <w:jc w:val="right"/>
              <w:rPr>
                <w:rFonts w:ascii="宋体"/>
              </w:rPr>
            </w:pPr>
          </w:p>
        </w:tc>
      </w:tr>
    </w:tbl>
    <w:p w14:paraId="746F01B6" w14:textId="77777777" w:rsidR="008E7A10" w:rsidRDefault="008E7A10">
      <w:pPr>
        <w:spacing w:before="120" w:after="12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727"/>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473"/>
        <w:gridCol w:w="36"/>
      </w:tblGrid>
      <w:tr w:rsidR="008E7A10" w14:paraId="746F01D5" w14:textId="77777777">
        <w:trPr>
          <w:jc w:val="center"/>
        </w:trPr>
        <w:tc>
          <w:tcPr>
            <w:tcW w:w="50" w:type="pct"/>
            <w:shd w:val="clear" w:color="auto" w:fill="auto"/>
          </w:tcPr>
          <w:p w14:paraId="746F01B7" w14:textId="77777777" w:rsidR="008E7A10" w:rsidRDefault="008E7A10">
            <w:pPr>
              <w:rPr>
                <w:rFonts w:ascii="宋体"/>
              </w:rPr>
            </w:pPr>
          </w:p>
        </w:tc>
        <w:tc>
          <w:tcPr>
            <w:tcW w:w="1560" w:type="pct"/>
            <w:shd w:val="clear" w:color="auto" w:fill="auto"/>
          </w:tcPr>
          <w:p w14:paraId="746F01B8" w14:textId="77777777" w:rsidR="008E7A10" w:rsidRDefault="008E7A10">
            <w:pPr>
              <w:rPr>
                <w:rFonts w:ascii="宋体"/>
              </w:rPr>
            </w:pPr>
          </w:p>
        </w:tc>
        <w:tc>
          <w:tcPr>
            <w:tcW w:w="5" w:type="pct"/>
            <w:shd w:val="clear" w:color="auto" w:fill="auto"/>
          </w:tcPr>
          <w:p w14:paraId="746F01B9" w14:textId="77777777" w:rsidR="008E7A10" w:rsidRDefault="008E7A10">
            <w:pPr>
              <w:rPr>
                <w:rFonts w:ascii="宋体"/>
              </w:rPr>
            </w:pPr>
          </w:p>
        </w:tc>
        <w:tc>
          <w:tcPr>
            <w:tcW w:w="50" w:type="pct"/>
            <w:shd w:val="clear" w:color="auto" w:fill="auto"/>
          </w:tcPr>
          <w:p w14:paraId="746F01BA" w14:textId="77777777" w:rsidR="008E7A10" w:rsidRDefault="008E7A10">
            <w:pPr>
              <w:rPr>
                <w:rFonts w:ascii="宋体"/>
              </w:rPr>
            </w:pPr>
          </w:p>
        </w:tc>
        <w:tc>
          <w:tcPr>
            <w:tcW w:w="285" w:type="pct"/>
            <w:shd w:val="clear" w:color="auto" w:fill="auto"/>
          </w:tcPr>
          <w:p w14:paraId="746F01BB" w14:textId="77777777" w:rsidR="008E7A10" w:rsidRDefault="008E7A10">
            <w:pPr>
              <w:rPr>
                <w:rFonts w:ascii="宋体"/>
              </w:rPr>
            </w:pPr>
          </w:p>
        </w:tc>
        <w:tc>
          <w:tcPr>
            <w:tcW w:w="5" w:type="pct"/>
            <w:shd w:val="clear" w:color="auto" w:fill="auto"/>
          </w:tcPr>
          <w:p w14:paraId="746F01BC" w14:textId="77777777" w:rsidR="008E7A10" w:rsidRDefault="008E7A10">
            <w:pPr>
              <w:rPr>
                <w:rFonts w:ascii="宋体"/>
              </w:rPr>
            </w:pPr>
          </w:p>
        </w:tc>
        <w:tc>
          <w:tcPr>
            <w:tcW w:w="50" w:type="pct"/>
            <w:shd w:val="clear" w:color="auto" w:fill="auto"/>
          </w:tcPr>
          <w:p w14:paraId="746F01BD" w14:textId="77777777" w:rsidR="008E7A10" w:rsidRDefault="008E7A10">
            <w:pPr>
              <w:rPr>
                <w:rFonts w:ascii="宋体"/>
              </w:rPr>
            </w:pPr>
          </w:p>
        </w:tc>
        <w:tc>
          <w:tcPr>
            <w:tcW w:w="346" w:type="pct"/>
            <w:shd w:val="clear" w:color="auto" w:fill="auto"/>
          </w:tcPr>
          <w:p w14:paraId="746F01BE" w14:textId="77777777" w:rsidR="008E7A10" w:rsidRDefault="008E7A10">
            <w:pPr>
              <w:rPr>
                <w:rFonts w:ascii="宋体"/>
              </w:rPr>
            </w:pPr>
          </w:p>
        </w:tc>
        <w:tc>
          <w:tcPr>
            <w:tcW w:w="5" w:type="pct"/>
            <w:shd w:val="clear" w:color="auto" w:fill="auto"/>
          </w:tcPr>
          <w:p w14:paraId="746F01BF" w14:textId="77777777" w:rsidR="008E7A10" w:rsidRDefault="008E7A10">
            <w:pPr>
              <w:rPr>
                <w:rFonts w:ascii="宋体"/>
              </w:rPr>
            </w:pPr>
          </w:p>
        </w:tc>
        <w:tc>
          <w:tcPr>
            <w:tcW w:w="5" w:type="pct"/>
            <w:shd w:val="clear" w:color="auto" w:fill="auto"/>
          </w:tcPr>
          <w:p w14:paraId="746F01C0" w14:textId="77777777" w:rsidR="008E7A10" w:rsidRDefault="008E7A10">
            <w:pPr>
              <w:rPr>
                <w:rFonts w:ascii="宋体"/>
              </w:rPr>
            </w:pPr>
          </w:p>
        </w:tc>
        <w:tc>
          <w:tcPr>
            <w:tcW w:w="28" w:type="pct"/>
            <w:shd w:val="clear" w:color="auto" w:fill="auto"/>
          </w:tcPr>
          <w:p w14:paraId="746F01C1" w14:textId="77777777" w:rsidR="008E7A10" w:rsidRDefault="008E7A10">
            <w:pPr>
              <w:rPr>
                <w:rFonts w:ascii="宋体"/>
              </w:rPr>
            </w:pPr>
          </w:p>
        </w:tc>
        <w:tc>
          <w:tcPr>
            <w:tcW w:w="5" w:type="pct"/>
            <w:shd w:val="clear" w:color="auto" w:fill="auto"/>
          </w:tcPr>
          <w:p w14:paraId="746F01C2" w14:textId="77777777" w:rsidR="008E7A10" w:rsidRDefault="008E7A10">
            <w:pPr>
              <w:rPr>
                <w:rFonts w:ascii="宋体"/>
              </w:rPr>
            </w:pPr>
          </w:p>
        </w:tc>
        <w:tc>
          <w:tcPr>
            <w:tcW w:w="50" w:type="pct"/>
            <w:shd w:val="clear" w:color="auto" w:fill="auto"/>
          </w:tcPr>
          <w:p w14:paraId="746F01C3" w14:textId="77777777" w:rsidR="008E7A10" w:rsidRDefault="008E7A10">
            <w:pPr>
              <w:rPr>
                <w:rFonts w:ascii="宋体"/>
              </w:rPr>
            </w:pPr>
          </w:p>
        </w:tc>
        <w:tc>
          <w:tcPr>
            <w:tcW w:w="285" w:type="pct"/>
            <w:shd w:val="clear" w:color="auto" w:fill="auto"/>
          </w:tcPr>
          <w:p w14:paraId="746F01C4" w14:textId="77777777" w:rsidR="008E7A10" w:rsidRDefault="008E7A10">
            <w:pPr>
              <w:rPr>
                <w:rFonts w:ascii="宋体"/>
              </w:rPr>
            </w:pPr>
          </w:p>
        </w:tc>
        <w:tc>
          <w:tcPr>
            <w:tcW w:w="5" w:type="pct"/>
            <w:shd w:val="clear" w:color="auto" w:fill="auto"/>
          </w:tcPr>
          <w:p w14:paraId="746F01C5" w14:textId="77777777" w:rsidR="008E7A10" w:rsidRDefault="008E7A10">
            <w:pPr>
              <w:rPr>
                <w:rFonts w:ascii="宋体"/>
              </w:rPr>
            </w:pPr>
          </w:p>
        </w:tc>
        <w:tc>
          <w:tcPr>
            <w:tcW w:w="50" w:type="pct"/>
            <w:shd w:val="clear" w:color="auto" w:fill="auto"/>
          </w:tcPr>
          <w:p w14:paraId="746F01C6" w14:textId="77777777" w:rsidR="008E7A10" w:rsidRDefault="008E7A10">
            <w:pPr>
              <w:rPr>
                <w:rFonts w:ascii="宋体"/>
              </w:rPr>
            </w:pPr>
          </w:p>
        </w:tc>
        <w:tc>
          <w:tcPr>
            <w:tcW w:w="323" w:type="pct"/>
            <w:shd w:val="clear" w:color="auto" w:fill="auto"/>
          </w:tcPr>
          <w:p w14:paraId="746F01C7" w14:textId="77777777" w:rsidR="008E7A10" w:rsidRDefault="008E7A10">
            <w:pPr>
              <w:rPr>
                <w:rFonts w:ascii="宋体"/>
              </w:rPr>
            </w:pPr>
          </w:p>
        </w:tc>
        <w:tc>
          <w:tcPr>
            <w:tcW w:w="5" w:type="pct"/>
            <w:shd w:val="clear" w:color="auto" w:fill="auto"/>
          </w:tcPr>
          <w:p w14:paraId="746F01C8" w14:textId="77777777" w:rsidR="008E7A10" w:rsidRDefault="008E7A10">
            <w:pPr>
              <w:rPr>
                <w:rFonts w:ascii="宋体"/>
              </w:rPr>
            </w:pPr>
          </w:p>
        </w:tc>
        <w:tc>
          <w:tcPr>
            <w:tcW w:w="50" w:type="pct"/>
            <w:shd w:val="clear" w:color="auto" w:fill="auto"/>
          </w:tcPr>
          <w:p w14:paraId="746F01C9" w14:textId="77777777" w:rsidR="008E7A10" w:rsidRDefault="008E7A10">
            <w:pPr>
              <w:rPr>
                <w:rFonts w:ascii="宋体"/>
              </w:rPr>
            </w:pPr>
          </w:p>
        </w:tc>
        <w:tc>
          <w:tcPr>
            <w:tcW w:w="385" w:type="pct"/>
            <w:shd w:val="clear" w:color="auto" w:fill="auto"/>
          </w:tcPr>
          <w:p w14:paraId="746F01CA" w14:textId="77777777" w:rsidR="008E7A10" w:rsidRDefault="008E7A10">
            <w:pPr>
              <w:rPr>
                <w:rFonts w:ascii="宋体"/>
              </w:rPr>
            </w:pPr>
          </w:p>
        </w:tc>
        <w:tc>
          <w:tcPr>
            <w:tcW w:w="5" w:type="pct"/>
            <w:shd w:val="clear" w:color="auto" w:fill="auto"/>
          </w:tcPr>
          <w:p w14:paraId="746F01CB" w14:textId="77777777" w:rsidR="008E7A10" w:rsidRDefault="008E7A10">
            <w:pPr>
              <w:rPr>
                <w:rFonts w:ascii="宋体"/>
              </w:rPr>
            </w:pPr>
          </w:p>
        </w:tc>
        <w:tc>
          <w:tcPr>
            <w:tcW w:w="50" w:type="pct"/>
            <w:shd w:val="clear" w:color="auto" w:fill="auto"/>
          </w:tcPr>
          <w:p w14:paraId="746F01CC" w14:textId="77777777" w:rsidR="008E7A10" w:rsidRDefault="008E7A10">
            <w:pPr>
              <w:rPr>
                <w:rFonts w:ascii="宋体"/>
              </w:rPr>
            </w:pPr>
          </w:p>
        </w:tc>
        <w:tc>
          <w:tcPr>
            <w:tcW w:w="586" w:type="pct"/>
            <w:shd w:val="clear" w:color="auto" w:fill="auto"/>
          </w:tcPr>
          <w:p w14:paraId="746F01CD" w14:textId="77777777" w:rsidR="008E7A10" w:rsidRDefault="008E7A10">
            <w:pPr>
              <w:rPr>
                <w:rFonts w:ascii="宋体"/>
              </w:rPr>
            </w:pPr>
          </w:p>
        </w:tc>
        <w:tc>
          <w:tcPr>
            <w:tcW w:w="5" w:type="pct"/>
            <w:shd w:val="clear" w:color="auto" w:fill="auto"/>
          </w:tcPr>
          <w:p w14:paraId="746F01CE" w14:textId="77777777" w:rsidR="008E7A10" w:rsidRDefault="008E7A10">
            <w:pPr>
              <w:rPr>
                <w:rFonts w:ascii="宋体"/>
              </w:rPr>
            </w:pPr>
          </w:p>
        </w:tc>
        <w:tc>
          <w:tcPr>
            <w:tcW w:w="50" w:type="pct"/>
            <w:shd w:val="clear" w:color="auto" w:fill="auto"/>
          </w:tcPr>
          <w:p w14:paraId="746F01CF" w14:textId="77777777" w:rsidR="008E7A10" w:rsidRDefault="008E7A10">
            <w:pPr>
              <w:rPr>
                <w:rFonts w:ascii="宋体"/>
              </w:rPr>
            </w:pPr>
          </w:p>
        </w:tc>
        <w:tc>
          <w:tcPr>
            <w:tcW w:w="370" w:type="pct"/>
            <w:shd w:val="clear" w:color="auto" w:fill="auto"/>
          </w:tcPr>
          <w:p w14:paraId="746F01D0" w14:textId="77777777" w:rsidR="008E7A10" w:rsidRDefault="008E7A10">
            <w:pPr>
              <w:rPr>
                <w:rFonts w:ascii="宋体"/>
              </w:rPr>
            </w:pPr>
          </w:p>
        </w:tc>
        <w:tc>
          <w:tcPr>
            <w:tcW w:w="5" w:type="pct"/>
            <w:shd w:val="clear" w:color="auto" w:fill="auto"/>
          </w:tcPr>
          <w:p w14:paraId="746F01D1" w14:textId="77777777" w:rsidR="008E7A10" w:rsidRDefault="008E7A10">
            <w:pPr>
              <w:rPr>
                <w:rFonts w:ascii="宋体"/>
              </w:rPr>
            </w:pPr>
          </w:p>
        </w:tc>
        <w:tc>
          <w:tcPr>
            <w:tcW w:w="50" w:type="pct"/>
            <w:shd w:val="clear" w:color="auto" w:fill="auto"/>
          </w:tcPr>
          <w:p w14:paraId="746F01D2" w14:textId="77777777" w:rsidR="008E7A10" w:rsidRDefault="008E7A10">
            <w:pPr>
              <w:rPr>
                <w:rFonts w:ascii="宋体"/>
              </w:rPr>
            </w:pPr>
          </w:p>
        </w:tc>
        <w:tc>
          <w:tcPr>
            <w:tcW w:w="323" w:type="pct"/>
            <w:shd w:val="clear" w:color="auto" w:fill="auto"/>
          </w:tcPr>
          <w:p w14:paraId="746F01D3" w14:textId="77777777" w:rsidR="008E7A10" w:rsidRDefault="008E7A10">
            <w:pPr>
              <w:rPr>
                <w:rFonts w:ascii="宋体"/>
              </w:rPr>
            </w:pPr>
          </w:p>
        </w:tc>
        <w:tc>
          <w:tcPr>
            <w:tcW w:w="5" w:type="pct"/>
            <w:shd w:val="clear" w:color="auto" w:fill="auto"/>
          </w:tcPr>
          <w:p w14:paraId="746F01D4" w14:textId="77777777" w:rsidR="008E7A10" w:rsidRDefault="008E7A10">
            <w:pPr>
              <w:rPr>
                <w:rFonts w:ascii="宋体"/>
              </w:rPr>
            </w:pPr>
          </w:p>
        </w:tc>
      </w:tr>
      <w:tr w:rsidR="008E7A10" w14:paraId="746F01DC" w14:textId="77777777">
        <w:trPr>
          <w:trHeight w:val="240"/>
          <w:jc w:val="center"/>
        </w:trPr>
        <w:tc>
          <w:tcPr>
            <w:tcW w:w="0" w:type="auto"/>
            <w:gridSpan w:val="3"/>
            <w:shd w:val="clear" w:color="auto" w:fill="auto"/>
            <w:tcMar>
              <w:top w:w="0" w:type="dxa"/>
              <w:left w:w="20" w:type="dxa"/>
              <w:bottom w:w="0" w:type="dxa"/>
              <w:right w:w="20" w:type="dxa"/>
            </w:tcMar>
          </w:tcPr>
          <w:p w14:paraId="746F01D6" w14:textId="77777777" w:rsidR="008E7A10" w:rsidRDefault="008E7A10">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746F01D7" w14:textId="77777777" w:rsidR="008E7A10" w:rsidRDefault="00E047B2">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46F01D8" w14:textId="77777777" w:rsidR="008E7A10" w:rsidRDefault="00E047B2">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46F01D9" w14:textId="77777777" w:rsidR="008E7A10" w:rsidRDefault="00E047B2">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46F01DA" w14:textId="77777777" w:rsidR="008E7A10" w:rsidRDefault="00E047B2">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746F01DB" w14:textId="77777777" w:rsidR="008E7A10" w:rsidRDefault="00E047B2">
            <w:pPr>
              <w:jc w:val="right"/>
              <w:textAlignment w:val="bottom"/>
            </w:pPr>
            <w:r>
              <w:rPr>
                <w:rFonts w:ascii="sans-serif" w:eastAsia="sans-serif" w:hAnsi="sans-serif" w:cs="sans-serif"/>
                <w:b/>
                <w:bCs/>
                <w:color w:val="000000"/>
                <w:sz w:val="17"/>
                <w:szCs w:val="17"/>
              </w:rPr>
              <w:t>TOTAL</w:t>
            </w:r>
          </w:p>
        </w:tc>
      </w:tr>
      <w:tr w:rsidR="008E7A10" w14:paraId="746F01E5" w14:textId="77777777">
        <w:trPr>
          <w:trHeight w:val="240"/>
          <w:jc w:val="center"/>
        </w:trPr>
        <w:tc>
          <w:tcPr>
            <w:tcW w:w="0" w:type="auto"/>
            <w:gridSpan w:val="3"/>
            <w:shd w:val="clear" w:color="auto" w:fill="auto"/>
            <w:tcMar>
              <w:top w:w="0" w:type="dxa"/>
              <w:left w:w="20" w:type="dxa"/>
              <w:bottom w:w="0" w:type="dxa"/>
              <w:right w:w="20" w:type="dxa"/>
            </w:tcMar>
          </w:tcPr>
          <w:p w14:paraId="746F01DD"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1DE" w14:textId="77777777" w:rsidR="008E7A10" w:rsidRDefault="00E047B2">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tcPr>
          <w:p w14:paraId="746F01DF"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1E0" w14:textId="77777777" w:rsidR="008E7A10" w:rsidRDefault="00E047B2">
            <w:pPr>
              <w:jc w:val="center"/>
              <w:textAlignment w:val="bottom"/>
            </w:pPr>
            <w:r>
              <w:rPr>
                <w:rFonts w:ascii="sans-serif" w:eastAsia="sans-serif" w:hAnsi="sans-serif" w:cs="sans-serif"/>
                <w:b/>
                <w:bCs/>
                <w:color w:val="000000"/>
                <w:sz w:val="17"/>
                <w:szCs w:val="17"/>
              </w:rPr>
              <w:t>CLASS B</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1E1"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1E2"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1E3"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1E4" w14:textId="77777777" w:rsidR="008E7A10" w:rsidRDefault="008E7A10">
            <w:pPr>
              <w:jc w:val="right"/>
              <w:rPr>
                <w:rFonts w:ascii="宋体"/>
              </w:rPr>
            </w:pPr>
          </w:p>
        </w:tc>
      </w:tr>
      <w:tr w:rsidR="008E7A10" w14:paraId="746F01F0" w14:textId="77777777">
        <w:trPr>
          <w:trHeight w:val="240"/>
          <w:jc w:val="center"/>
        </w:trPr>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746F01E6" w14:textId="77777777" w:rsidR="008E7A10" w:rsidRDefault="00E047B2">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1E7" w14:textId="77777777" w:rsidR="008E7A10" w:rsidRDefault="00E047B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1E8" w14:textId="77777777" w:rsidR="008E7A10" w:rsidRDefault="00E047B2">
            <w:pPr>
              <w:jc w:val="right"/>
              <w:textAlignment w:val="bottom"/>
            </w:pPr>
            <w:r>
              <w:rPr>
                <w:rFonts w:ascii="sans-serif" w:eastAsia="sans-serif" w:hAnsi="sans-serif" w:cs="sans-serif"/>
                <w:b/>
                <w:bCs/>
                <w:color w:val="000000"/>
                <w:sz w:val="17"/>
                <w:szCs w:val="17"/>
              </w:rPr>
              <w:t>AMOUNT</w:t>
            </w:r>
          </w:p>
        </w:tc>
        <w:tc>
          <w:tcPr>
            <w:tcW w:w="0" w:type="auto"/>
            <w:gridSpan w:val="3"/>
            <w:tcBorders>
              <w:bottom w:val="single" w:sz="8" w:space="0" w:color="E87722"/>
            </w:tcBorders>
            <w:shd w:val="clear" w:color="auto" w:fill="auto"/>
            <w:tcMar>
              <w:top w:w="0" w:type="dxa"/>
              <w:left w:w="20" w:type="dxa"/>
              <w:bottom w:w="0" w:type="dxa"/>
              <w:right w:w="20" w:type="dxa"/>
            </w:tcMar>
          </w:tcPr>
          <w:p w14:paraId="746F01E9" w14:textId="77777777" w:rsidR="008E7A10" w:rsidRDefault="008E7A10">
            <w:pPr>
              <w:rPr>
                <w:rFonts w:ascii="宋体"/>
              </w:rPr>
            </w:pP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1EA" w14:textId="77777777" w:rsidR="008E7A10" w:rsidRDefault="00E047B2">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1EB" w14:textId="77777777" w:rsidR="008E7A10" w:rsidRDefault="00E047B2">
            <w:pPr>
              <w:jc w:val="right"/>
              <w:textAlignment w:val="bottom"/>
            </w:pPr>
            <w:r>
              <w:rPr>
                <w:rFonts w:ascii="sans-serif" w:eastAsia="sans-serif" w:hAnsi="sans-serif" w:cs="sans-serif"/>
                <w:b/>
                <w:bCs/>
                <w:color w:val="000000"/>
                <w:sz w:val="17"/>
                <w:szCs w:val="17"/>
              </w:rPr>
              <w:t>AMOUNT</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1EC"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1ED"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1EE" w14:textId="77777777" w:rsidR="008E7A10" w:rsidRDefault="008E7A10">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746F01EF" w14:textId="77777777" w:rsidR="008E7A10" w:rsidRDefault="008E7A10">
            <w:pPr>
              <w:jc w:val="right"/>
              <w:rPr>
                <w:rFonts w:ascii="宋体"/>
              </w:rPr>
            </w:pPr>
          </w:p>
        </w:tc>
      </w:tr>
      <w:tr w:rsidR="008E7A10" w14:paraId="746F0209"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1F1" w14:textId="77777777" w:rsidR="008E7A10" w:rsidRDefault="00E047B2">
            <w:pPr>
              <w:textAlignment w:val="bottom"/>
            </w:pPr>
            <w:r>
              <w:rPr>
                <w:rFonts w:ascii="Arial" w:eastAsia="宋体" w:hAnsi="Arial" w:cs="Arial"/>
                <w:b/>
                <w:bCs/>
                <w:color w:val="000000"/>
                <w:sz w:val="17"/>
                <w:szCs w:val="17"/>
              </w:rPr>
              <w:t>Balance at May 31, 2019</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1F2" w14:textId="77777777" w:rsidR="008E7A10" w:rsidRDefault="00E047B2">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F3"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1F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1F5" w14:textId="77777777" w:rsidR="008E7A10" w:rsidRDefault="00E047B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F6"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1F7"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1F8" w14:textId="77777777" w:rsidR="008E7A10" w:rsidRDefault="00E047B2">
            <w:pPr>
              <w:jc w:val="right"/>
              <w:textAlignment w:val="bottom"/>
            </w:pPr>
            <w:r>
              <w:rPr>
                <w:rFonts w:ascii="Arial" w:eastAsia="宋体" w:hAnsi="Arial" w:cs="Arial"/>
                <w:b/>
                <w:bCs/>
                <w:color w:val="000000"/>
                <w:sz w:val="17"/>
                <w:szCs w:val="17"/>
              </w:rPr>
              <w:t>1,253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F9"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1F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1FB"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FC"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1F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1FE" w14:textId="77777777" w:rsidR="008E7A10" w:rsidRDefault="00E047B2">
            <w:pPr>
              <w:jc w:val="right"/>
              <w:textAlignment w:val="bottom"/>
            </w:pPr>
            <w:r>
              <w:rPr>
                <w:rFonts w:ascii="Arial" w:eastAsia="宋体" w:hAnsi="Arial" w:cs="Arial"/>
                <w:b/>
                <w:bCs/>
                <w:color w:val="000000"/>
                <w:sz w:val="17"/>
                <w:szCs w:val="17"/>
              </w:rPr>
              <w:t>7,163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1FF"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20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201" w14:textId="77777777" w:rsidR="008E7A10" w:rsidRDefault="00E047B2">
            <w:pPr>
              <w:jc w:val="right"/>
              <w:textAlignment w:val="bottom"/>
            </w:pPr>
            <w:r>
              <w:rPr>
                <w:rFonts w:ascii="Arial" w:eastAsia="宋体" w:hAnsi="Arial" w:cs="Arial"/>
                <w:b/>
                <w:bCs/>
                <w:color w:val="000000"/>
                <w:sz w:val="17"/>
                <w:szCs w:val="17"/>
              </w:rPr>
              <w:t>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202"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20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204" w14:textId="77777777" w:rsidR="008E7A10" w:rsidRDefault="00E047B2">
            <w:pPr>
              <w:jc w:val="right"/>
              <w:textAlignment w:val="bottom"/>
            </w:pPr>
            <w:r>
              <w:rPr>
                <w:rFonts w:ascii="Arial" w:eastAsia="宋体" w:hAnsi="Arial" w:cs="Arial"/>
                <w:b/>
                <w:bCs/>
                <w:color w:val="000000"/>
                <w:sz w:val="17"/>
                <w:szCs w:val="17"/>
              </w:rPr>
              <w:t>1,643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205"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20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207" w14:textId="77777777" w:rsidR="008E7A10" w:rsidRDefault="00E047B2">
            <w:pPr>
              <w:jc w:val="right"/>
              <w:textAlignment w:val="bottom"/>
            </w:pPr>
            <w:r>
              <w:rPr>
                <w:rFonts w:ascii="Arial" w:eastAsia="宋体" w:hAnsi="Arial" w:cs="Arial"/>
                <w:b/>
                <w:bCs/>
                <w:color w:val="000000"/>
                <w:sz w:val="17"/>
                <w:szCs w:val="17"/>
              </w:rPr>
              <w:t>9,040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208" w14:textId="77777777" w:rsidR="008E7A10" w:rsidRDefault="008E7A10">
            <w:pPr>
              <w:jc w:val="right"/>
              <w:rPr>
                <w:rFonts w:ascii="宋体"/>
              </w:rPr>
            </w:pPr>
          </w:p>
        </w:tc>
      </w:tr>
      <w:tr w:rsidR="008E7A10" w14:paraId="746F0217"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20A" w14:textId="77777777" w:rsidR="008E7A10" w:rsidRDefault="00E047B2">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tcPr>
          <w:p w14:paraId="746F020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20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20D"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20E"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20F"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210"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211" w14:textId="77777777" w:rsidR="008E7A10" w:rsidRDefault="00E047B2">
            <w:pPr>
              <w:jc w:val="right"/>
              <w:textAlignment w:val="bottom"/>
            </w:pPr>
            <w:r>
              <w:rPr>
                <w:rFonts w:ascii="Arial" w:eastAsia="宋体" w:hAnsi="Arial" w:cs="Arial"/>
                <w:color w:val="000000"/>
                <w:sz w:val="17"/>
                <w:szCs w:val="17"/>
              </w:rPr>
              <w:t>381 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212"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213"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214"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215" w14:textId="77777777" w:rsidR="008E7A10" w:rsidRDefault="00E047B2">
            <w:pPr>
              <w:jc w:val="right"/>
              <w:textAlignment w:val="bottom"/>
            </w:pPr>
            <w:r>
              <w:rPr>
                <w:rFonts w:ascii="Arial" w:eastAsia="宋体" w:hAnsi="Arial" w:cs="Arial"/>
                <w:color w:val="000000"/>
                <w:sz w:val="17"/>
                <w:szCs w:val="17"/>
              </w:rPr>
              <w:t>381 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216" w14:textId="77777777" w:rsidR="008E7A10" w:rsidRDefault="008E7A10">
            <w:pPr>
              <w:jc w:val="right"/>
              <w:rPr>
                <w:rFonts w:ascii="宋体"/>
              </w:rPr>
            </w:pPr>
          </w:p>
        </w:tc>
      </w:tr>
      <w:tr w:rsidR="008E7A10" w14:paraId="746F0226"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18" w14:textId="77777777" w:rsidR="008E7A10" w:rsidRDefault="00E047B2">
            <w:pPr>
              <w:textAlignment w:val="bottom"/>
            </w:pPr>
            <w:r>
              <w:rPr>
                <w:rFonts w:ascii="Arial" w:eastAsia="宋体" w:hAnsi="Arial" w:cs="Arial"/>
                <w:color w:val="000000"/>
                <w:sz w:val="17"/>
                <w:szCs w:val="17"/>
              </w:rPr>
              <w:t>Repurchase of Class B Common Stock</w:t>
            </w:r>
          </w:p>
        </w:tc>
        <w:tc>
          <w:tcPr>
            <w:tcW w:w="0" w:type="auto"/>
            <w:gridSpan w:val="3"/>
            <w:tcBorders>
              <w:top w:val="single" w:sz="8" w:space="0" w:color="808080"/>
            </w:tcBorders>
            <w:shd w:val="clear" w:color="auto" w:fill="auto"/>
            <w:tcMar>
              <w:top w:w="0" w:type="dxa"/>
              <w:left w:w="20" w:type="dxa"/>
              <w:bottom w:w="0" w:type="dxa"/>
              <w:right w:w="20" w:type="dxa"/>
            </w:tcMar>
          </w:tcPr>
          <w:p w14:paraId="746F0219"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1A"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1B"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1C" w14:textId="77777777" w:rsidR="008E7A10" w:rsidRDefault="00E047B2">
            <w:pPr>
              <w:jc w:val="right"/>
              <w:textAlignment w:val="bottom"/>
            </w:pPr>
            <w:r>
              <w:rPr>
                <w:rFonts w:ascii="Arial" w:eastAsia="宋体" w:hAnsi="Arial" w:cs="Arial"/>
                <w:color w:val="000000"/>
                <w:sz w:val="17"/>
                <w:szCs w:val="17"/>
              </w:rPr>
              <w:t>(22)</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1D"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1E"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1F" w14:textId="77777777" w:rsidR="008E7A10" w:rsidRDefault="00E047B2">
            <w:pPr>
              <w:jc w:val="right"/>
              <w:textAlignment w:val="bottom"/>
            </w:pPr>
            <w:r>
              <w:rPr>
                <w:rFonts w:ascii="Arial" w:eastAsia="宋体" w:hAnsi="Arial" w:cs="Arial"/>
                <w:color w:val="000000"/>
                <w:sz w:val="17"/>
                <w:szCs w:val="17"/>
              </w:rPr>
              <w:t>(102)</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20"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21"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22" w14:textId="77777777" w:rsidR="008E7A10" w:rsidRDefault="00E047B2">
            <w:pPr>
              <w:jc w:val="right"/>
              <w:textAlignment w:val="bottom"/>
            </w:pPr>
            <w:r>
              <w:rPr>
                <w:rFonts w:ascii="Arial" w:eastAsia="宋体" w:hAnsi="Arial" w:cs="Arial"/>
                <w:color w:val="000000"/>
                <w:sz w:val="17"/>
                <w:szCs w:val="17"/>
              </w:rPr>
              <w:t>(1,815)</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2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24" w14:textId="77777777" w:rsidR="008E7A10" w:rsidRDefault="00E047B2">
            <w:pPr>
              <w:jc w:val="right"/>
              <w:textAlignment w:val="bottom"/>
            </w:pPr>
            <w:r>
              <w:rPr>
                <w:rFonts w:ascii="Arial" w:eastAsia="宋体" w:hAnsi="Arial" w:cs="Arial"/>
                <w:color w:val="000000"/>
                <w:sz w:val="17"/>
                <w:szCs w:val="17"/>
              </w:rPr>
              <w:t>(1,917)</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25" w14:textId="77777777" w:rsidR="008E7A10" w:rsidRDefault="008E7A10">
            <w:pPr>
              <w:jc w:val="right"/>
              <w:rPr>
                <w:rFonts w:ascii="宋体"/>
              </w:rPr>
            </w:pPr>
          </w:p>
        </w:tc>
      </w:tr>
      <w:tr w:rsidR="008E7A10" w14:paraId="746F0233"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27" w14:textId="77777777" w:rsidR="008E7A10" w:rsidRDefault="00E047B2">
            <w:pPr>
              <w:textAlignment w:val="bottom"/>
            </w:pPr>
            <w:r>
              <w:rPr>
                <w:rFonts w:ascii="Arial" w:eastAsia="宋体" w:hAnsi="Arial" w:cs="Arial"/>
                <w:color w:val="000000"/>
                <w:sz w:val="17"/>
                <w:szCs w:val="17"/>
              </w:rPr>
              <w:t>Dividends on common stock ($0.465 per share) and preferred stock ($0.10 per share)</w:t>
            </w:r>
          </w:p>
        </w:tc>
        <w:tc>
          <w:tcPr>
            <w:tcW w:w="0" w:type="auto"/>
            <w:gridSpan w:val="3"/>
            <w:tcBorders>
              <w:top w:val="single" w:sz="8" w:space="0" w:color="808080"/>
            </w:tcBorders>
            <w:shd w:val="clear" w:color="auto" w:fill="auto"/>
            <w:tcMar>
              <w:top w:w="0" w:type="dxa"/>
              <w:left w:w="20" w:type="dxa"/>
              <w:bottom w:w="0" w:type="dxa"/>
              <w:right w:w="20" w:type="dxa"/>
            </w:tcMar>
          </w:tcPr>
          <w:p w14:paraId="746F0228"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29"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2A"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2B"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2C"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2D"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2E"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2F" w14:textId="77777777" w:rsidR="008E7A10" w:rsidRDefault="00E047B2">
            <w:pPr>
              <w:jc w:val="right"/>
              <w:textAlignment w:val="bottom"/>
            </w:pPr>
            <w:r>
              <w:rPr>
                <w:rFonts w:ascii="Arial" w:eastAsia="宋体" w:hAnsi="Arial" w:cs="Arial"/>
                <w:color w:val="000000"/>
                <w:sz w:val="17"/>
                <w:szCs w:val="17"/>
              </w:rPr>
              <w:t>(727)</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3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31" w14:textId="77777777" w:rsidR="008E7A10" w:rsidRDefault="00E047B2">
            <w:pPr>
              <w:jc w:val="right"/>
              <w:textAlignment w:val="bottom"/>
            </w:pPr>
            <w:r>
              <w:rPr>
                <w:rFonts w:ascii="Arial" w:eastAsia="宋体" w:hAnsi="Arial" w:cs="Arial"/>
                <w:color w:val="000000"/>
                <w:sz w:val="17"/>
                <w:szCs w:val="17"/>
              </w:rPr>
              <w:t>(727)</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32" w14:textId="77777777" w:rsidR="008E7A10" w:rsidRDefault="008E7A10">
            <w:pPr>
              <w:jc w:val="right"/>
              <w:rPr>
                <w:rFonts w:ascii="宋体"/>
              </w:rPr>
            </w:pPr>
          </w:p>
        </w:tc>
      </w:tr>
      <w:tr w:rsidR="008E7A10" w14:paraId="746F0242"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34" w14:textId="77777777" w:rsidR="008E7A10" w:rsidRDefault="00E047B2">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8" w:space="0" w:color="808080"/>
            </w:tcBorders>
            <w:shd w:val="clear" w:color="auto" w:fill="auto"/>
            <w:tcMar>
              <w:top w:w="0" w:type="dxa"/>
              <w:left w:w="20" w:type="dxa"/>
              <w:bottom w:w="0" w:type="dxa"/>
              <w:right w:w="20" w:type="dxa"/>
            </w:tcMar>
          </w:tcPr>
          <w:p w14:paraId="746F0235"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36"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37"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38"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3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3A"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3B" w14:textId="77777777" w:rsidR="008E7A10" w:rsidRDefault="00E047B2">
            <w:pPr>
              <w:jc w:val="right"/>
              <w:textAlignment w:val="bottom"/>
            </w:pPr>
            <w:r>
              <w:rPr>
                <w:rFonts w:ascii="Arial" w:eastAsia="宋体" w:hAnsi="Arial" w:cs="Arial"/>
                <w:color w:val="000000"/>
                <w:sz w:val="17"/>
                <w:szCs w:val="17"/>
              </w:rPr>
              <w:t>87 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3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3D"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3E" w14:textId="77777777" w:rsidR="008E7A10" w:rsidRDefault="00E047B2">
            <w:pPr>
              <w:jc w:val="right"/>
              <w:textAlignment w:val="bottom"/>
            </w:pPr>
            <w:r>
              <w:rPr>
                <w:rFonts w:ascii="Arial" w:eastAsia="宋体" w:hAnsi="Arial" w:cs="Arial"/>
                <w:color w:val="000000"/>
                <w:sz w:val="17"/>
                <w:szCs w:val="17"/>
              </w:rPr>
              <w:t>(5)</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3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40" w14:textId="77777777" w:rsidR="008E7A10" w:rsidRDefault="00E047B2">
            <w:pPr>
              <w:jc w:val="right"/>
              <w:textAlignment w:val="bottom"/>
            </w:pPr>
            <w:r>
              <w:rPr>
                <w:rFonts w:ascii="Arial" w:eastAsia="宋体" w:hAnsi="Arial" w:cs="Arial"/>
                <w:color w:val="000000"/>
                <w:sz w:val="17"/>
                <w:szCs w:val="17"/>
              </w:rPr>
              <w:t>82 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41" w14:textId="77777777" w:rsidR="008E7A10" w:rsidRDefault="008E7A10">
            <w:pPr>
              <w:jc w:val="right"/>
              <w:rPr>
                <w:rFonts w:ascii="宋体"/>
              </w:rPr>
            </w:pPr>
          </w:p>
        </w:tc>
      </w:tr>
      <w:tr w:rsidR="008E7A10" w14:paraId="746F024F"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43" w14:textId="77777777" w:rsidR="008E7A10" w:rsidRDefault="00E047B2">
            <w:pPr>
              <w:textAlignment w:val="bottom"/>
            </w:pPr>
            <w:r>
              <w:rPr>
                <w:rFonts w:ascii="Arial" w:eastAsia="宋体" w:hAnsi="Arial" w:cs="Arial"/>
                <w:color w:val="000000"/>
                <w:sz w:val="17"/>
                <w:szCs w:val="17"/>
              </w:rPr>
              <w:t>Stock-based compensation</w:t>
            </w:r>
          </w:p>
        </w:tc>
        <w:tc>
          <w:tcPr>
            <w:tcW w:w="0" w:type="auto"/>
            <w:gridSpan w:val="3"/>
            <w:tcBorders>
              <w:top w:val="single" w:sz="8" w:space="0" w:color="808080"/>
            </w:tcBorders>
            <w:shd w:val="clear" w:color="auto" w:fill="auto"/>
            <w:tcMar>
              <w:top w:w="0" w:type="dxa"/>
              <w:left w:w="20" w:type="dxa"/>
              <w:bottom w:w="0" w:type="dxa"/>
              <w:right w:w="20" w:type="dxa"/>
            </w:tcMar>
          </w:tcPr>
          <w:p w14:paraId="746F0244"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45"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46"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47"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48"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49" w14:textId="77777777" w:rsidR="008E7A10" w:rsidRDefault="00E047B2">
            <w:pPr>
              <w:jc w:val="right"/>
              <w:textAlignment w:val="bottom"/>
            </w:pPr>
            <w:r>
              <w:rPr>
                <w:rFonts w:ascii="Arial" w:eastAsia="宋体" w:hAnsi="Arial" w:cs="Arial"/>
                <w:color w:val="000000"/>
                <w:sz w:val="17"/>
                <w:szCs w:val="17"/>
              </w:rPr>
              <w:t>190 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4A"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4B"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4C"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4D" w14:textId="77777777" w:rsidR="008E7A10" w:rsidRDefault="00E047B2">
            <w:pPr>
              <w:jc w:val="right"/>
              <w:textAlignment w:val="bottom"/>
            </w:pPr>
            <w:r>
              <w:rPr>
                <w:rFonts w:ascii="Arial" w:eastAsia="宋体" w:hAnsi="Arial" w:cs="Arial"/>
                <w:color w:val="000000"/>
                <w:sz w:val="17"/>
                <w:szCs w:val="17"/>
              </w:rPr>
              <w:t>190 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4E" w14:textId="77777777" w:rsidR="008E7A10" w:rsidRDefault="008E7A10">
            <w:pPr>
              <w:jc w:val="right"/>
              <w:rPr>
                <w:rFonts w:ascii="宋体"/>
              </w:rPr>
            </w:pPr>
          </w:p>
        </w:tc>
      </w:tr>
      <w:tr w:rsidR="008E7A10" w14:paraId="746F025C"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50" w14:textId="77777777" w:rsidR="008E7A10" w:rsidRDefault="00E047B2">
            <w:pPr>
              <w:textAlignment w:val="bottom"/>
            </w:pPr>
            <w:r>
              <w:rPr>
                <w:rFonts w:ascii="Arial" w:eastAsia="宋体" w:hAnsi="Arial" w:cs="Arial"/>
                <w:color w:val="000000"/>
                <w:sz w:val="17"/>
                <w:szCs w:val="17"/>
              </w:rPr>
              <w:t>Net income</w:t>
            </w:r>
          </w:p>
        </w:tc>
        <w:tc>
          <w:tcPr>
            <w:tcW w:w="0" w:type="auto"/>
            <w:gridSpan w:val="3"/>
            <w:tcBorders>
              <w:top w:val="single" w:sz="8" w:space="0" w:color="808080"/>
            </w:tcBorders>
            <w:shd w:val="clear" w:color="auto" w:fill="auto"/>
            <w:tcMar>
              <w:top w:w="0" w:type="dxa"/>
              <w:left w:w="20" w:type="dxa"/>
              <w:bottom w:w="0" w:type="dxa"/>
              <w:right w:w="20" w:type="dxa"/>
            </w:tcMar>
          </w:tcPr>
          <w:p w14:paraId="746F0251"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52"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53"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54"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55"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56"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57"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58" w14:textId="77777777" w:rsidR="008E7A10" w:rsidRDefault="00E047B2">
            <w:pPr>
              <w:jc w:val="right"/>
              <w:textAlignment w:val="bottom"/>
            </w:pPr>
            <w:r>
              <w:rPr>
                <w:rFonts w:ascii="Arial" w:eastAsia="宋体" w:hAnsi="Arial" w:cs="Arial"/>
                <w:color w:val="000000"/>
                <w:sz w:val="17"/>
                <w:szCs w:val="17"/>
              </w:rPr>
              <w:t>2,482 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5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5A" w14:textId="77777777" w:rsidR="008E7A10" w:rsidRDefault="00E047B2">
            <w:pPr>
              <w:jc w:val="right"/>
              <w:textAlignment w:val="bottom"/>
            </w:pPr>
            <w:r>
              <w:rPr>
                <w:rFonts w:ascii="Arial" w:eastAsia="宋体" w:hAnsi="Arial" w:cs="Arial"/>
                <w:color w:val="000000"/>
                <w:sz w:val="17"/>
                <w:szCs w:val="17"/>
              </w:rPr>
              <w:t>2,482 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5B" w14:textId="77777777" w:rsidR="008E7A10" w:rsidRDefault="008E7A10">
            <w:pPr>
              <w:jc w:val="right"/>
              <w:rPr>
                <w:rFonts w:ascii="宋体"/>
              </w:rPr>
            </w:pPr>
          </w:p>
        </w:tc>
      </w:tr>
      <w:tr w:rsidR="008E7A10" w14:paraId="746F0269"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5D" w14:textId="77777777" w:rsidR="008E7A10" w:rsidRDefault="00E047B2">
            <w:pPr>
              <w:textAlignment w:val="bottom"/>
            </w:pPr>
            <w:r>
              <w:rPr>
                <w:rFonts w:ascii="Arial" w:eastAsia="宋体" w:hAnsi="Arial" w:cs="Arial"/>
                <w:color w:val="000000"/>
                <w:sz w:val="17"/>
                <w:szCs w:val="17"/>
              </w:rPr>
              <w:t>Other comprehensive income (loss)</w:t>
            </w:r>
          </w:p>
        </w:tc>
        <w:tc>
          <w:tcPr>
            <w:tcW w:w="0" w:type="auto"/>
            <w:gridSpan w:val="3"/>
            <w:tcBorders>
              <w:top w:val="single" w:sz="8" w:space="0" w:color="808080"/>
            </w:tcBorders>
            <w:shd w:val="clear" w:color="auto" w:fill="auto"/>
            <w:tcMar>
              <w:top w:w="0" w:type="dxa"/>
              <w:left w:w="20" w:type="dxa"/>
              <w:bottom w:w="0" w:type="dxa"/>
              <w:right w:w="20" w:type="dxa"/>
            </w:tcMar>
          </w:tcPr>
          <w:p w14:paraId="746F025E"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5F"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60"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61"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62"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63"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64" w14:textId="77777777" w:rsidR="008E7A10" w:rsidRDefault="00E047B2">
            <w:pPr>
              <w:jc w:val="right"/>
              <w:textAlignment w:val="bottom"/>
            </w:pPr>
            <w:r>
              <w:rPr>
                <w:rFonts w:ascii="Arial" w:eastAsia="宋体" w:hAnsi="Arial" w:cs="Arial"/>
                <w:color w:val="000000"/>
                <w:sz w:val="17"/>
                <w:szCs w:val="17"/>
              </w:rPr>
              <w:t>(179)</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6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66"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67" w14:textId="77777777" w:rsidR="008E7A10" w:rsidRDefault="00E047B2">
            <w:pPr>
              <w:jc w:val="right"/>
              <w:textAlignment w:val="bottom"/>
            </w:pPr>
            <w:r>
              <w:rPr>
                <w:rFonts w:ascii="Arial" w:eastAsia="宋体" w:hAnsi="Arial" w:cs="Arial"/>
                <w:color w:val="000000"/>
                <w:sz w:val="17"/>
                <w:szCs w:val="17"/>
              </w:rPr>
              <w:t>(179)</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68" w14:textId="77777777" w:rsidR="008E7A10" w:rsidRDefault="008E7A10">
            <w:pPr>
              <w:jc w:val="right"/>
              <w:rPr>
                <w:rFonts w:ascii="宋体"/>
              </w:rPr>
            </w:pPr>
          </w:p>
        </w:tc>
      </w:tr>
      <w:tr w:rsidR="008E7A10" w14:paraId="746F0276"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6A" w14:textId="77777777" w:rsidR="008E7A10" w:rsidRDefault="00E047B2">
            <w:pPr>
              <w:textAlignment w:val="bottom"/>
            </w:pPr>
            <w:r>
              <w:rPr>
                <w:rFonts w:ascii="Arial" w:eastAsia="宋体" w:hAnsi="Arial" w:cs="Arial"/>
                <w:color w:val="000000"/>
                <w:sz w:val="17"/>
                <w:szCs w:val="17"/>
              </w:rPr>
              <w:t>Adoption of ASC Topic 842</w:t>
            </w:r>
          </w:p>
        </w:tc>
        <w:tc>
          <w:tcPr>
            <w:tcW w:w="0" w:type="auto"/>
            <w:gridSpan w:val="3"/>
            <w:tcBorders>
              <w:top w:val="single" w:sz="8" w:space="0" w:color="808080"/>
            </w:tcBorders>
            <w:shd w:val="clear" w:color="auto" w:fill="auto"/>
            <w:tcMar>
              <w:top w:w="0" w:type="dxa"/>
              <w:left w:w="20" w:type="dxa"/>
              <w:bottom w:w="0" w:type="dxa"/>
              <w:right w:w="20" w:type="dxa"/>
            </w:tcMar>
          </w:tcPr>
          <w:p w14:paraId="746F026B"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6C"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6D"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6E"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6F"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70"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271"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72"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7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274"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left w:w="0" w:type="dxa"/>
              <w:bottom w:w="40" w:type="dxa"/>
              <w:right w:w="20" w:type="dxa"/>
            </w:tcMar>
            <w:vAlign w:val="bottom"/>
          </w:tcPr>
          <w:p w14:paraId="746F0275" w14:textId="77777777" w:rsidR="008E7A10" w:rsidRDefault="008E7A10">
            <w:pPr>
              <w:jc w:val="right"/>
              <w:rPr>
                <w:rFonts w:ascii="宋体"/>
              </w:rPr>
            </w:pPr>
          </w:p>
        </w:tc>
      </w:tr>
      <w:tr w:rsidR="008E7A10" w14:paraId="746F028F"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277" w14:textId="77777777" w:rsidR="008E7A10" w:rsidRDefault="00E047B2">
            <w:pPr>
              <w:textAlignment w:val="bottom"/>
            </w:pPr>
            <w:r>
              <w:rPr>
                <w:rFonts w:ascii="Arial" w:eastAsia="宋体" w:hAnsi="Arial" w:cs="Arial"/>
                <w:b/>
                <w:bCs/>
                <w:color w:val="000000"/>
                <w:sz w:val="17"/>
                <w:szCs w:val="17"/>
              </w:rPr>
              <w:t xml:space="preserve">Balance at </w:t>
            </w:r>
            <w:r>
              <w:rPr>
                <w:rFonts w:ascii="Arial" w:eastAsia="宋体" w:hAnsi="Arial" w:cs="Arial"/>
                <w:b/>
                <w:bCs/>
                <w:color w:val="000000"/>
                <w:sz w:val="17"/>
                <w:szCs w:val="17"/>
              </w:rPr>
              <w:t>November 30, 2019</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278" w14:textId="77777777" w:rsidR="008E7A10" w:rsidRDefault="00E047B2">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279"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27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27B" w14:textId="77777777" w:rsidR="008E7A10" w:rsidRDefault="00E047B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27C"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27D" w14:textId="77777777" w:rsidR="008E7A10" w:rsidRDefault="008E7A10">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27E" w14:textId="77777777" w:rsidR="008E7A10" w:rsidRDefault="00E047B2">
            <w:pPr>
              <w:jc w:val="right"/>
              <w:textAlignment w:val="bottom"/>
            </w:pPr>
            <w:r>
              <w:rPr>
                <w:rFonts w:ascii="Arial" w:eastAsia="宋体" w:hAnsi="Arial" w:cs="Arial"/>
                <w:b/>
                <w:bCs/>
                <w:color w:val="000000"/>
                <w:sz w:val="17"/>
                <w:szCs w:val="17"/>
              </w:rPr>
              <w:t>1,244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27F"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28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281"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282"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28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284" w14:textId="77777777" w:rsidR="008E7A10" w:rsidRDefault="00E047B2">
            <w:pPr>
              <w:jc w:val="right"/>
              <w:textAlignment w:val="bottom"/>
            </w:pPr>
            <w:r>
              <w:rPr>
                <w:rFonts w:ascii="Arial" w:eastAsia="宋体" w:hAnsi="Arial" w:cs="Arial"/>
                <w:b/>
                <w:bCs/>
                <w:color w:val="000000"/>
                <w:sz w:val="17"/>
                <w:szCs w:val="17"/>
              </w:rPr>
              <w:t>7,719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285"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28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287" w14:textId="77777777" w:rsidR="008E7A10" w:rsidRDefault="00E047B2">
            <w:pPr>
              <w:jc w:val="right"/>
              <w:textAlignment w:val="bottom"/>
            </w:pPr>
            <w:r>
              <w:rPr>
                <w:rFonts w:ascii="Arial" w:eastAsia="宋体" w:hAnsi="Arial" w:cs="Arial"/>
                <w:b/>
                <w:bCs/>
                <w:color w:val="000000"/>
                <w:sz w:val="17"/>
                <w:szCs w:val="17"/>
              </w:rPr>
              <w:t>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288"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28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28A" w14:textId="77777777" w:rsidR="008E7A10" w:rsidRDefault="00E047B2">
            <w:pPr>
              <w:jc w:val="right"/>
              <w:textAlignment w:val="bottom"/>
            </w:pPr>
            <w:r>
              <w:rPr>
                <w:rFonts w:ascii="Arial" w:eastAsia="宋体" w:hAnsi="Arial" w:cs="Arial"/>
                <w:b/>
                <w:bCs/>
                <w:color w:val="000000"/>
                <w:sz w:val="17"/>
                <w:szCs w:val="17"/>
              </w:rPr>
              <w:t>1,577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28B"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28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28D" w14:textId="77777777" w:rsidR="008E7A10" w:rsidRDefault="00E047B2">
            <w:pPr>
              <w:jc w:val="right"/>
              <w:textAlignment w:val="bottom"/>
            </w:pPr>
            <w:r>
              <w:rPr>
                <w:rFonts w:ascii="Arial" w:eastAsia="宋体" w:hAnsi="Arial" w:cs="Arial"/>
                <w:b/>
                <w:bCs/>
                <w:color w:val="000000"/>
                <w:sz w:val="17"/>
                <w:szCs w:val="17"/>
              </w:rPr>
              <w:t>9,351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28E" w14:textId="77777777" w:rsidR="008E7A10" w:rsidRDefault="008E7A10">
            <w:pPr>
              <w:jc w:val="right"/>
              <w:rPr>
                <w:rFonts w:ascii="宋体"/>
              </w:rPr>
            </w:pPr>
          </w:p>
        </w:tc>
      </w:tr>
    </w:tbl>
    <w:p w14:paraId="746F0290" w14:textId="77777777" w:rsidR="008E7A10" w:rsidRDefault="00E047B2">
      <w:pPr>
        <w:spacing w:before="110" w:after="120"/>
        <w:jc w:val="center"/>
      </w:pPr>
      <w:r>
        <w:rPr>
          <w:rFonts w:ascii="Arial" w:eastAsia="宋体" w:hAnsi="Arial" w:cs="Arial"/>
          <w:i/>
          <w:iCs/>
          <w:color w:val="000000"/>
          <w:sz w:val="17"/>
          <w:szCs w:val="17"/>
        </w:rPr>
        <w:t>The accompanying Notes to the Unaudited Condensed Consolidated Financial Statements are an integral part of this statement.</w:t>
      </w:r>
    </w:p>
    <w:p w14:paraId="746F0291" w14:textId="77777777" w:rsidR="008E7A10" w:rsidRDefault="00E047B2">
      <w:pPr>
        <w:spacing w:before="120" w:after="120"/>
      </w:pPr>
      <w:r>
        <w:rPr>
          <w:rFonts w:ascii="Arial" w:eastAsia="宋体" w:hAnsi="Arial" w:cs="Arial"/>
          <w:color w:val="E87722"/>
          <w:sz w:val="17"/>
          <w:szCs w:val="17"/>
        </w:rPr>
        <w:t>6</w:t>
      </w:r>
      <w:r>
        <w:rPr>
          <w:rFonts w:ascii="sans-serif" w:eastAsia="sans-serif" w:hAnsi="sans-serif" w:cs="sans-serif"/>
          <w:color w:val="000000"/>
          <w:sz w:val="17"/>
          <w:szCs w:val="17"/>
        </w:rPr>
        <w:t xml:space="preserve"> </w:t>
      </w:r>
    </w:p>
    <w:p w14:paraId="746F0292" w14:textId="77777777" w:rsidR="008E7A10" w:rsidRDefault="00E047B2">
      <w:r>
        <w:pict w14:anchorId="746F200E">
          <v:rect id="_x0000_i1032" style="width:415.3pt;height:1.5pt" o:hralign="center" o:hrstd="t" o:hr="t" fillcolor="#a0a0a0" stroked="f"/>
        </w:pict>
      </w:r>
    </w:p>
    <w:p w14:paraId="746F0293" w14:textId="77777777" w:rsidR="008E7A10" w:rsidRDefault="008E7A10"/>
    <w:p w14:paraId="746F0294" w14:textId="77777777" w:rsidR="008E7A10" w:rsidRDefault="00E047B2">
      <w:hyperlink r:id="rId49" w:anchor="i31a624617c6c41b38f8f700fa0df5bde_7" w:history="1">
        <w:r>
          <w:rPr>
            <w:rStyle w:val="a5"/>
            <w:rFonts w:ascii="sans-serif" w:eastAsia="sans-serif" w:hAnsi="sans-serif" w:cs="sans-serif"/>
            <w:sz w:val="17"/>
            <w:szCs w:val="17"/>
          </w:rPr>
          <w:t>Table of Contents</w:t>
        </w:r>
      </w:hyperlink>
    </w:p>
    <w:p w14:paraId="746F0295" w14:textId="77777777" w:rsidR="008E7A10" w:rsidRDefault="008E7A10"/>
    <w:p w14:paraId="746F0296" w14:textId="77777777" w:rsidR="008E7A10" w:rsidRDefault="00E047B2">
      <w:pPr>
        <w:spacing w:before="360" w:after="180"/>
      </w:pPr>
      <w:r>
        <w:rPr>
          <w:rFonts w:ascii="sans-serif" w:eastAsia="sans-serif" w:hAnsi="sans-serif" w:cs="sans-serif"/>
          <w:color w:val="000000"/>
          <w:sz w:val="44"/>
          <w:szCs w:val="44"/>
        </w:rPr>
        <w:t>NOTES TO THE UNAUDITED CONDENSED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6895"/>
        <w:gridCol w:w="37"/>
        <w:gridCol w:w="69"/>
        <w:gridCol w:w="357"/>
        <w:gridCol w:w="36"/>
      </w:tblGrid>
      <w:tr w:rsidR="008E7A10" w14:paraId="746F02A0" w14:textId="77777777">
        <w:tc>
          <w:tcPr>
            <w:tcW w:w="50" w:type="pct"/>
            <w:shd w:val="clear" w:color="auto" w:fill="auto"/>
          </w:tcPr>
          <w:p w14:paraId="746F0297" w14:textId="77777777" w:rsidR="008E7A10" w:rsidRDefault="008E7A10">
            <w:pPr>
              <w:rPr>
                <w:rFonts w:ascii="宋体"/>
              </w:rPr>
            </w:pPr>
          </w:p>
        </w:tc>
        <w:tc>
          <w:tcPr>
            <w:tcW w:w="469" w:type="pct"/>
            <w:shd w:val="clear" w:color="auto" w:fill="auto"/>
          </w:tcPr>
          <w:p w14:paraId="746F0298" w14:textId="77777777" w:rsidR="008E7A10" w:rsidRDefault="008E7A10">
            <w:pPr>
              <w:rPr>
                <w:rFonts w:ascii="宋体"/>
              </w:rPr>
            </w:pPr>
          </w:p>
        </w:tc>
        <w:tc>
          <w:tcPr>
            <w:tcW w:w="5" w:type="pct"/>
            <w:shd w:val="clear" w:color="auto" w:fill="auto"/>
          </w:tcPr>
          <w:p w14:paraId="746F0299" w14:textId="77777777" w:rsidR="008E7A10" w:rsidRDefault="008E7A10">
            <w:pPr>
              <w:rPr>
                <w:rFonts w:ascii="宋体"/>
              </w:rPr>
            </w:pPr>
          </w:p>
        </w:tc>
        <w:tc>
          <w:tcPr>
            <w:tcW w:w="50" w:type="pct"/>
            <w:shd w:val="clear" w:color="auto" w:fill="auto"/>
          </w:tcPr>
          <w:p w14:paraId="746F029A" w14:textId="77777777" w:rsidR="008E7A10" w:rsidRDefault="008E7A10">
            <w:pPr>
              <w:rPr>
                <w:rFonts w:ascii="宋体"/>
              </w:rPr>
            </w:pPr>
          </w:p>
        </w:tc>
        <w:tc>
          <w:tcPr>
            <w:tcW w:w="4142" w:type="pct"/>
            <w:shd w:val="clear" w:color="auto" w:fill="auto"/>
          </w:tcPr>
          <w:p w14:paraId="746F029B" w14:textId="77777777" w:rsidR="008E7A10" w:rsidRDefault="008E7A10">
            <w:pPr>
              <w:rPr>
                <w:rFonts w:ascii="宋体"/>
              </w:rPr>
            </w:pPr>
          </w:p>
        </w:tc>
        <w:tc>
          <w:tcPr>
            <w:tcW w:w="5" w:type="pct"/>
            <w:shd w:val="clear" w:color="auto" w:fill="auto"/>
          </w:tcPr>
          <w:p w14:paraId="746F029C" w14:textId="77777777" w:rsidR="008E7A10" w:rsidRDefault="008E7A10">
            <w:pPr>
              <w:rPr>
                <w:rFonts w:ascii="宋体"/>
              </w:rPr>
            </w:pPr>
          </w:p>
        </w:tc>
        <w:tc>
          <w:tcPr>
            <w:tcW w:w="50" w:type="pct"/>
            <w:shd w:val="clear" w:color="auto" w:fill="auto"/>
          </w:tcPr>
          <w:p w14:paraId="746F029D" w14:textId="77777777" w:rsidR="008E7A10" w:rsidRDefault="008E7A10">
            <w:pPr>
              <w:rPr>
                <w:rFonts w:ascii="宋体"/>
              </w:rPr>
            </w:pPr>
          </w:p>
        </w:tc>
        <w:tc>
          <w:tcPr>
            <w:tcW w:w="222" w:type="pct"/>
            <w:shd w:val="clear" w:color="auto" w:fill="auto"/>
          </w:tcPr>
          <w:p w14:paraId="746F029E" w14:textId="77777777" w:rsidR="008E7A10" w:rsidRDefault="008E7A10">
            <w:pPr>
              <w:rPr>
                <w:rFonts w:ascii="宋体"/>
              </w:rPr>
            </w:pPr>
          </w:p>
        </w:tc>
        <w:tc>
          <w:tcPr>
            <w:tcW w:w="5" w:type="pct"/>
            <w:shd w:val="clear" w:color="auto" w:fill="auto"/>
          </w:tcPr>
          <w:p w14:paraId="746F029F" w14:textId="77777777" w:rsidR="008E7A10" w:rsidRDefault="008E7A10">
            <w:pPr>
              <w:rPr>
                <w:rFonts w:ascii="宋体"/>
              </w:rPr>
            </w:pPr>
          </w:p>
        </w:tc>
      </w:tr>
      <w:tr w:rsidR="008E7A10" w14:paraId="746F02A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2A1" w14:textId="77777777" w:rsidR="008E7A10" w:rsidRDefault="00E047B2">
            <w:pPr>
              <w:textAlignment w:val="bottom"/>
            </w:pPr>
            <w:r>
              <w:rPr>
                <w:rFonts w:ascii="sans-serif" w:eastAsia="sans-serif" w:hAnsi="sans-serif" w:cs="sans-serif"/>
                <w:b/>
                <w:bCs/>
                <w:color w:val="000000"/>
                <w:sz w:val="18"/>
                <w:szCs w:val="18"/>
              </w:rPr>
              <w:t>Note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2A2" w14:textId="77777777" w:rsidR="008E7A10" w:rsidRDefault="00E047B2">
            <w:pPr>
              <w:textAlignment w:val="bottom"/>
            </w:pPr>
            <w:hyperlink r:id="rId50" w:anchor="i31a624617c6c41b38f8f700fa0df5bde_34" w:history="1">
              <w:r>
                <w:rPr>
                  <w:rStyle w:val="a5"/>
                  <w:rFonts w:ascii="sans-serif" w:eastAsia="sans-serif" w:hAnsi="sans-serif" w:cs="sans-serif"/>
                  <w:color w:val="000000"/>
                  <w:sz w:val="16"/>
                  <w:szCs w:val="16"/>
                  <w:u w:val="none"/>
                </w:rPr>
                <w:t>Summary of Significant Accounting Policies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2A3" w14:textId="77777777" w:rsidR="008E7A10" w:rsidRDefault="00E047B2">
            <w:pPr>
              <w:textAlignment w:val="bottom"/>
            </w:pPr>
            <w:hyperlink r:id="rId51" w:anchor="i31a624617c6c41b38f8f700fa0df5bde_34" w:history="1">
              <w:r>
                <w:rPr>
                  <w:rStyle w:val="a5"/>
                  <w:rFonts w:ascii="sans-serif" w:eastAsia="sans-serif" w:hAnsi="sans-serif" w:cs="sans-serif"/>
                  <w:color w:val="000000"/>
                  <w:sz w:val="16"/>
                  <w:szCs w:val="16"/>
                  <w:u w:val="none"/>
                </w:rPr>
                <w:t>8</w:t>
              </w:r>
            </w:hyperlink>
          </w:p>
        </w:tc>
      </w:tr>
      <w:tr w:rsidR="008E7A10" w14:paraId="746F02A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A5" w14:textId="77777777" w:rsidR="008E7A10" w:rsidRDefault="00E047B2">
            <w:pPr>
              <w:textAlignment w:val="bottom"/>
            </w:pPr>
            <w:r>
              <w:rPr>
                <w:rFonts w:ascii="sans-serif" w:eastAsia="sans-serif" w:hAnsi="sans-serif" w:cs="sans-serif"/>
                <w:b/>
                <w:bCs/>
                <w:color w:val="000000"/>
                <w:sz w:val="18"/>
                <w:szCs w:val="18"/>
              </w:rPr>
              <w:t>Note 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A6" w14:textId="77777777" w:rsidR="008E7A10" w:rsidRDefault="00E047B2">
            <w:pPr>
              <w:textAlignment w:val="bottom"/>
            </w:pPr>
            <w:hyperlink r:id="rId52" w:anchor="i31a624617c6c41b38f8f700fa0df5bde_37" w:history="1">
              <w:r>
                <w:rPr>
                  <w:rStyle w:val="a5"/>
                  <w:rFonts w:ascii="sans-serif" w:eastAsia="sans-serif" w:hAnsi="sans-serif" w:cs="sans-serif"/>
                  <w:color w:val="000000"/>
                  <w:sz w:val="16"/>
                  <w:szCs w:val="16"/>
                  <w:u w:val="none"/>
                </w:rPr>
                <w:t>Inventories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A7" w14:textId="77777777" w:rsidR="008E7A10" w:rsidRDefault="00E047B2">
            <w:pPr>
              <w:textAlignment w:val="bottom"/>
            </w:pPr>
            <w:hyperlink r:id="rId53" w:anchor="i31a624617c6c41b38f8f700fa0df5bde_37" w:history="1">
              <w:r>
                <w:rPr>
                  <w:rStyle w:val="a5"/>
                  <w:rFonts w:ascii="sans-serif" w:eastAsia="sans-serif" w:hAnsi="sans-serif" w:cs="sans-serif"/>
                  <w:color w:val="000000"/>
                  <w:sz w:val="16"/>
                  <w:szCs w:val="16"/>
                  <w:u w:val="none"/>
                </w:rPr>
                <w:t>8</w:t>
              </w:r>
            </w:hyperlink>
          </w:p>
        </w:tc>
      </w:tr>
      <w:tr w:rsidR="008E7A10" w14:paraId="746F02A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A9" w14:textId="77777777" w:rsidR="008E7A10" w:rsidRDefault="00E047B2">
            <w:pPr>
              <w:textAlignment w:val="bottom"/>
            </w:pPr>
            <w:r>
              <w:rPr>
                <w:rFonts w:ascii="sans-serif" w:eastAsia="sans-serif" w:hAnsi="sans-serif" w:cs="sans-serif"/>
                <w:b/>
                <w:bCs/>
                <w:color w:val="000000"/>
                <w:sz w:val="18"/>
                <w:szCs w:val="18"/>
              </w:rPr>
              <w:t>Note 3</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AA" w14:textId="77777777" w:rsidR="008E7A10" w:rsidRDefault="00E047B2">
            <w:pPr>
              <w:textAlignment w:val="bottom"/>
            </w:pPr>
            <w:hyperlink r:id="rId54" w:anchor="i31a624617c6c41b38f8f700fa0df5bde_40" w:history="1">
              <w:r>
                <w:rPr>
                  <w:rStyle w:val="a5"/>
                  <w:rFonts w:ascii="sans-serif" w:eastAsia="sans-serif" w:hAnsi="sans-serif" w:cs="sans-serif"/>
                  <w:color w:val="000000"/>
                  <w:sz w:val="16"/>
                  <w:szCs w:val="16"/>
                  <w:u w:val="none"/>
                </w:rPr>
                <w:t>Accrued Liabilities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AB" w14:textId="77777777" w:rsidR="008E7A10" w:rsidRDefault="00E047B2">
            <w:pPr>
              <w:textAlignment w:val="bottom"/>
            </w:pPr>
            <w:hyperlink r:id="rId55" w:anchor="i31a624617c6c41b38f8f700fa0df5bde_40" w:history="1">
              <w:r>
                <w:rPr>
                  <w:rStyle w:val="a5"/>
                  <w:rFonts w:ascii="sans-serif" w:eastAsia="sans-serif" w:hAnsi="sans-serif" w:cs="sans-serif"/>
                  <w:color w:val="000000"/>
                  <w:sz w:val="16"/>
                  <w:szCs w:val="16"/>
                  <w:u w:val="none"/>
                </w:rPr>
                <w:t>8</w:t>
              </w:r>
            </w:hyperlink>
          </w:p>
        </w:tc>
      </w:tr>
      <w:tr w:rsidR="008E7A10" w14:paraId="746F02B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AD" w14:textId="77777777" w:rsidR="008E7A10" w:rsidRDefault="00E047B2">
            <w:pPr>
              <w:textAlignment w:val="bottom"/>
            </w:pPr>
            <w:r>
              <w:rPr>
                <w:rFonts w:ascii="sans-serif" w:eastAsia="sans-serif" w:hAnsi="sans-serif" w:cs="sans-serif"/>
                <w:b/>
                <w:bCs/>
                <w:color w:val="000000"/>
                <w:sz w:val="18"/>
                <w:szCs w:val="18"/>
              </w:rPr>
              <w:t>Note 4</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AE" w14:textId="77777777" w:rsidR="008E7A10" w:rsidRDefault="00E047B2">
            <w:pPr>
              <w:textAlignment w:val="bottom"/>
            </w:pPr>
            <w:hyperlink r:id="rId56" w:anchor="i31a624617c6c41b38f8f700fa0df5bde_43" w:history="1">
              <w:r>
                <w:rPr>
                  <w:rStyle w:val="a5"/>
                  <w:rFonts w:ascii="sans-serif" w:eastAsia="sans-serif" w:hAnsi="sans-serif" w:cs="sans-serif"/>
                  <w:color w:val="000000"/>
                  <w:sz w:val="16"/>
                  <w:szCs w:val="16"/>
                  <w:u w:val="none"/>
                </w:rPr>
                <w:t>Fair Value Measurements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AF" w14:textId="77777777" w:rsidR="008E7A10" w:rsidRDefault="00E047B2">
            <w:pPr>
              <w:textAlignment w:val="bottom"/>
            </w:pPr>
            <w:hyperlink r:id="rId57" w:anchor="i31a624617c6c41b38f8f700fa0df5bde_43" w:history="1">
              <w:r>
                <w:rPr>
                  <w:rStyle w:val="a5"/>
                  <w:rFonts w:ascii="sans-serif" w:eastAsia="sans-serif" w:hAnsi="sans-serif" w:cs="sans-serif"/>
                  <w:color w:val="000000"/>
                  <w:sz w:val="16"/>
                  <w:szCs w:val="16"/>
                  <w:u w:val="none"/>
                </w:rPr>
                <w:t>8</w:t>
              </w:r>
            </w:hyperlink>
          </w:p>
        </w:tc>
      </w:tr>
      <w:tr w:rsidR="008E7A10" w14:paraId="746F02B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1" w14:textId="77777777" w:rsidR="008E7A10" w:rsidRDefault="00E047B2">
            <w:pPr>
              <w:textAlignment w:val="bottom"/>
            </w:pPr>
            <w:r>
              <w:rPr>
                <w:rFonts w:ascii="sans-serif" w:eastAsia="sans-serif" w:hAnsi="sans-serif" w:cs="sans-serif"/>
                <w:b/>
                <w:bCs/>
                <w:color w:val="000000"/>
                <w:sz w:val="18"/>
                <w:szCs w:val="18"/>
              </w:rPr>
              <w:t>Note 5</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2" w14:textId="77777777" w:rsidR="008E7A10" w:rsidRDefault="00E047B2">
            <w:pPr>
              <w:textAlignment w:val="bottom"/>
            </w:pPr>
            <w:hyperlink r:id="rId58" w:anchor="i31a624617c6c41b38f8f700fa0df5bde_46" w:history="1">
              <w:r>
                <w:rPr>
                  <w:rStyle w:val="a5"/>
                  <w:rFonts w:ascii="sans-serif" w:eastAsia="sans-serif" w:hAnsi="sans-serif" w:cs="sans-serif"/>
                  <w:color w:val="000000"/>
                  <w:sz w:val="16"/>
                  <w:szCs w:val="16"/>
                  <w:u w:val="none"/>
                </w:rPr>
                <w:t xml:space="preserve">Short-Term Borrowings </w:t>
              </w:r>
              <w:r>
                <w:rPr>
                  <w:rStyle w:val="a5"/>
                  <w:rFonts w:ascii="sans-serif" w:eastAsia="sans-serif" w:hAnsi="sans-serif" w:cs="sans-serif"/>
                  <w:color w:val="000000"/>
                  <w:sz w:val="16"/>
                  <w:szCs w:val="16"/>
                  <w:u w:val="none"/>
                </w:rPr>
                <w:t>and Credit Lines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3" w14:textId="77777777" w:rsidR="008E7A10" w:rsidRDefault="00E047B2">
            <w:pPr>
              <w:textAlignment w:val="bottom"/>
            </w:pPr>
            <w:hyperlink r:id="rId59" w:anchor="i31a624617c6c41b38f8f700fa0df5bde_46" w:history="1">
              <w:r>
                <w:rPr>
                  <w:rStyle w:val="a5"/>
                  <w:rFonts w:ascii="sans-serif" w:eastAsia="sans-serif" w:hAnsi="sans-serif" w:cs="sans-serif"/>
                  <w:color w:val="000000"/>
                  <w:sz w:val="16"/>
                  <w:szCs w:val="16"/>
                  <w:u w:val="none"/>
                </w:rPr>
                <w:t>10</w:t>
              </w:r>
            </w:hyperlink>
          </w:p>
        </w:tc>
      </w:tr>
      <w:tr w:rsidR="008E7A10" w14:paraId="746F02B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5" w14:textId="77777777" w:rsidR="008E7A10" w:rsidRDefault="00E047B2">
            <w:pPr>
              <w:textAlignment w:val="bottom"/>
            </w:pPr>
            <w:r>
              <w:rPr>
                <w:rFonts w:ascii="sans-serif" w:eastAsia="sans-serif" w:hAnsi="sans-serif" w:cs="sans-serif"/>
                <w:b/>
                <w:bCs/>
                <w:color w:val="000000"/>
                <w:sz w:val="18"/>
                <w:szCs w:val="18"/>
              </w:rPr>
              <w:t>Note 6</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6" w14:textId="77777777" w:rsidR="008E7A10" w:rsidRDefault="00E047B2">
            <w:pPr>
              <w:textAlignment w:val="bottom"/>
            </w:pPr>
            <w:hyperlink r:id="rId60" w:anchor="i31a624617c6c41b38f8f700fa0df5bde_49" w:history="1">
              <w:r>
                <w:rPr>
                  <w:rStyle w:val="a5"/>
                  <w:rFonts w:ascii="sans-serif" w:eastAsia="sans-serif" w:hAnsi="sans-serif" w:cs="sans-serif"/>
                  <w:color w:val="000000"/>
                  <w:sz w:val="16"/>
                  <w:szCs w:val="16"/>
                  <w:u w:val="none"/>
                </w:rPr>
                <w:t>Income Taxes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7" w14:textId="77777777" w:rsidR="008E7A10" w:rsidRDefault="00E047B2">
            <w:pPr>
              <w:textAlignment w:val="bottom"/>
            </w:pPr>
            <w:hyperlink r:id="rId61" w:anchor="i31a624617c6c41b38f8f700fa0df5bde_49" w:history="1">
              <w:r>
                <w:rPr>
                  <w:rStyle w:val="a5"/>
                  <w:rFonts w:ascii="sans-serif" w:eastAsia="sans-serif" w:hAnsi="sans-serif" w:cs="sans-serif"/>
                  <w:color w:val="000000"/>
                  <w:sz w:val="16"/>
                  <w:szCs w:val="16"/>
                  <w:u w:val="none"/>
                </w:rPr>
                <w:t>10</w:t>
              </w:r>
            </w:hyperlink>
          </w:p>
        </w:tc>
      </w:tr>
      <w:tr w:rsidR="008E7A10" w14:paraId="746F02B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9" w14:textId="77777777" w:rsidR="008E7A10" w:rsidRDefault="00E047B2">
            <w:pPr>
              <w:textAlignment w:val="bottom"/>
            </w:pPr>
            <w:r>
              <w:rPr>
                <w:rFonts w:ascii="sans-serif" w:eastAsia="sans-serif" w:hAnsi="sans-serif" w:cs="sans-serif"/>
                <w:b/>
                <w:bCs/>
                <w:color w:val="000000"/>
                <w:sz w:val="18"/>
                <w:szCs w:val="18"/>
              </w:rPr>
              <w:t xml:space="preserve">Note </w:t>
            </w:r>
            <w:r>
              <w:rPr>
                <w:rFonts w:ascii="sans-serif" w:eastAsia="sans-serif" w:hAnsi="sans-serif" w:cs="sans-serif"/>
                <w:b/>
                <w:bCs/>
                <w:color w:val="000000"/>
                <w:sz w:val="18"/>
                <w:szCs w:val="18"/>
              </w:rPr>
              <w:t>7</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A" w14:textId="77777777" w:rsidR="008E7A10" w:rsidRDefault="00E047B2">
            <w:pPr>
              <w:textAlignment w:val="bottom"/>
            </w:pPr>
            <w:hyperlink r:id="rId62" w:anchor="i31a624617c6c41b38f8f700fa0df5bde_52" w:history="1">
              <w:r>
                <w:rPr>
                  <w:rStyle w:val="a5"/>
                  <w:rFonts w:ascii="sans-serif" w:eastAsia="sans-serif" w:hAnsi="sans-serif" w:cs="sans-serif"/>
                  <w:color w:val="000000"/>
                  <w:sz w:val="16"/>
                  <w:szCs w:val="16"/>
                  <w:u w:val="none"/>
                </w:rPr>
                <w:t>Stock-Based Compensation</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B" w14:textId="77777777" w:rsidR="008E7A10" w:rsidRDefault="00E047B2">
            <w:pPr>
              <w:textAlignment w:val="bottom"/>
            </w:pPr>
            <w:hyperlink r:id="rId63" w:anchor="i31a624617c6c41b38f8f700fa0df5bde_52" w:history="1">
              <w:r>
                <w:rPr>
                  <w:rStyle w:val="a5"/>
                  <w:rFonts w:ascii="sans-serif" w:eastAsia="sans-serif" w:hAnsi="sans-serif" w:cs="sans-serif"/>
                  <w:color w:val="000000"/>
                  <w:sz w:val="16"/>
                  <w:szCs w:val="16"/>
                  <w:u w:val="none"/>
                </w:rPr>
                <w:t>11</w:t>
              </w:r>
            </w:hyperlink>
          </w:p>
        </w:tc>
      </w:tr>
      <w:tr w:rsidR="008E7A10" w14:paraId="746F02C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D" w14:textId="77777777" w:rsidR="008E7A10" w:rsidRDefault="00E047B2">
            <w:pPr>
              <w:textAlignment w:val="bottom"/>
            </w:pPr>
            <w:r>
              <w:rPr>
                <w:rFonts w:ascii="sans-serif" w:eastAsia="sans-serif" w:hAnsi="sans-serif" w:cs="sans-serif"/>
                <w:b/>
                <w:bCs/>
                <w:color w:val="000000"/>
                <w:sz w:val="18"/>
                <w:szCs w:val="18"/>
              </w:rPr>
              <w:t>Note 8</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E" w14:textId="77777777" w:rsidR="008E7A10" w:rsidRDefault="00E047B2">
            <w:pPr>
              <w:textAlignment w:val="bottom"/>
            </w:pPr>
            <w:hyperlink r:id="rId64" w:anchor="i31a624617c6c41b38f8f700fa0df5bde_55" w:history="1">
              <w:r>
                <w:rPr>
                  <w:rStyle w:val="a5"/>
                  <w:rFonts w:ascii="sans-serif" w:eastAsia="sans-serif" w:hAnsi="sans-serif" w:cs="sans-serif"/>
                  <w:color w:val="000000"/>
                  <w:sz w:val="16"/>
                  <w:szCs w:val="16"/>
                  <w:u w:val="none"/>
                </w:rPr>
                <w:t>Earnings Per Share</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BF" w14:textId="77777777" w:rsidR="008E7A10" w:rsidRDefault="00E047B2">
            <w:pPr>
              <w:textAlignment w:val="bottom"/>
            </w:pPr>
            <w:hyperlink r:id="rId65" w:anchor="i31a624617c6c41b38f8f700fa0df5bde_55" w:history="1">
              <w:r>
                <w:rPr>
                  <w:rStyle w:val="a5"/>
                  <w:rFonts w:ascii="sans-serif" w:eastAsia="sans-serif" w:hAnsi="sans-serif" w:cs="sans-serif"/>
                  <w:color w:val="000000"/>
                  <w:sz w:val="16"/>
                  <w:szCs w:val="16"/>
                  <w:u w:val="none"/>
                </w:rPr>
                <w:t>12</w:t>
              </w:r>
            </w:hyperlink>
          </w:p>
        </w:tc>
      </w:tr>
      <w:tr w:rsidR="008E7A10" w14:paraId="746F02C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1" w14:textId="77777777" w:rsidR="008E7A10" w:rsidRDefault="00E047B2">
            <w:pPr>
              <w:textAlignment w:val="bottom"/>
            </w:pPr>
            <w:r>
              <w:rPr>
                <w:rFonts w:ascii="sans-serif" w:eastAsia="sans-serif" w:hAnsi="sans-serif" w:cs="sans-serif"/>
                <w:b/>
                <w:bCs/>
                <w:color w:val="000000"/>
                <w:sz w:val="18"/>
                <w:szCs w:val="18"/>
              </w:rPr>
              <w:t>Note 9</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2" w14:textId="77777777" w:rsidR="008E7A10" w:rsidRDefault="00E047B2">
            <w:pPr>
              <w:textAlignment w:val="bottom"/>
            </w:pPr>
            <w:hyperlink r:id="rId66" w:anchor="i31a624617c6c41b38f8f700fa0df5bde_58" w:history="1">
              <w:r>
                <w:rPr>
                  <w:rStyle w:val="a5"/>
                  <w:rFonts w:ascii="sans-serif" w:eastAsia="sans-serif" w:hAnsi="sans-serif" w:cs="sans-serif"/>
                  <w:color w:val="000000"/>
                  <w:sz w:val="16"/>
                  <w:szCs w:val="16"/>
                  <w:u w:val="none"/>
                </w:rPr>
                <w:t>Risk Management and Derivatives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3" w14:textId="77777777" w:rsidR="008E7A10" w:rsidRDefault="00E047B2">
            <w:pPr>
              <w:textAlignment w:val="bottom"/>
            </w:pPr>
            <w:hyperlink r:id="rId67" w:anchor="i31a624617c6c41b38f8f700fa0df5bde_58" w:history="1">
              <w:r>
                <w:rPr>
                  <w:rStyle w:val="a5"/>
                  <w:rFonts w:ascii="sans-serif" w:eastAsia="sans-serif" w:hAnsi="sans-serif" w:cs="sans-serif"/>
                  <w:color w:val="000000"/>
                  <w:sz w:val="16"/>
                  <w:szCs w:val="16"/>
                  <w:u w:val="none"/>
                </w:rPr>
                <w:t>12</w:t>
              </w:r>
            </w:hyperlink>
          </w:p>
        </w:tc>
      </w:tr>
      <w:tr w:rsidR="008E7A10" w14:paraId="746F02C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5" w14:textId="77777777" w:rsidR="008E7A10" w:rsidRDefault="00E047B2">
            <w:pPr>
              <w:textAlignment w:val="bottom"/>
            </w:pPr>
            <w:r>
              <w:rPr>
                <w:rFonts w:ascii="sans-serif" w:eastAsia="sans-serif" w:hAnsi="sans-serif" w:cs="sans-serif"/>
                <w:b/>
                <w:bCs/>
                <w:color w:val="000000"/>
                <w:sz w:val="18"/>
                <w:szCs w:val="18"/>
              </w:rPr>
              <w:t>Note 10</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6" w14:textId="77777777" w:rsidR="008E7A10" w:rsidRDefault="00E047B2">
            <w:pPr>
              <w:textAlignment w:val="bottom"/>
            </w:pPr>
            <w:hyperlink r:id="rId68" w:anchor="i31a624617c6c41b38f8f700fa0df5bde_61" w:history="1">
              <w:r>
                <w:rPr>
                  <w:rStyle w:val="a5"/>
                  <w:rFonts w:ascii="sans-serif" w:eastAsia="sans-serif" w:hAnsi="sans-serif" w:cs="sans-serif"/>
                  <w:color w:val="000000"/>
                  <w:sz w:val="16"/>
                  <w:szCs w:val="16"/>
                  <w:u w:val="none"/>
                </w:rPr>
                <w:t xml:space="preserve">Accumulated </w:t>
              </w:r>
              <w:r>
                <w:rPr>
                  <w:rStyle w:val="a5"/>
                  <w:rFonts w:ascii="sans-serif" w:eastAsia="sans-serif" w:hAnsi="sans-serif" w:cs="sans-serif"/>
                  <w:color w:val="000000"/>
                  <w:sz w:val="16"/>
                  <w:szCs w:val="16"/>
                  <w:u w:val="none"/>
                </w:rPr>
                <w:t>Other Comprehensive Income (Loss)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7" w14:textId="77777777" w:rsidR="008E7A10" w:rsidRDefault="00E047B2">
            <w:pPr>
              <w:textAlignment w:val="bottom"/>
            </w:pPr>
            <w:hyperlink r:id="rId69" w:anchor="i31a624617c6c41b38f8f700fa0df5bde_61" w:history="1">
              <w:r>
                <w:rPr>
                  <w:rStyle w:val="a5"/>
                  <w:rFonts w:ascii="sans-serif" w:eastAsia="sans-serif" w:hAnsi="sans-serif" w:cs="sans-serif"/>
                  <w:color w:val="000000"/>
                  <w:sz w:val="16"/>
                  <w:szCs w:val="16"/>
                  <w:u w:val="none"/>
                </w:rPr>
                <w:t>17</w:t>
              </w:r>
            </w:hyperlink>
          </w:p>
        </w:tc>
      </w:tr>
      <w:tr w:rsidR="008E7A10" w14:paraId="746F02C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9" w14:textId="77777777" w:rsidR="008E7A10" w:rsidRDefault="00E047B2">
            <w:pPr>
              <w:textAlignment w:val="bottom"/>
            </w:pPr>
            <w:r>
              <w:rPr>
                <w:rFonts w:ascii="sans-serif" w:eastAsia="sans-serif" w:hAnsi="sans-serif" w:cs="sans-serif"/>
                <w:b/>
                <w:bCs/>
                <w:color w:val="000000"/>
                <w:sz w:val="18"/>
                <w:szCs w:val="18"/>
              </w:rPr>
              <w:t>Note 11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A" w14:textId="77777777" w:rsidR="008E7A10" w:rsidRDefault="00E047B2">
            <w:pPr>
              <w:textAlignment w:val="bottom"/>
            </w:pPr>
            <w:hyperlink r:id="rId70" w:anchor="i31a624617c6c41b38f8f700fa0df5bde_64" w:history="1">
              <w:r>
                <w:rPr>
                  <w:rStyle w:val="a5"/>
                  <w:rFonts w:ascii="sans-serif" w:eastAsia="sans-serif" w:hAnsi="sans-serif" w:cs="sans-serif"/>
                  <w:color w:val="000000"/>
                  <w:sz w:val="16"/>
                  <w:szCs w:val="16"/>
                  <w:u w:val="none"/>
                </w:rPr>
                <w:t>Revenues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B" w14:textId="77777777" w:rsidR="008E7A10" w:rsidRDefault="00E047B2">
            <w:pPr>
              <w:textAlignment w:val="bottom"/>
            </w:pPr>
            <w:hyperlink r:id="rId71" w:anchor="i31a624617c6c41b38f8f700fa0df5bde_64" w:history="1">
              <w:r>
                <w:rPr>
                  <w:rStyle w:val="a5"/>
                  <w:rFonts w:ascii="sans-serif" w:eastAsia="sans-serif" w:hAnsi="sans-serif" w:cs="sans-serif"/>
                  <w:color w:val="000000"/>
                  <w:sz w:val="16"/>
                  <w:szCs w:val="16"/>
                  <w:u w:val="none"/>
                </w:rPr>
                <w:t>19</w:t>
              </w:r>
            </w:hyperlink>
          </w:p>
        </w:tc>
      </w:tr>
      <w:tr w:rsidR="008E7A10" w14:paraId="746F02D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D" w14:textId="77777777" w:rsidR="008E7A10" w:rsidRDefault="00E047B2">
            <w:pPr>
              <w:textAlignment w:val="bottom"/>
            </w:pPr>
            <w:r>
              <w:rPr>
                <w:rFonts w:ascii="sans-serif" w:eastAsia="sans-serif" w:hAnsi="sans-serif" w:cs="sans-serif"/>
                <w:b/>
                <w:bCs/>
                <w:color w:val="000000"/>
                <w:sz w:val="18"/>
                <w:szCs w:val="18"/>
              </w:rPr>
              <w:t>Note 12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E" w14:textId="77777777" w:rsidR="008E7A10" w:rsidRDefault="00E047B2">
            <w:pPr>
              <w:textAlignment w:val="bottom"/>
            </w:pPr>
            <w:hyperlink r:id="rId72" w:anchor="i31a624617c6c41b38f8f700fa0df5bde_67" w:history="1">
              <w:r>
                <w:rPr>
                  <w:rStyle w:val="a5"/>
                  <w:rFonts w:ascii="sans-serif" w:eastAsia="sans-serif" w:hAnsi="sans-serif" w:cs="sans-serif"/>
                  <w:color w:val="000000"/>
                  <w:sz w:val="16"/>
                  <w:szCs w:val="16"/>
                  <w:u w:val="none"/>
                </w:rPr>
                <w:t>Operating Segments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CF" w14:textId="77777777" w:rsidR="008E7A10" w:rsidRDefault="00E047B2">
            <w:pPr>
              <w:textAlignment w:val="bottom"/>
            </w:pPr>
            <w:hyperlink r:id="rId73" w:anchor="i31a624617c6c41b38f8f700fa0df5bde_67" w:history="1">
              <w:r>
                <w:rPr>
                  <w:rStyle w:val="a5"/>
                  <w:rFonts w:ascii="sans-serif" w:eastAsia="sans-serif" w:hAnsi="sans-serif" w:cs="sans-serif"/>
                  <w:color w:val="000000"/>
                  <w:sz w:val="16"/>
                  <w:szCs w:val="16"/>
                  <w:u w:val="none"/>
                </w:rPr>
                <w:t>21</w:t>
              </w:r>
            </w:hyperlink>
          </w:p>
        </w:tc>
      </w:tr>
      <w:tr w:rsidR="008E7A10" w14:paraId="746F02D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D1" w14:textId="77777777" w:rsidR="008E7A10" w:rsidRDefault="00E047B2">
            <w:pPr>
              <w:textAlignment w:val="bottom"/>
            </w:pPr>
            <w:r>
              <w:rPr>
                <w:rFonts w:ascii="sans-serif" w:eastAsia="sans-serif" w:hAnsi="sans-serif" w:cs="sans-serif"/>
                <w:b/>
                <w:bCs/>
                <w:color w:val="000000"/>
                <w:sz w:val="18"/>
                <w:szCs w:val="18"/>
              </w:rPr>
              <w:t>Note 13</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D2" w14:textId="77777777" w:rsidR="008E7A10" w:rsidRDefault="00E047B2">
            <w:pPr>
              <w:textAlignment w:val="bottom"/>
            </w:pPr>
            <w:hyperlink r:id="rId74" w:anchor="i31a624617c6c41b38f8f700fa0df5bde_1303" w:history="1">
              <w:r>
                <w:rPr>
                  <w:rStyle w:val="a5"/>
                  <w:rFonts w:ascii="sans-serif" w:eastAsia="sans-serif" w:hAnsi="sans-serif" w:cs="sans-serif"/>
                  <w:color w:val="000000"/>
                  <w:sz w:val="16"/>
                  <w:szCs w:val="16"/>
                  <w:u w:val="none"/>
                </w:rPr>
                <w:t>Acquis</w:t>
              </w:r>
              <w:r>
                <w:rPr>
                  <w:rStyle w:val="a5"/>
                  <w:rFonts w:ascii="sans-serif" w:eastAsia="sans-serif" w:hAnsi="sans-serif" w:cs="sans-serif"/>
                  <w:color w:val="000000"/>
                  <w:sz w:val="16"/>
                  <w:szCs w:val="16"/>
                  <w:u w:val="none"/>
                </w:rPr>
                <w:t>itions and Divestitures</w:t>
              </w:r>
            </w:hyperlink>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2D3" w14:textId="77777777" w:rsidR="008E7A10" w:rsidRDefault="00E047B2">
            <w:pPr>
              <w:textAlignment w:val="bottom"/>
            </w:pPr>
            <w:hyperlink r:id="rId75" w:anchor="i31a624617c6c41b38f8f700fa0df5bde_1303" w:history="1">
              <w:r>
                <w:rPr>
                  <w:rStyle w:val="a5"/>
                  <w:rFonts w:ascii="sans-serif" w:eastAsia="sans-serif" w:hAnsi="sans-serif" w:cs="sans-serif"/>
                  <w:color w:val="000000"/>
                  <w:sz w:val="16"/>
                  <w:szCs w:val="16"/>
                  <w:u w:val="none"/>
                </w:rPr>
                <w:t>23</w:t>
              </w:r>
            </w:hyperlink>
          </w:p>
        </w:tc>
      </w:tr>
      <w:tr w:rsidR="008E7A10" w14:paraId="746F02D8"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F02D5" w14:textId="77777777" w:rsidR="008E7A10" w:rsidRDefault="00E047B2">
            <w:pPr>
              <w:textAlignment w:val="bottom"/>
            </w:pPr>
            <w:r>
              <w:rPr>
                <w:rFonts w:ascii="sans-serif" w:eastAsia="sans-serif" w:hAnsi="sans-serif" w:cs="sans-serif"/>
                <w:b/>
                <w:bCs/>
                <w:color w:val="000000"/>
                <w:sz w:val="18"/>
                <w:szCs w:val="18"/>
              </w:rPr>
              <w:t>Note 14</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F02D6" w14:textId="77777777" w:rsidR="008E7A10" w:rsidRDefault="00E047B2">
            <w:pPr>
              <w:textAlignment w:val="bottom"/>
            </w:pPr>
            <w:hyperlink r:id="rId76" w:anchor="i31a624617c6c41b38f8f700fa0df5bde_73" w:history="1">
              <w:r>
                <w:rPr>
                  <w:rStyle w:val="a5"/>
                  <w:rFonts w:ascii="sans-serif" w:eastAsia="sans-serif" w:hAnsi="sans-serif" w:cs="sans-serif"/>
                  <w:color w:val="000000"/>
                  <w:sz w:val="16"/>
                  <w:szCs w:val="16"/>
                  <w:u w:val="none"/>
                </w:rPr>
                <w:t>Restructuring</w:t>
              </w:r>
            </w:hyperlink>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F02D7" w14:textId="77777777" w:rsidR="008E7A10" w:rsidRDefault="00E047B2">
            <w:pPr>
              <w:textAlignment w:val="bottom"/>
            </w:pPr>
            <w:hyperlink r:id="rId77" w:anchor="i31a624617c6c41b38f8f700fa0df5bde_73" w:history="1">
              <w:r>
                <w:rPr>
                  <w:rStyle w:val="a5"/>
                  <w:rFonts w:ascii="sans-serif" w:eastAsia="sans-serif" w:hAnsi="sans-serif" w:cs="sans-serif"/>
                  <w:color w:val="000000"/>
                  <w:sz w:val="16"/>
                  <w:szCs w:val="16"/>
                  <w:u w:val="none"/>
                </w:rPr>
                <w:t>24</w:t>
              </w:r>
            </w:hyperlink>
          </w:p>
        </w:tc>
      </w:tr>
    </w:tbl>
    <w:p w14:paraId="746F02D9" w14:textId="77777777" w:rsidR="008E7A10" w:rsidRDefault="00E047B2">
      <w:pPr>
        <w:spacing w:before="120" w:after="120"/>
        <w:jc w:val="right"/>
      </w:pPr>
      <w:r>
        <w:rPr>
          <w:rFonts w:ascii="Arial" w:eastAsia="宋体" w:hAnsi="Arial" w:cs="Arial"/>
          <w:color w:val="E87722"/>
          <w:sz w:val="17"/>
          <w:szCs w:val="17"/>
        </w:rPr>
        <w:t>7</w:t>
      </w:r>
    </w:p>
    <w:p w14:paraId="746F02DA" w14:textId="77777777" w:rsidR="008E7A10" w:rsidRDefault="00E047B2">
      <w:r>
        <w:pict w14:anchorId="746F200F">
          <v:rect id="_x0000_i1033" style="width:415.3pt;height:1.5pt" o:hralign="center" o:hrstd="t" o:hr="t" fillcolor="#a0a0a0" stroked="f"/>
        </w:pict>
      </w:r>
    </w:p>
    <w:p w14:paraId="746F02DB" w14:textId="77777777" w:rsidR="008E7A10" w:rsidRDefault="008E7A10"/>
    <w:p w14:paraId="746F02DC" w14:textId="77777777" w:rsidR="008E7A10" w:rsidRDefault="00E047B2">
      <w:hyperlink r:id="rId78" w:anchor="i31a624617c6c41b38f8f700fa0df5bde_7" w:history="1">
        <w:r>
          <w:rPr>
            <w:rStyle w:val="a5"/>
            <w:rFonts w:ascii="sans-serif" w:eastAsia="sans-serif" w:hAnsi="sans-serif" w:cs="sans-serif"/>
            <w:sz w:val="17"/>
            <w:szCs w:val="17"/>
          </w:rPr>
          <w:t>Table of Contents</w:t>
        </w:r>
      </w:hyperlink>
    </w:p>
    <w:p w14:paraId="746F02DD" w14:textId="77777777" w:rsidR="008E7A10" w:rsidRDefault="008E7A10"/>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02E1" w14:textId="77777777">
        <w:tc>
          <w:tcPr>
            <w:tcW w:w="50" w:type="pct"/>
            <w:shd w:val="clear" w:color="auto" w:fill="auto"/>
          </w:tcPr>
          <w:p w14:paraId="746F02DE" w14:textId="77777777" w:rsidR="008E7A10" w:rsidRDefault="008E7A10">
            <w:pPr>
              <w:rPr>
                <w:rFonts w:ascii="宋体"/>
              </w:rPr>
            </w:pPr>
          </w:p>
        </w:tc>
        <w:tc>
          <w:tcPr>
            <w:tcW w:w="4945" w:type="pct"/>
            <w:shd w:val="clear" w:color="auto" w:fill="auto"/>
          </w:tcPr>
          <w:p w14:paraId="746F02DF" w14:textId="77777777" w:rsidR="008E7A10" w:rsidRDefault="008E7A10">
            <w:pPr>
              <w:rPr>
                <w:rFonts w:ascii="宋体"/>
              </w:rPr>
            </w:pPr>
          </w:p>
        </w:tc>
        <w:tc>
          <w:tcPr>
            <w:tcW w:w="5" w:type="pct"/>
            <w:shd w:val="clear" w:color="auto" w:fill="auto"/>
          </w:tcPr>
          <w:p w14:paraId="746F02E0" w14:textId="77777777" w:rsidR="008E7A10" w:rsidRDefault="008E7A10">
            <w:pPr>
              <w:rPr>
                <w:rFonts w:ascii="宋体"/>
              </w:rPr>
            </w:pPr>
          </w:p>
        </w:tc>
      </w:tr>
      <w:tr w:rsidR="008E7A10" w14:paraId="746F02E3" w14:textId="77777777">
        <w:tc>
          <w:tcPr>
            <w:tcW w:w="0" w:type="auto"/>
            <w:gridSpan w:val="3"/>
            <w:shd w:val="clear" w:color="auto" w:fill="auto"/>
            <w:tcMar>
              <w:top w:w="40" w:type="dxa"/>
              <w:left w:w="20" w:type="dxa"/>
              <w:bottom w:w="40" w:type="dxa"/>
              <w:right w:w="20" w:type="dxa"/>
            </w:tcMar>
            <w:vAlign w:val="bottom"/>
          </w:tcPr>
          <w:p w14:paraId="746F02E2" w14:textId="77777777" w:rsidR="008E7A10" w:rsidRDefault="00E047B2">
            <w:pPr>
              <w:textAlignment w:val="bottom"/>
            </w:pPr>
            <w:r>
              <w:rPr>
                <w:rFonts w:ascii="sans-serif" w:eastAsia="sans-serif" w:hAnsi="sans-serif" w:cs="sans-serif"/>
                <w:b/>
                <w:bCs/>
                <w:color w:val="E87722"/>
                <w:sz w:val="36"/>
                <w:szCs w:val="36"/>
              </w:rPr>
              <w:t>NOTE 1 — SUMMARY OF SIGNIFICANT ACCOUNTING POLICIES</w:t>
            </w:r>
          </w:p>
        </w:tc>
      </w:tr>
    </w:tbl>
    <w:p w14:paraId="746F02E4" w14:textId="77777777" w:rsidR="008E7A10" w:rsidRDefault="00E047B2">
      <w:pPr>
        <w:spacing w:before="240" w:after="120"/>
      </w:pPr>
      <w:r>
        <w:rPr>
          <w:rFonts w:ascii="sans-serif" w:eastAsia="sans-serif" w:hAnsi="sans-serif" w:cs="sans-serif"/>
          <w:b/>
          <w:bCs/>
          <w:color w:val="000000"/>
          <w:sz w:val="28"/>
          <w:szCs w:val="28"/>
        </w:rPr>
        <w:t>BASIS OF PRESENTATION</w:t>
      </w:r>
    </w:p>
    <w:p w14:paraId="746F02E5" w14:textId="77777777" w:rsidR="008E7A10" w:rsidRDefault="00E047B2">
      <w:pPr>
        <w:spacing w:before="120" w:after="120"/>
      </w:pPr>
      <w:r>
        <w:rPr>
          <w:rFonts w:ascii="Arial" w:eastAsia="宋体" w:hAnsi="Arial" w:cs="Arial"/>
          <w:color w:val="000000"/>
          <w:sz w:val="17"/>
          <w:szCs w:val="17"/>
        </w:rPr>
        <w:t xml:space="preserve">The </w:t>
      </w:r>
      <w:r>
        <w:rPr>
          <w:rFonts w:ascii="Arial" w:eastAsia="宋体" w:hAnsi="Arial" w:cs="Arial"/>
          <w:color w:val="000000"/>
          <w:sz w:val="17"/>
          <w:szCs w:val="17"/>
        </w:rPr>
        <w:t xml:space="preserve">Unaudited Condensed Consolidated Financial Statements include the accounts of NIKE, Inc. and its subsidiaries (the “Company” or “NIKE”) and reflect all normal recurring adjustments which are, in the opinion of management, necessary for a fair statement of </w:t>
      </w:r>
      <w:r>
        <w:rPr>
          <w:rFonts w:ascii="Arial" w:eastAsia="宋体" w:hAnsi="Arial" w:cs="Arial"/>
          <w:color w:val="000000"/>
          <w:sz w:val="17"/>
          <w:szCs w:val="17"/>
        </w:rPr>
        <w:t>the results of operations for the interim period. The year-end Condensed Consolidated Balance Sheet data as of May 31, 2020 was derived from audited financial statements, but does not include all disclosures required by accounting principles generally acce</w:t>
      </w:r>
      <w:r>
        <w:rPr>
          <w:rFonts w:ascii="Arial" w:eastAsia="宋体" w:hAnsi="Arial" w:cs="Arial"/>
          <w:color w:val="000000"/>
          <w:sz w:val="17"/>
          <w:szCs w:val="17"/>
        </w:rPr>
        <w:t>pted in the United States of America (“U.S. GAAP”). The interim financial information and notes thereto should be read in conjunction with the Company's latest Annual Report on Form 10-K. The results of operations for the three and six months ended Novembe</w:t>
      </w:r>
      <w:r>
        <w:rPr>
          <w:rFonts w:ascii="Arial" w:eastAsia="宋体" w:hAnsi="Arial" w:cs="Arial"/>
          <w:color w:val="000000"/>
          <w:sz w:val="17"/>
          <w:szCs w:val="17"/>
        </w:rPr>
        <w:t>r 30, 2020 are not necessarily indicative of results to be expected for the entire fiscal year.</w:t>
      </w:r>
    </w:p>
    <w:p w14:paraId="746F02E6" w14:textId="77777777" w:rsidR="008E7A10" w:rsidRDefault="00E047B2">
      <w:r>
        <w:rPr>
          <w:rFonts w:ascii="Arial" w:eastAsia="宋体" w:hAnsi="Arial" w:cs="Arial"/>
          <w:color w:val="212529"/>
          <w:sz w:val="17"/>
          <w:szCs w:val="17"/>
        </w:rPr>
        <w:t xml:space="preserve">As previously disclosed in the Annual Report on Form 10-K for the fiscal year ended </w:t>
      </w:r>
      <w:r>
        <w:rPr>
          <w:rFonts w:ascii="Arial" w:eastAsia="宋体" w:hAnsi="Arial" w:cs="Arial"/>
          <w:color w:val="000000"/>
          <w:sz w:val="17"/>
          <w:szCs w:val="17"/>
        </w:rPr>
        <w:t>May 31, 2020</w:t>
      </w:r>
      <w:r>
        <w:rPr>
          <w:rFonts w:ascii="Arial" w:eastAsia="宋体" w:hAnsi="Arial" w:cs="Arial"/>
          <w:color w:val="212529"/>
          <w:sz w:val="17"/>
          <w:szCs w:val="17"/>
        </w:rPr>
        <w:t>, the extent to which the evolving COVID-19 pandemic impacts the</w:t>
      </w:r>
      <w:r>
        <w:rPr>
          <w:rFonts w:ascii="Arial" w:eastAsia="宋体" w:hAnsi="Arial" w:cs="Arial"/>
          <w:color w:val="212529"/>
          <w:sz w:val="17"/>
          <w:szCs w:val="17"/>
        </w:rPr>
        <w:t xml:space="preserve"> Company's financial statements will depend on a number of factors, including the magnitude and duration of the pandemic. There remains risk that COVID-19 could have material adverse impacts on future revenue growth as well as overall profitability and may</w:t>
      </w:r>
      <w:r>
        <w:rPr>
          <w:rFonts w:ascii="Arial" w:eastAsia="宋体" w:hAnsi="Arial" w:cs="Arial"/>
          <w:color w:val="212529"/>
          <w:sz w:val="17"/>
          <w:szCs w:val="17"/>
        </w:rPr>
        <w:t xml:space="preserve"> lead to higher than normal inventory levels in various markets, revised payment terms with certain wholesale customers, higher sales-related reserves and a volatile effective tax rate driven by changes in the mix of earnings across the Company's jurisdict</w:t>
      </w:r>
      <w:r>
        <w:rPr>
          <w:rFonts w:ascii="Arial" w:eastAsia="宋体" w:hAnsi="Arial" w:cs="Arial"/>
          <w:color w:val="212529"/>
          <w:sz w:val="17"/>
          <w:szCs w:val="17"/>
        </w:rPr>
        <w:t>ions.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02EA" w14:textId="77777777">
        <w:tc>
          <w:tcPr>
            <w:tcW w:w="50" w:type="pct"/>
            <w:shd w:val="clear" w:color="auto" w:fill="auto"/>
          </w:tcPr>
          <w:p w14:paraId="746F02E7" w14:textId="77777777" w:rsidR="008E7A10" w:rsidRDefault="008E7A10">
            <w:pPr>
              <w:rPr>
                <w:rFonts w:ascii="宋体"/>
              </w:rPr>
            </w:pPr>
          </w:p>
        </w:tc>
        <w:tc>
          <w:tcPr>
            <w:tcW w:w="4945" w:type="pct"/>
            <w:shd w:val="clear" w:color="auto" w:fill="auto"/>
          </w:tcPr>
          <w:p w14:paraId="746F02E8" w14:textId="77777777" w:rsidR="008E7A10" w:rsidRDefault="008E7A10">
            <w:pPr>
              <w:rPr>
                <w:rFonts w:ascii="宋体"/>
              </w:rPr>
            </w:pPr>
          </w:p>
        </w:tc>
        <w:tc>
          <w:tcPr>
            <w:tcW w:w="5" w:type="pct"/>
            <w:shd w:val="clear" w:color="auto" w:fill="auto"/>
          </w:tcPr>
          <w:p w14:paraId="746F02E9" w14:textId="77777777" w:rsidR="008E7A10" w:rsidRDefault="008E7A10">
            <w:pPr>
              <w:rPr>
                <w:rFonts w:ascii="宋体"/>
              </w:rPr>
            </w:pPr>
          </w:p>
        </w:tc>
      </w:tr>
      <w:tr w:rsidR="008E7A10" w14:paraId="746F02EC" w14:textId="77777777">
        <w:tc>
          <w:tcPr>
            <w:tcW w:w="0" w:type="auto"/>
            <w:gridSpan w:val="3"/>
            <w:shd w:val="clear" w:color="auto" w:fill="auto"/>
            <w:tcMar>
              <w:top w:w="40" w:type="dxa"/>
              <w:left w:w="20" w:type="dxa"/>
              <w:bottom w:w="40" w:type="dxa"/>
              <w:right w:w="20" w:type="dxa"/>
            </w:tcMar>
            <w:vAlign w:val="bottom"/>
          </w:tcPr>
          <w:p w14:paraId="746F02EB" w14:textId="77777777" w:rsidR="008E7A10" w:rsidRDefault="00E047B2">
            <w:pPr>
              <w:textAlignment w:val="bottom"/>
            </w:pPr>
            <w:r>
              <w:rPr>
                <w:rFonts w:ascii="sans-serif" w:eastAsia="sans-serif" w:hAnsi="sans-serif" w:cs="sans-serif"/>
                <w:b/>
                <w:bCs/>
                <w:color w:val="E87722"/>
                <w:sz w:val="36"/>
                <w:szCs w:val="36"/>
              </w:rPr>
              <w:t>NOTE 2 — INVENTORIES</w:t>
            </w:r>
          </w:p>
        </w:tc>
      </w:tr>
    </w:tbl>
    <w:p w14:paraId="746F02ED" w14:textId="77777777" w:rsidR="008E7A10" w:rsidRDefault="00E047B2">
      <w:pPr>
        <w:spacing w:before="120" w:after="120"/>
      </w:pPr>
      <w:r>
        <w:rPr>
          <w:rFonts w:ascii="Arial" w:eastAsia="宋体" w:hAnsi="Arial" w:cs="Arial"/>
          <w:color w:val="000000"/>
          <w:sz w:val="17"/>
          <w:szCs w:val="17"/>
        </w:rPr>
        <w:t>Inventory balances of $6,090 million and $7,367 million at November 30, 2020 and May 31, 2020, respectively, were substantially all finished goods.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02F1" w14:textId="77777777">
        <w:tc>
          <w:tcPr>
            <w:tcW w:w="50" w:type="pct"/>
            <w:shd w:val="clear" w:color="auto" w:fill="auto"/>
          </w:tcPr>
          <w:p w14:paraId="746F02EE" w14:textId="77777777" w:rsidR="008E7A10" w:rsidRDefault="008E7A10">
            <w:pPr>
              <w:rPr>
                <w:rFonts w:ascii="宋体"/>
              </w:rPr>
            </w:pPr>
          </w:p>
        </w:tc>
        <w:tc>
          <w:tcPr>
            <w:tcW w:w="4945" w:type="pct"/>
            <w:shd w:val="clear" w:color="auto" w:fill="auto"/>
          </w:tcPr>
          <w:p w14:paraId="746F02EF" w14:textId="77777777" w:rsidR="008E7A10" w:rsidRDefault="008E7A10">
            <w:pPr>
              <w:rPr>
                <w:rFonts w:ascii="宋体"/>
              </w:rPr>
            </w:pPr>
          </w:p>
        </w:tc>
        <w:tc>
          <w:tcPr>
            <w:tcW w:w="5" w:type="pct"/>
            <w:shd w:val="clear" w:color="auto" w:fill="auto"/>
          </w:tcPr>
          <w:p w14:paraId="746F02F0" w14:textId="77777777" w:rsidR="008E7A10" w:rsidRDefault="008E7A10">
            <w:pPr>
              <w:rPr>
                <w:rFonts w:ascii="宋体"/>
              </w:rPr>
            </w:pPr>
          </w:p>
        </w:tc>
      </w:tr>
      <w:tr w:rsidR="008E7A10" w14:paraId="746F02F3" w14:textId="77777777">
        <w:tc>
          <w:tcPr>
            <w:tcW w:w="0" w:type="auto"/>
            <w:gridSpan w:val="3"/>
            <w:shd w:val="clear" w:color="auto" w:fill="auto"/>
            <w:tcMar>
              <w:top w:w="40" w:type="dxa"/>
              <w:left w:w="20" w:type="dxa"/>
              <w:bottom w:w="40" w:type="dxa"/>
              <w:right w:w="20" w:type="dxa"/>
            </w:tcMar>
            <w:vAlign w:val="bottom"/>
          </w:tcPr>
          <w:p w14:paraId="746F02F2" w14:textId="77777777" w:rsidR="008E7A10" w:rsidRDefault="00E047B2">
            <w:pPr>
              <w:textAlignment w:val="bottom"/>
            </w:pPr>
            <w:r>
              <w:rPr>
                <w:rFonts w:ascii="sans-serif" w:eastAsia="sans-serif" w:hAnsi="sans-serif" w:cs="sans-serif"/>
                <w:b/>
                <w:bCs/>
                <w:color w:val="E87722"/>
                <w:sz w:val="36"/>
                <w:szCs w:val="36"/>
              </w:rPr>
              <w:t>NOTE 3 — ACCRUED LIABILITIES</w:t>
            </w:r>
          </w:p>
        </w:tc>
      </w:tr>
    </w:tbl>
    <w:p w14:paraId="746F02F4" w14:textId="77777777" w:rsidR="008E7A10" w:rsidRDefault="00E047B2">
      <w:r>
        <w:rPr>
          <w:rFonts w:ascii="Arial" w:eastAsia="宋体" w:hAnsi="Arial" w:cs="Arial"/>
          <w:color w:val="000000"/>
          <w:sz w:val="17"/>
          <w:szCs w:val="17"/>
        </w:rPr>
        <w:t xml:space="preserve">Accrued liabilities included the </w:t>
      </w:r>
      <w:r>
        <w:rPr>
          <w:rFonts w:ascii="Arial" w:eastAsia="宋体" w:hAnsi="Arial" w:cs="Arial"/>
          <w:color w:val="000000"/>
          <w:sz w:val="17"/>
          <w:szCs w:val="17"/>
        </w:rPr>
        <w:t>following:</w:t>
      </w:r>
    </w:p>
    <w:tbl>
      <w:tblPr>
        <w:tblW w:w="5000" w:type="pct"/>
        <w:tblCellMar>
          <w:top w:w="15" w:type="dxa"/>
          <w:left w:w="15" w:type="dxa"/>
          <w:bottom w:w="15" w:type="dxa"/>
          <w:right w:w="15" w:type="dxa"/>
        </w:tblCellMar>
        <w:tblLook w:val="04A0" w:firstRow="1" w:lastRow="0" w:firstColumn="1" w:lastColumn="0" w:noHBand="0" w:noVBand="1"/>
      </w:tblPr>
      <w:tblGrid>
        <w:gridCol w:w="42"/>
        <w:gridCol w:w="4925"/>
        <w:gridCol w:w="37"/>
        <w:gridCol w:w="116"/>
        <w:gridCol w:w="1475"/>
        <w:gridCol w:w="36"/>
        <w:gridCol w:w="36"/>
        <w:gridCol w:w="36"/>
        <w:gridCol w:w="36"/>
        <w:gridCol w:w="115"/>
        <w:gridCol w:w="1446"/>
        <w:gridCol w:w="36"/>
      </w:tblGrid>
      <w:tr w:rsidR="008E7A10" w14:paraId="746F0301" w14:textId="77777777">
        <w:tc>
          <w:tcPr>
            <w:tcW w:w="50" w:type="pct"/>
            <w:shd w:val="clear" w:color="auto" w:fill="auto"/>
          </w:tcPr>
          <w:p w14:paraId="746F02F5" w14:textId="77777777" w:rsidR="008E7A10" w:rsidRDefault="008E7A10">
            <w:pPr>
              <w:rPr>
                <w:rFonts w:ascii="宋体"/>
              </w:rPr>
            </w:pPr>
          </w:p>
        </w:tc>
        <w:tc>
          <w:tcPr>
            <w:tcW w:w="2977" w:type="pct"/>
            <w:shd w:val="clear" w:color="auto" w:fill="auto"/>
          </w:tcPr>
          <w:p w14:paraId="746F02F6" w14:textId="77777777" w:rsidR="008E7A10" w:rsidRDefault="008E7A10">
            <w:pPr>
              <w:rPr>
                <w:rFonts w:ascii="宋体"/>
              </w:rPr>
            </w:pPr>
          </w:p>
        </w:tc>
        <w:tc>
          <w:tcPr>
            <w:tcW w:w="5" w:type="pct"/>
            <w:shd w:val="clear" w:color="auto" w:fill="auto"/>
          </w:tcPr>
          <w:p w14:paraId="746F02F7" w14:textId="77777777" w:rsidR="008E7A10" w:rsidRDefault="008E7A10">
            <w:pPr>
              <w:rPr>
                <w:rFonts w:ascii="宋体"/>
              </w:rPr>
            </w:pPr>
          </w:p>
        </w:tc>
        <w:tc>
          <w:tcPr>
            <w:tcW w:w="50" w:type="pct"/>
            <w:shd w:val="clear" w:color="auto" w:fill="auto"/>
          </w:tcPr>
          <w:p w14:paraId="746F02F8" w14:textId="77777777" w:rsidR="008E7A10" w:rsidRDefault="008E7A10">
            <w:pPr>
              <w:rPr>
                <w:rFonts w:ascii="宋体"/>
              </w:rPr>
            </w:pPr>
          </w:p>
        </w:tc>
        <w:tc>
          <w:tcPr>
            <w:tcW w:w="909" w:type="pct"/>
            <w:shd w:val="clear" w:color="auto" w:fill="auto"/>
          </w:tcPr>
          <w:p w14:paraId="746F02F9" w14:textId="77777777" w:rsidR="008E7A10" w:rsidRDefault="008E7A10">
            <w:pPr>
              <w:rPr>
                <w:rFonts w:ascii="宋体"/>
              </w:rPr>
            </w:pPr>
          </w:p>
        </w:tc>
        <w:tc>
          <w:tcPr>
            <w:tcW w:w="5" w:type="pct"/>
            <w:shd w:val="clear" w:color="auto" w:fill="auto"/>
          </w:tcPr>
          <w:p w14:paraId="746F02FA" w14:textId="77777777" w:rsidR="008E7A10" w:rsidRDefault="008E7A10">
            <w:pPr>
              <w:rPr>
                <w:rFonts w:ascii="宋体"/>
              </w:rPr>
            </w:pPr>
          </w:p>
        </w:tc>
        <w:tc>
          <w:tcPr>
            <w:tcW w:w="5" w:type="pct"/>
            <w:shd w:val="clear" w:color="auto" w:fill="auto"/>
          </w:tcPr>
          <w:p w14:paraId="746F02FB" w14:textId="77777777" w:rsidR="008E7A10" w:rsidRDefault="008E7A10">
            <w:pPr>
              <w:rPr>
                <w:rFonts w:ascii="宋体"/>
              </w:rPr>
            </w:pPr>
          </w:p>
        </w:tc>
        <w:tc>
          <w:tcPr>
            <w:tcW w:w="28" w:type="pct"/>
            <w:shd w:val="clear" w:color="auto" w:fill="auto"/>
          </w:tcPr>
          <w:p w14:paraId="746F02FC" w14:textId="77777777" w:rsidR="008E7A10" w:rsidRDefault="008E7A10">
            <w:pPr>
              <w:rPr>
                <w:rFonts w:ascii="宋体"/>
              </w:rPr>
            </w:pPr>
          </w:p>
        </w:tc>
        <w:tc>
          <w:tcPr>
            <w:tcW w:w="5" w:type="pct"/>
            <w:shd w:val="clear" w:color="auto" w:fill="auto"/>
          </w:tcPr>
          <w:p w14:paraId="746F02FD" w14:textId="77777777" w:rsidR="008E7A10" w:rsidRDefault="008E7A10">
            <w:pPr>
              <w:rPr>
                <w:rFonts w:ascii="宋体"/>
              </w:rPr>
            </w:pPr>
          </w:p>
        </w:tc>
        <w:tc>
          <w:tcPr>
            <w:tcW w:w="50" w:type="pct"/>
            <w:shd w:val="clear" w:color="auto" w:fill="auto"/>
          </w:tcPr>
          <w:p w14:paraId="746F02FE" w14:textId="77777777" w:rsidR="008E7A10" w:rsidRDefault="008E7A10">
            <w:pPr>
              <w:rPr>
                <w:rFonts w:ascii="宋体"/>
              </w:rPr>
            </w:pPr>
          </w:p>
        </w:tc>
        <w:tc>
          <w:tcPr>
            <w:tcW w:w="909" w:type="pct"/>
            <w:shd w:val="clear" w:color="auto" w:fill="auto"/>
          </w:tcPr>
          <w:p w14:paraId="746F02FF" w14:textId="77777777" w:rsidR="008E7A10" w:rsidRDefault="008E7A10">
            <w:pPr>
              <w:rPr>
                <w:rFonts w:ascii="宋体"/>
              </w:rPr>
            </w:pPr>
          </w:p>
        </w:tc>
        <w:tc>
          <w:tcPr>
            <w:tcW w:w="5" w:type="pct"/>
            <w:shd w:val="clear" w:color="auto" w:fill="auto"/>
          </w:tcPr>
          <w:p w14:paraId="746F0300" w14:textId="77777777" w:rsidR="008E7A10" w:rsidRDefault="008E7A10">
            <w:pPr>
              <w:rPr>
                <w:rFonts w:ascii="宋体"/>
              </w:rPr>
            </w:pPr>
          </w:p>
        </w:tc>
      </w:tr>
      <w:tr w:rsidR="008E7A10" w14:paraId="746F0306" w14:textId="77777777">
        <w:tc>
          <w:tcPr>
            <w:tcW w:w="0" w:type="auto"/>
            <w:gridSpan w:val="3"/>
            <w:shd w:val="clear" w:color="auto" w:fill="auto"/>
            <w:tcMar>
              <w:top w:w="0" w:type="dxa"/>
              <w:left w:w="20" w:type="dxa"/>
              <w:bottom w:w="0" w:type="dxa"/>
              <w:right w:w="20" w:type="dxa"/>
            </w:tcMar>
          </w:tcPr>
          <w:p w14:paraId="746F0302" w14:textId="77777777" w:rsidR="008E7A10" w:rsidRDefault="008E7A10">
            <w:pPr>
              <w:rPr>
                <w:rFonts w:ascii="宋体"/>
              </w:rPr>
            </w:pPr>
          </w:p>
        </w:tc>
        <w:tc>
          <w:tcPr>
            <w:tcW w:w="0" w:type="auto"/>
            <w:gridSpan w:val="3"/>
            <w:shd w:val="clear" w:color="auto" w:fill="auto"/>
            <w:tcMar>
              <w:top w:w="40" w:type="dxa"/>
              <w:left w:w="20" w:type="dxa"/>
              <w:bottom w:w="40" w:type="dxa"/>
              <w:right w:w="20" w:type="dxa"/>
            </w:tcMar>
            <w:vAlign w:val="bottom"/>
          </w:tcPr>
          <w:p w14:paraId="746F0303" w14:textId="77777777" w:rsidR="008E7A10" w:rsidRDefault="00E047B2">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tcPr>
          <w:p w14:paraId="746F0304" w14:textId="77777777" w:rsidR="008E7A10" w:rsidRDefault="008E7A10">
            <w:pPr>
              <w:rPr>
                <w:rFonts w:ascii="宋体"/>
              </w:rPr>
            </w:pPr>
          </w:p>
        </w:tc>
        <w:tc>
          <w:tcPr>
            <w:tcW w:w="0" w:type="auto"/>
            <w:gridSpan w:val="3"/>
            <w:shd w:val="clear" w:color="auto" w:fill="auto"/>
            <w:tcMar>
              <w:top w:w="40" w:type="dxa"/>
              <w:left w:w="20" w:type="dxa"/>
              <w:bottom w:w="40" w:type="dxa"/>
              <w:right w:w="20" w:type="dxa"/>
            </w:tcMar>
            <w:vAlign w:val="bottom"/>
          </w:tcPr>
          <w:p w14:paraId="746F0305" w14:textId="77777777" w:rsidR="008E7A10" w:rsidRDefault="00E047B2">
            <w:pPr>
              <w:jc w:val="center"/>
              <w:textAlignment w:val="bottom"/>
            </w:pPr>
            <w:r>
              <w:rPr>
                <w:rFonts w:ascii="sans-serif" w:eastAsia="sans-serif" w:hAnsi="sans-serif" w:cs="sans-serif"/>
                <w:b/>
                <w:bCs/>
                <w:color w:val="000000"/>
                <w:sz w:val="17"/>
                <w:szCs w:val="17"/>
              </w:rPr>
              <w:t>MAY 31,</w:t>
            </w:r>
          </w:p>
        </w:tc>
      </w:tr>
      <w:tr w:rsidR="008E7A10" w14:paraId="746F030B" w14:textId="77777777">
        <w:tc>
          <w:tcPr>
            <w:tcW w:w="0" w:type="auto"/>
            <w:gridSpan w:val="3"/>
            <w:shd w:val="clear" w:color="auto" w:fill="auto"/>
            <w:tcMar>
              <w:top w:w="40" w:type="dxa"/>
              <w:left w:w="20" w:type="dxa"/>
              <w:bottom w:w="40" w:type="dxa"/>
              <w:right w:w="20" w:type="dxa"/>
            </w:tcMar>
            <w:vAlign w:val="bottom"/>
          </w:tcPr>
          <w:p w14:paraId="746F0307"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08"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tcPr>
          <w:p w14:paraId="746F0309"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0A" w14:textId="77777777" w:rsidR="008E7A10" w:rsidRDefault="00E047B2">
            <w:pPr>
              <w:jc w:val="center"/>
              <w:textAlignment w:val="bottom"/>
            </w:pPr>
            <w:r>
              <w:rPr>
                <w:rFonts w:ascii="sans-serif" w:eastAsia="sans-serif" w:hAnsi="sans-serif" w:cs="sans-serif"/>
                <w:b/>
                <w:bCs/>
                <w:color w:val="000000"/>
                <w:sz w:val="17"/>
                <w:szCs w:val="17"/>
              </w:rPr>
              <w:t>2020</w:t>
            </w:r>
          </w:p>
        </w:tc>
      </w:tr>
      <w:tr w:rsidR="008E7A10" w14:paraId="746F031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0C" w14:textId="77777777" w:rsidR="008E7A10" w:rsidRDefault="00E047B2">
            <w:pPr>
              <w:textAlignment w:val="bottom"/>
            </w:pPr>
            <w:r>
              <w:rPr>
                <w:rFonts w:ascii="Arial" w:eastAsia="宋体" w:hAnsi="Arial" w:cs="Arial"/>
                <w:color w:val="000000"/>
                <w:sz w:val="17"/>
                <w:szCs w:val="17"/>
              </w:rPr>
              <w:t>Compensation and benefits, excluding taxes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030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30E" w14:textId="77777777" w:rsidR="008E7A10" w:rsidRDefault="00E047B2">
            <w:pPr>
              <w:jc w:val="right"/>
              <w:textAlignment w:val="bottom"/>
            </w:pPr>
            <w:r>
              <w:rPr>
                <w:rFonts w:ascii="Arial" w:eastAsia="宋体" w:hAnsi="Arial" w:cs="Arial"/>
                <w:color w:val="000000"/>
                <w:sz w:val="17"/>
                <w:szCs w:val="17"/>
              </w:rPr>
              <w:t>1,157 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30F"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310" w14:textId="77777777" w:rsidR="008E7A10" w:rsidRDefault="008E7A10">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31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312" w14:textId="77777777" w:rsidR="008E7A10" w:rsidRDefault="00E047B2">
            <w:pPr>
              <w:jc w:val="right"/>
              <w:textAlignment w:val="bottom"/>
            </w:pPr>
            <w:r>
              <w:rPr>
                <w:rFonts w:ascii="Arial" w:eastAsia="宋体" w:hAnsi="Arial" w:cs="Arial"/>
                <w:color w:val="000000"/>
                <w:sz w:val="17"/>
                <w:szCs w:val="17"/>
              </w:rPr>
              <w:t>1,248 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313" w14:textId="77777777" w:rsidR="008E7A10" w:rsidRDefault="008E7A10">
            <w:pPr>
              <w:jc w:val="right"/>
              <w:rPr>
                <w:rFonts w:ascii="宋体"/>
              </w:rPr>
            </w:pPr>
          </w:p>
        </w:tc>
      </w:tr>
      <w:tr w:rsidR="008E7A10" w14:paraId="746F031B"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315" w14:textId="77777777" w:rsidR="008E7A10" w:rsidRDefault="00E047B2">
            <w:pPr>
              <w:textAlignment w:val="bottom"/>
            </w:pPr>
            <w:r>
              <w:rPr>
                <w:rFonts w:ascii="Arial" w:eastAsia="宋体" w:hAnsi="Arial" w:cs="Arial"/>
                <w:color w:val="000000"/>
                <w:sz w:val="17"/>
                <w:szCs w:val="17"/>
              </w:rPr>
              <w:t>Sales-related reserves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16" w14:textId="77777777" w:rsidR="008E7A10" w:rsidRDefault="00E047B2">
            <w:pPr>
              <w:jc w:val="right"/>
              <w:textAlignment w:val="bottom"/>
            </w:pPr>
            <w:r>
              <w:rPr>
                <w:rFonts w:ascii="Arial" w:eastAsia="宋体" w:hAnsi="Arial" w:cs="Arial"/>
                <w:color w:val="000000"/>
                <w:sz w:val="17"/>
                <w:szCs w:val="17"/>
              </w:rPr>
              <w:t>1,126 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17"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318"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19" w14:textId="77777777" w:rsidR="008E7A10" w:rsidRDefault="00E047B2">
            <w:pPr>
              <w:jc w:val="right"/>
              <w:textAlignment w:val="bottom"/>
            </w:pPr>
            <w:r>
              <w:rPr>
                <w:rFonts w:ascii="Arial" w:eastAsia="宋体" w:hAnsi="Arial" w:cs="Arial"/>
                <w:color w:val="000000"/>
                <w:sz w:val="17"/>
                <w:szCs w:val="17"/>
              </w:rPr>
              <w:t>1,178 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1A" w14:textId="77777777" w:rsidR="008E7A10" w:rsidRDefault="008E7A10">
            <w:pPr>
              <w:jc w:val="right"/>
              <w:rPr>
                <w:rFonts w:ascii="宋体"/>
              </w:rPr>
            </w:pPr>
          </w:p>
        </w:tc>
      </w:tr>
      <w:tr w:rsidR="008E7A10" w14:paraId="746F032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31C" w14:textId="77777777" w:rsidR="008E7A10" w:rsidRDefault="00E047B2">
            <w:pPr>
              <w:textAlignment w:val="bottom"/>
            </w:pPr>
            <w:r>
              <w:rPr>
                <w:rFonts w:ascii="Arial" w:eastAsia="宋体" w:hAnsi="Arial" w:cs="Arial"/>
                <w:color w:val="000000"/>
                <w:sz w:val="17"/>
                <w:szCs w:val="17"/>
              </w:rPr>
              <w:t>Fair value of derivatives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1D" w14:textId="77777777" w:rsidR="008E7A10" w:rsidRDefault="00E047B2">
            <w:pPr>
              <w:jc w:val="right"/>
              <w:textAlignment w:val="bottom"/>
            </w:pPr>
            <w:r>
              <w:rPr>
                <w:rFonts w:ascii="Arial" w:eastAsia="宋体" w:hAnsi="Arial" w:cs="Arial"/>
                <w:color w:val="000000"/>
                <w:sz w:val="17"/>
                <w:szCs w:val="17"/>
              </w:rPr>
              <w:t>485 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1E"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31F"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20" w14:textId="77777777" w:rsidR="008E7A10" w:rsidRDefault="00E047B2">
            <w:pPr>
              <w:jc w:val="right"/>
              <w:textAlignment w:val="bottom"/>
            </w:pPr>
            <w:r>
              <w:rPr>
                <w:rFonts w:ascii="Arial" w:eastAsia="宋体" w:hAnsi="Arial" w:cs="Arial"/>
                <w:color w:val="000000"/>
                <w:sz w:val="17"/>
                <w:szCs w:val="17"/>
              </w:rPr>
              <w:t>190 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21" w14:textId="77777777" w:rsidR="008E7A10" w:rsidRDefault="008E7A10">
            <w:pPr>
              <w:jc w:val="right"/>
              <w:rPr>
                <w:rFonts w:ascii="宋体"/>
              </w:rPr>
            </w:pPr>
          </w:p>
        </w:tc>
      </w:tr>
      <w:tr w:rsidR="008E7A10" w14:paraId="746F032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323" w14:textId="77777777" w:rsidR="008E7A10" w:rsidRDefault="00E047B2">
            <w:pPr>
              <w:textAlignment w:val="bottom"/>
            </w:pPr>
            <w:r>
              <w:rPr>
                <w:rFonts w:ascii="Arial" w:eastAsia="宋体" w:hAnsi="Arial" w:cs="Arial"/>
                <w:color w:val="000000"/>
                <w:sz w:val="17"/>
                <w:szCs w:val="17"/>
              </w:rPr>
              <w:t xml:space="preserve">Allowance for </w:t>
            </w:r>
            <w:r>
              <w:rPr>
                <w:rFonts w:ascii="Arial" w:eastAsia="宋体" w:hAnsi="Arial" w:cs="Arial"/>
                <w:color w:val="000000"/>
                <w:sz w:val="17"/>
                <w:szCs w:val="17"/>
              </w:rPr>
              <w:t>expected loss on sale</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24" w14:textId="77777777" w:rsidR="008E7A10" w:rsidRDefault="00E047B2">
            <w:pPr>
              <w:jc w:val="right"/>
              <w:textAlignment w:val="bottom"/>
            </w:pPr>
            <w:r>
              <w:rPr>
                <w:rFonts w:ascii="Arial" w:eastAsia="宋体" w:hAnsi="Arial" w:cs="Arial"/>
                <w:color w:val="000000"/>
                <w:sz w:val="17"/>
                <w:szCs w:val="17"/>
              </w:rPr>
              <w:t>438 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2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326"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27" w14:textId="77777777" w:rsidR="008E7A10" w:rsidRDefault="00E047B2">
            <w:pPr>
              <w:jc w:val="right"/>
              <w:textAlignment w:val="bottom"/>
            </w:pPr>
            <w:r>
              <w:rPr>
                <w:rFonts w:ascii="Arial" w:eastAsia="宋体" w:hAnsi="Arial" w:cs="Arial"/>
                <w:color w:val="000000"/>
                <w:sz w:val="17"/>
                <w:szCs w:val="17"/>
              </w:rPr>
              <w:t>405 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28" w14:textId="77777777" w:rsidR="008E7A10" w:rsidRDefault="008E7A10">
            <w:pPr>
              <w:jc w:val="right"/>
              <w:rPr>
                <w:rFonts w:ascii="宋体"/>
              </w:rPr>
            </w:pPr>
          </w:p>
        </w:tc>
      </w:tr>
      <w:tr w:rsidR="008E7A10" w14:paraId="746F033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32A" w14:textId="77777777" w:rsidR="008E7A10" w:rsidRDefault="00E047B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2B" w14:textId="77777777" w:rsidR="008E7A10" w:rsidRDefault="00E047B2">
            <w:pPr>
              <w:jc w:val="right"/>
              <w:textAlignment w:val="bottom"/>
            </w:pPr>
            <w:r>
              <w:rPr>
                <w:rFonts w:ascii="Arial" w:eastAsia="宋体" w:hAnsi="Arial" w:cs="Arial"/>
                <w:color w:val="000000"/>
                <w:sz w:val="17"/>
                <w:szCs w:val="17"/>
              </w:rPr>
              <w:t>2,824 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2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32D"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2E" w14:textId="77777777" w:rsidR="008E7A10" w:rsidRDefault="00E047B2">
            <w:pPr>
              <w:jc w:val="right"/>
              <w:textAlignment w:val="bottom"/>
            </w:pPr>
            <w:r>
              <w:rPr>
                <w:rFonts w:ascii="Arial" w:eastAsia="宋体" w:hAnsi="Arial" w:cs="Arial"/>
                <w:color w:val="000000"/>
                <w:sz w:val="17"/>
                <w:szCs w:val="17"/>
              </w:rPr>
              <w:t>2,163 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2F" w14:textId="77777777" w:rsidR="008E7A10" w:rsidRDefault="008E7A10">
            <w:pPr>
              <w:jc w:val="right"/>
              <w:rPr>
                <w:rFonts w:ascii="宋体"/>
              </w:rPr>
            </w:pPr>
          </w:p>
        </w:tc>
      </w:tr>
      <w:tr w:rsidR="008E7A10" w14:paraId="746F033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331" w14:textId="77777777" w:rsidR="008E7A10" w:rsidRDefault="00E047B2">
            <w:pPr>
              <w:textAlignment w:val="bottom"/>
            </w:pPr>
            <w:r>
              <w:rPr>
                <w:rFonts w:ascii="Arial" w:eastAsia="宋体" w:hAnsi="Arial" w:cs="Arial"/>
                <w:b/>
                <w:bCs/>
                <w:color w:val="000000"/>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33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333" w14:textId="77777777" w:rsidR="008E7A10" w:rsidRDefault="00E047B2">
            <w:pPr>
              <w:jc w:val="right"/>
              <w:textAlignment w:val="bottom"/>
            </w:pPr>
            <w:r>
              <w:rPr>
                <w:rFonts w:ascii="Arial" w:eastAsia="宋体" w:hAnsi="Arial" w:cs="Arial"/>
                <w:b/>
                <w:bCs/>
                <w:color w:val="000000"/>
                <w:sz w:val="17"/>
                <w:szCs w:val="17"/>
              </w:rPr>
              <w:t>6,030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334"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335" w14:textId="77777777" w:rsidR="008E7A10" w:rsidRDefault="008E7A10">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33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337" w14:textId="77777777" w:rsidR="008E7A10" w:rsidRDefault="00E047B2">
            <w:pPr>
              <w:jc w:val="right"/>
              <w:textAlignment w:val="bottom"/>
            </w:pPr>
            <w:r>
              <w:rPr>
                <w:rFonts w:ascii="Arial" w:eastAsia="宋体" w:hAnsi="Arial" w:cs="Arial"/>
                <w:b/>
                <w:bCs/>
                <w:color w:val="000000"/>
                <w:sz w:val="17"/>
                <w:szCs w:val="17"/>
              </w:rPr>
              <w:t>5,184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338" w14:textId="77777777" w:rsidR="008E7A10" w:rsidRDefault="008E7A10">
            <w:pPr>
              <w:jc w:val="right"/>
              <w:rPr>
                <w:rFonts w:ascii="宋体"/>
              </w:rPr>
            </w:pPr>
          </w:p>
        </w:tc>
      </w:tr>
    </w:tbl>
    <w:p w14:paraId="746F033A" w14:textId="77777777" w:rsidR="008E7A10" w:rsidRDefault="00E047B2">
      <w:pPr>
        <w:spacing w:before="60" w:after="60"/>
        <w:ind w:hanging="360"/>
      </w:pPr>
      <w:r>
        <w:rPr>
          <w:rFonts w:ascii="Arial" w:eastAsia="宋体" w:hAnsi="Arial" w:cs="Arial"/>
          <w:i/>
          <w:iCs/>
          <w:color w:val="000000"/>
          <w:sz w:val="14"/>
          <w:szCs w:val="14"/>
        </w:rPr>
        <w:t>(1)Refer to Note 13 — Acquisitions and Divestitures for 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033E" w14:textId="77777777">
        <w:tc>
          <w:tcPr>
            <w:tcW w:w="50" w:type="pct"/>
            <w:shd w:val="clear" w:color="auto" w:fill="auto"/>
          </w:tcPr>
          <w:p w14:paraId="746F033B" w14:textId="77777777" w:rsidR="008E7A10" w:rsidRDefault="008E7A10">
            <w:pPr>
              <w:rPr>
                <w:rFonts w:ascii="宋体"/>
              </w:rPr>
            </w:pPr>
          </w:p>
        </w:tc>
        <w:tc>
          <w:tcPr>
            <w:tcW w:w="4945" w:type="pct"/>
            <w:shd w:val="clear" w:color="auto" w:fill="auto"/>
          </w:tcPr>
          <w:p w14:paraId="746F033C" w14:textId="77777777" w:rsidR="008E7A10" w:rsidRDefault="008E7A10">
            <w:pPr>
              <w:rPr>
                <w:rFonts w:ascii="宋体"/>
              </w:rPr>
            </w:pPr>
          </w:p>
        </w:tc>
        <w:tc>
          <w:tcPr>
            <w:tcW w:w="5" w:type="pct"/>
            <w:shd w:val="clear" w:color="auto" w:fill="auto"/>
          </w:tcPr>
          <w:p w14:paraId="746F033D" w14:textId="77777777" w:rsidR="008E7A10" w:rsidRDefault="008E7A10">
            <w:pPr>
              <w:rPr>
                <w:rFonts w:ascii="宋体"/>
              </w:rPr>
            </w:pPr>
          </w:p>
        </w:tc>
      </w:tr>
      <w:tr w:rsidR="008E7A10" w14:paraId="746F0340" w14:textId="77777777">
        <w:tc>
          <w:tcPr>
            <w:tcW w:w="0" w:type="auto"/>
            <w:gridSpan w:val="3"/>
            <w:shd w:val="clear" w:color="auto" w:fill="auto"/>
            <w:tcMar>
              <w:top w:w="40" w:type="dxa"/>
              <w:left w:w="20" w:type="dxa"/>
              <w:bottom w:w="40" w:type="dxa"/>
              <w:right w:w="20" w:type="dxa"/>
            </w:tcMar>
            <w:vAlign w:val="bottom"/>
          </w:tcPr>
          <w:p w14:paraId="746F033F" w14:textId="77777777" w:rsidR="008E7A10" w:rsidRDefault="00E047B2">
            <w:pPr>
              <w:textAlignment w:val="bottom"/>
            </w:pPr>
            <w:r>
              <w:rPr>
                <w:rFonts w:ascii="sans-serif" w:eastAsia="sans-serif" w:hAnsi="sans-serif" w:cs="sans-serif"/>
                <w:b/>
                <w:bCs/>
                <w:color w:val="E87722"/>
                <w:sz w:val="36"/>
                <w:szCs w:val="36"/>
              </w:rPr>
              <w:t>NOTE 4 — FAIR VALUE MEASUREMENTS</w:t>
            </w:r>
          </w:p>
        </w:tc>
      </w:tr>
    </w:tbl>
    <w:p w14:paraId="746F0341" w14:textId="77777777" w:rsidR="008E7A10" w:rsidRDefault="00E047B2">
      <w:pPr>
        <w:spacing w:before="120" w:after="120"/>
      </w:pPr>
      <w:r>
        <w:rPr>
          <w:rFonts w:ascii="Arial" w:eastAsia="宋体" w:hAnsi="Arial" w:cs="Arial"/>
          <w:color w:val="000000"/>
          <w:sz w:val="17"/>
          <w:szCs w:val="17"/>
        </w:rPr>
        <w:t xml:space="preserve">The Company </w:t>
      </w:r>
      <w:r>
        <w:rPr>
          <w:rFonts w:ascii="Arial" w:eastAsia="宋体" w:hAnsi="Arial" w:cs="Arial"/>
          <w:color w:val="000000"/>
          <w:sz w:val="17"/>
          <w:szCs w:val="17"/>
        </w:rPr>
        <w:t>measures certain financial assets and liabilities at fair value on a recurring basis, including derivatives, equity securities and available-for-sale debt securities. For additional information about the Company's fair value policies refer to Note 1 — Summ</w:t>
      </w:r>
      <w:r>
        <w:rPr>
          <w:rFonts w:ascii="Arial" w:eastAsia="宋体" w:hAnsi="Arial" w:cs="Arial"/>
          <w:color w:val="000000"/>
          <w:sz w:val="17"/>
          <w:szCs w:val="17"/>
        </w:rPr>
        <w:t>ary of Significant Accounting Policies of the Annual Report on Form 10-K for the fiscal year ended May 31, 2020.</w:t>
      </w:r>
    </w:p>
    <w:p w14:paraId="746F0342" w14:textId="77777777" w:rsidR="008E7A10" w:rsidRDefault="00E047B2">
      <w:pPr>
        <w:spacing w:before="120" w:after="120"/>
      </w:pPr>
      <w:r>
        <w:rPr>
          <w:rFonts w:ascii="Arial" w:eastAsia="宋体" w:hAnsi="Arial" w:cs="Arial"/>
          <w:color w:val="000000"/>
          <w:sz w:val="17"/>
          <w:szCs w:val="17"/>
        </w:rPr>
        <w:t>The following tables present information about the Company's financial assets measured at fair value on a recurring basis as of November 30, 20</w:t>
      </w:r>
      <w:r>
        <w:rPr>
          <w:rFonts w:ascii="Arial" w:eastAsia="宋体" w:hAnsi="Arial" w:cs="Arial"/>
          <w:color w:val="000000"/>
          <w:sz w:val="17"/>
          <w:szCs w:val="17"/>
        </w:rPr>
        <w:t>20 and May 31, 2020, and indicate the level in the fair value hierarchy in which the Company classifies the fair value measurement:</w:t>
      </w:r>
    </w:p>
    <w:p w14:paraId="746F0343" w14:textId="77777777" w:rsidR="008E7A10" w:rsidRDefault="00E047B2">
      <w:pPr>
        <w:spacing w:before="120" w:after="120"/>
      </w:pPr>
      <w:r>
        <w:rPr>
          <w:rFonts w:ascii="Arial" w:eastAsia="宋体" w:hAnsi="Arial" w:cs="Arial"/>
          <w:color w:val="E87722"/>
          <w:sz w:val="17"/>
          <w:szCs w:val="17"/>
        </w:rPr>
        <w:t>8</w:t>
      </w:r>
      <w:r>
        <w:rPr>
          <w:rFonts w:ascii="sans-serif" w:eastAsia="sans-serif" w:hAnsi="sans-serif" w:cs="sans-serif"/>
          <w:color w:val="000000"/>
          <w:sz w:val="17"/>
          <w:szCs w:val="17"/>
        </w:rPr>
        <w:t xml:space="preserve"> </w:t>
      </w:r>
    </w:p>
    <w:p w14:paraId="746F0344" w14:textId="77777777" w:rsidR="008E7A10" w:rsidRDefault="00E047B2">
      <w:r>
        <w:pict w14:anchorId="746F2010">
          <v:rect id="_x0000_i1034" style="width:415.3pt;height:1.5pt" o:hralign="center" o:hrstd="t" o:hr="t" fillcolor="#a0a0a0" stroked="f"/>
        </w:pict>
      </w:r>
    </w:p>
    <w:p w14:paraId="746F0345" w14:textId="77777777" w:rsidR="008E7A10" w:rsidRDefault="008E7A10"/>
    <w:p w14:paraId="746F0346" w14:textId="77777777" w:rsidR="008E7A10" w:rsidRDefault="00E047B2">
      <w:hyperlink r:id="rId79" w:anchor="i31a624617c6c41b38f8f700fa0df5bde_7" w:history="1">
        <w:r>
          <w:rPr>
            <w:rStyle w:val="a5"/>
            <w:rFonts w:ascii="sans-serif" w:eastAsia="sans-serif" w:hAnsi="sans-serif" w:cs="sans-serif"/>
            <w:sz w:val="17"/>
            <w:szCs w:val="17"/>
          </w:rPr>
          <w:t>Table of Contents</w:t>
        </w:r>
      </w:hyperlink>
    </w:p>
    <w:p w14:paraId="746F0347" w14:textId="77777777" w:rsidR="008E7A10" w:rsidRDefault="008E7A10"/>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8E7A10" w14:paraId="746F0354" w14:textId="77777777">
        <w:tc>
          <w:tcPr>
            <w:tcW w:w="50" w:type="pct"/>
            <w:shd w:val="clear" w:color="auto" w:fill="auto"/>
          </w:tcPr>
          <w:p w14:paraId="746F0348" w14:textId="77777777" w:rsidR="008E7A10" w:rsidRDefault="008E7A10">
            <w:pPr>
              <w:rPr>
                <w:rFonts w:ascii="宋体"/>
              </w:rPr>
            </w:pPr>
          </w:p>
        </w:tc>
        <w:tc>
          <w:tcPr>
            <w:tcW w:w="1962" w:type="pct"/>
            <w:shd w:val="clear" w:color="auto" w:fill="auto"/>
          </w:tcPr>
          <w:p w14:paraId="746F0349" w14:textId="77777777" w:rsidR="008E7A10" w:rsidRDefault="008E7A10">
            <w:pPr>
              <w:rPr>
                <w:rFonts w:ascii="宋体"/>
              </w:rPr>
            </w:pPr>
          </w:p>
        </w:tc>
        <w:tc>
          <w:tcPr>
            <w:tcW w:w="5" w:type="pct"/>
            <w:shd w:val="clear" w:color="auto" w:fill="auto"/>
          </w:tcPr>
          <w:p w14:paraId="746F034A" w14:textId="77777777" w:rsidR="008E7A10" w:rsidRDefault="008E7A10">
            <w:pPr>
              <w:rPr>
                <w:rFonts w:ascii="宋体"/>
              </w:rPr>
            </w:pPr>
          </w:p>
        </w:tc>
        <w:tc>
          <w:tcPr>
            <w:tcW w:w="50" w:type="pct"/>
            <w:shd w:val="clear" w:color="auto" w:fill="auto"/>
          </w:tcPr>
          <w:p w14:paraId="746F034B" w14:textId="77777777" w:rsidR="008E7A10" w:rsidRDefault="008E7A10">
            <w:pPr>
              <w:rPr>
                <w:rFonts w:ascii="宋体"/>
              </w:rPr>
            </w:pPr>
          </w:p>
        </w:tc>
        <w:tc>
          <w:tcPr>
            <w:tcW w:w="910" w:type="pct"/>
            <w:shd w:val="clear" w:color="auto" w:fill="auto"/>
          </w:tcPr>
          <w:p w14:paraId="746F034C" w14:textId="77777777" w:rsidR="008E7A10" w:rsidRDefault="008E7A10">
            <w:pPr>
              <w:rPr>
                <w:rFonts w:ascii="宋体"/>
              </w:rPr>
            </w:pPr>
          </w:p>
        </w:tc>
        <w:tc>
          <w:tcPr>
            <w:tcW w:w="5" w:type="pct"/>
            <w:shd w:val="clear" w:color="auto" w:fill="auto"/>
          </w:tcPr>
          <w:p w14:paraId="746F034D" w14:textId="77777777" w:rsidR="008E7A10" w:rsidRDefault="008E7A10">
            <w:pPr>
              <w:rPr>
                <w:rFonts w:ascii="宋体"/>
              </w:rPr>
            </w:pPr>
          </w:p>
        </w:tc>
        <w:tc>
          <w:tcPr>
            <w:tcW w:w="50" w:type="pct"/>
            <w:shd w:val="clear" w:color="auto" w:fill="auto"/>
          </w:tcPr>
          <w:p w14:paraId="746F034E" w14:textId="77777777" w:rsidR="008E7A10" w:rsidRDefault="008E7A10">
            <w:pPr>
              <w:rPr>
                <w:rFonts w:ascii="宋体"/>
              </w:rPr>
            </w:pPr>
          </w:p>
        </w:tc>
        <w:tc>
          <w:tcPr>
            <w:tcW w:w="910" w:type="pct"/>
            <w:shd w:val="clear" w:color="auto" w:fill="auto"/>
          </w:tcPr>
          <w:p w14:paraId="746F034F" w14:textId="77777777" w:rsidR="008E7A10" w:rsidRDefault="008E7A10">
            <w:pPr>
              <w:rPr>
                <w:rFonts w:ascii="宋体"/>
              </w:rPr>
            </w:pPr>
          </w:p>
        </w:tc>
        <w:tc>
          <w:tcPr>
            <w:tcW w:w="5" w:type="pct"/>
            <w:shd w:val="clear" w:color="auto" w:fill="auto"/>
          </w:tcPr>
          <w:p w14:paraId="746F0350" w14:textId="77777777" w:rsidR="008E7A10" w:rsidRDefault="008E7A10">
            <w:pPr>
              <w:rPr>
                <w:rFonts w:ascii="宋体"/>
              </w:rPr>
            </w:pPr>
          </w:p>
        </w:tc>
        <w:tc>
          <w:tcPr>
            <w:tcW w:w="50" w:type="pct"/>
            <w:shd w:val="clear" w:color="auto" w:fill="auto"/>
          </w:tcPr>
          <w:p w14:paraId="746F0351" w14:textId="77777777" w:rsidR="008E7A10" w:rsidRDefault="008E7A10">
            <w:pPr>
              <w:rPr>
                <w:rFonts w:ascii="宋体"/>
              </w:rPr>
            </w:pPr>
          </w:p>
        </w:tc>
        <w:tc>
          <w:tcPr>
            <w:tcW w:w="996" w:type="pct"/>
            <w:shd w:val="clear" w:color="auto" w:fill="auto"/>
          </w:tcPr>
          <w:p w14:paraId="746F0352" w14:textId="77777777" w:rsidR="008E7A10" w:rsidRDefault="008E7A10">
            <w:pPr>
              <w:rPr>
                <w:rFonts w:ascii="宋体"/>
              </w:rPr>
            </w:pPr>
          </w:p>
        </w:tc>
        <w:tc>
          <w:tcPr>
            <w:tcW w:w="5" w:type="pct"/>
            <w:shd w:val="clear" w:color="auto" w:fill="auto"/>
          </w:tcPr>
          <w:p w14:paraId="746F0353" w14:textId="77777777" w:rsidR="008E7A10" w:rsidRDefault="008E7A10">
            <w:pPr>
              <w:rPr>
                <w:rFonts w:ascii="宋体"/>
              </w:rPr>
            </w:pPr>
          </w:p>
        </w:tc>
      </w:tr>
      <w:tr w:rsidR="008E7A10" w14:paraId="746F0357" w14:textId="77777777">
        <w:tc>
          <w:tcPr>
            <w:tcW w:w="0" w:type="auto"/>
            <w:gridSpan w:val="3"/>
            <w:shd w:val="clear" w:color="auto" w:fill="auto"/>
            <w:tcMar>
              <w:top w:w="0" w:type="dxa"/>
              <w:left w:w="20" w:type="dxa"/>
              <w:bottom w:w="0" w:type="dxa"/>
              <w:right w:w="20" w:type="dxa"/>
            </w:tcMar>
          </w:tcPr>
          <w:p w14:paraId="746F0355"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0356" w14:textId="77777777" w:rsidR="008E7A10" w:rsidRDefault="00E047B2">
            <w:pPr>
              <w:jc w:val="center"/>
              <w:textAlignment w:val="bottom"/>
            </w:pPr>
            <w:r>
              <w:rPr>
                <w:rFonts w:ascii="sans-serif" w:eastAsia="sans-serif" w:hAnsi="sans-serif" w:cs="sans-serif"/>
                <w:b/>
                <w:bCs/>
                <w:color w:val="000000"/>
                <w:sz w:val="17"/>
                <w:szCs w:val="17"/>
              </w:rPr>
              <w:t>NOVEMBER 30, 2020</w:t>
            </w:r>
          </w:p>
        </w:tc>
      </w:tr>
      <w:tr w:rsidR="008E7A10" w14:paraId="746F035C" w14:textId="77777777">
        <w:tc>
          <w:tcPr>
            <w:tcW w:w="0" w:type="auto"/>
            <w:gridSpan w:val="3"/>
            <w:shd w:val="clear" w:color="auto" w:fill="auto"/>
            <w:tcMar>
              <w:top w:w="40" w:type="dxa"/>
              <w:left w:w="20" w:type="dxa"/>
              <w:bottom w:w="40" w:type="dxa"/>
              <w:right w:w="20" w:type="dxa"/>
            </w:tcMar>
            <w:vAlign w:val="bottom"/>
          </w:tcPr>
          <w:p w14:paraId="746F0358"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59" w14:textId="77777777" w:rsidR="008E7A10" w:rsidRDefault="00E047B2">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5A" w14:textId="77777777" w:rsidR="008E7A10" w:rsidRDefault="00E047B2">
            <w:pPr>
              <w:jc w:val="right"/>
              <w:textAlignment w:val="bottom"/>
            </w:pPr>
            <w:r>
              <w:rPr>
                <w:rFonts w:ascii="sans-serif" w:eastAsia="sans-serif" w:hAnsi="sans-serif" w:cs="sans-serif"/>
                <w:b/>
                <w:bCs/>
                <w:color w:val="000000"/>
                <w:sz w:val="17"/>
                <w:szCs w:val="17"/>
              </w:rPr>
              <w:t xml:space="preserve">CASH </w:t>
            </w:r>
            <w:r>
              <w:rPr>
                <w:rFonts w:ascii="sans-serif" w:eastAsia="sans-serif" w:hAnsi="sans-serif" w:cs="sans-serif"/>
                <w:b/>
                <w:bCs/>
                <w:color w:val="000000"/>
                <w:sz w:val="17"/>
                <w:szCs w:val="17"/>
              </w:rPr>
              <w:t>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5B" w14:textId="77777777" w:rsidR="008E7A10" w:rsidRDefault="00E047B2">
            <w:pPr>
              <w:jc w:val="right"/>
              <w:textAlignment w:val="bottom"/>
            </w:pPr>
            <w:r>
              <w:rPr>
                <w:rFonts w:ascii="sans-serif" w:eastAsia="sans-serif" w:hAnsi="sans-serif" w:cs="sans-serif"/>
                <w:b/>
                <w:bCs/>
                <w:color w:val="000000"/>
                <w:sz w:val="17"/>
                <w:szCs w:val="17"/>
              </w:rPr>
              <w:t>SHORT-TERM INVESTMENTS</w:t>
            </w:r>
          </w:p>
        </w:tc>
      </w:tr>
      <w:tr w:rsidR="008E7A10" w14:paraId="746F036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5D" w14:textId="77777777" w:rsidR="008E7A10" w:rsidRDefault="00E047B2">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035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35F" w14:textId="77777777" w:rsidR="008E7A10" w:rsidRDefault="00E047B2">
            <w:pPr>
              <w:jc w:val="right"/>
              <w:textAlignment w:val="bottom"/>
            </w:pPr>
            <w:r>
              <w:rPr>
                <w:rFonts w:ascii="Arial" w:eastAsia="宋体" w:hAnsi="Arial" w:cs="Arial"/>
                <w:color w:val="000000"/>
                <w:sz w:val="17"/>
                <w:szCs w:val="17"/>
              </w:rPr>
              <w:t>886 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360"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36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362" w14:textId="77777777" w:rsidR="008E7A10" w:rsidRDefault="00E047B2">
            <w:pPr>
              <w:jc w:val="right"/>
              <w:textAlignment w:val="bottom"/>
            </w:pPr>
            <w:r>
              <w:rPr>
                <w:rFonts w:ascii="Arial" w:eastAsia="宋体" w:hAnsi="Arial" w:cs="Arial"/>
                <w:color w:val="000000"/>
                <w:sz w:val="17"/>
                <w:szCs w:val="17"/>
              </w:rPr>
              <w:t>886 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363"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36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365"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366" w14:textId="77777777" w:rsidR="008E7A10" w:rsidRDefault="008E7A10">
            <w:pPr>
              <w:jc w:val="right"/>
              <w:rPr>
                <w:rFonts w:ascii="宋体"/>
              </w:rPr>
            </w:pPr>
          </w:p>
        </w:tc>
      </w:tr>
      <w:tr w:rsidR="008E7A10" w14:paraId="746F036C"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368" w14:textId="77777777" w:rsidR="008E7A10" w:rsidRDefault="00E047B2">
            <w:pPr>
              <w:textAlignment w:val="bottom"/>
            </w:pPr>
            <w:r>
              <w:rPr>
                <w:rFonts w:ascii="Arial" w:eastAsia="宋体" w:hAnsi="Arial" w:cs="Arial"/>
                <w:color w:val="000000"/>
                <w:sz w:val="17"/>
                <w:szCs w:val="17"/>
                <w:u w:val="single"/>
              </w:rPr>
              <w:t>Level 1:</w:t>
            </w:r>
          </w:p>
        </w:tc>
        <w:tc>
          <w:tcPr>
            <w:tcW w:w="0" w:type="auto"/>
            <w:gridSpan w:val="3"/>
            <w:tcBorders>
              <w:top w:val="single" w:sz="8" w:space="0" w:color="808080"/>
            </w:tcBorders>
            <w:shd w:val="clear" w:color="auto" w:fill="FFF1E7"/>
            <w:tcMar>
              <w:top w:w="0" w:type="dxa"/>
              <w:left w:w="20" w:type="dxa"/>
              <w:bottom w:w="0" w:type="dxa"/>
              <w:right w:w="20" w:type="dxa"/>
            </w:tcMar>
          </w:tcPr>
          <w:p w14:paraId="746F0369"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36A"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36B" w14:textId="77777777" w:rsidR="008E7A10" w:rsidRDefault="008E7A10">
            <w:pPr>
              <w:rPr>
                <w:rFonts w:ascii="宋体"/>
              </w:rPr>
            </w:pPr>
          </w:p>
        </w:tc>
      </w:tr>
      <w:tr w:rsidR="008E7A10" w14:paraId="746F037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36D" w14:textId="77777777" w:rsidR="008E7A10" w:rsidRDefault="00E047B2">
            <w:pPr>
              <w:textAlignment w:val="bottom"/>
            </w:pPr>
            <w:r>
              <w:rPr>
                <w:rFonts w:ascii="Arial" w:eastAsia="宋体" w:hAnsi="Arial" w:cs="Arial"/>
                <w:color w:val="000000"/>
                <w:sz w:val="17"/>
                <w:szCs w:val="17"/>
              </w:rPr>
              <w:t>U.S. Treasury securities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6E" w14:textId="77777777" w:rsidR="008E7A10" w:rsidRDefault="00E047B2">
            <w:pPr>
              <w:jc w:val="right"/>
              <w:textAlignment w:val="bottom"/>
            </w:pPr>
            <w:r>
              <w:rPr>
                <w:rFonts w:ascii="Arial" w:eastAsia="宋体" w:hAnsi="Arial" w:cs="Arial"/>
                <w:color w:val="000000"/>
                <w:sz w:val="17"/>
                <w:szCs w:val="17"/>
              </w:rPr>
              <w:t>3,136 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6F"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70"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71"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72" w14:textId="77777777" w:rsidR="008E7A10" w:rsidRDefault="00E047B2">
            <w:pPr>
              <w:jc w:val="right"/>
              <w:textAlignment w:val="bottom"/>
            </w:pPr>
            <w:r>
              <w:rPr>
                <w:rFonts w:ascii="Arial" w:eastAsia="宋体" w:hAnsi="Arial" w:cs="Arial"/>
                <w:color w:val="000000"/>
                <w:sz w:val="17"/>
                <w:szCs w:val="17"/>
              </w:rPr>
              <w:t>3,136 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73" w14:textId="77777777" w:rsidR="008E7A10" w:rsidRDefault="008E7A10">
            <w:pPr>
              <w:jc w:val="right"/>
              <w:rPr>
                <w:rFonts w:ascii="宋体"/>
              </w:rPr>
            </w:pPr>
          </w:p>
        </w:tc>
      </w:tr>
      <w:tr w:rsidR="008E7A10" w14:paraId="746F037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375" w14:textId="77777777" w:rsidR="008E7A10" w:rsidRDefault="00E047B2">
            <w:pPr>
              <w:textAlignment w:val="bottom"/>
            </w:pPr>
            <w:r>
              <w:rPr>
                <w:rFonts w:ascii="Arial" w:eastAsia="宋体" w:hAnsi="Arial" w:cs="Arial"/>
                <w:color w:val="000000"/>
                <w:sz w:val="17"/>
                <w:szCs w:val="17"/>
                <w:u w:val="single"/>
              </w:rPr>
              <w:t>Level 2:</w:t>
            </w:r>
          </w:p>
        </w:tc>
        <w:tc>
          <w:tcPr>
            <w:tcW w:w="0" w:type="auto"/>
            <w:gridSpan w:val="3"/>
            <w:tcBorders>
              <w:top w:val="single" w:sz="8" w:space="0" w:color="808080"/>
            </w:tcBorders>
            <w:shd w:val="clear" w:color="auto" w:fill="FFF1E7"/>
            <w:tcMar>
              <w:top w:w="0" w:type="dxa"/>
              <w:left w:w="20" w:type="dxa"/>
              <w:bottom w:w="0" w:type="dxa"/>
              <w:right w:w="20" w:type="dxa"/>
            </w:tcMar>
          </w:tcPr>
          <w:p w14:paraId="746F0376"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377"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378" w14:textId="77777777" w:rsidR="008E7A10" w:rsidRDefault="008E7A10">
            <w:pPr>
              <w:rPr>
                <w:rFonts w:ascii="宋体"/>
              </w:rPr>
            </w:pPr>
          </w:p>
        </w:tc>
      </w:tr>
      <w:tr w:rsidR="008E7A10" w14:paraId="746F038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37A" w14:textId="77777777" w:rsidR="008E7A10" w:rsidRDefault="00E047B2">
            <w:pPr>
              <w:textAlignment w:val="bottom"/>
            </w:pPr>
            <w:r>
              <w:rPr>
                <w:rFonts w:ascii="Arial" w:eastAsia="宋体" w:hAnsi="Arial" w:cs="Arial"/>
                <w:color w:val="000000"/>
                <w:sz w:val="17"/>
                <w:szCs w:val="17"/>
              </w:rPr>
              <w:t>Commercial paper and bonds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7B" w14:textId="77777777" w:rsidR="008E7A10" w:rsidRDefault="00E047B2">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7C"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7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7E"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7F" w14:textId="77777777" w:rsidR="008E7A10" w:rsidRDefault="00E047B2">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80" w14:textId="77777777" w:rsidR="008E7A10" w:rsidRDefault="008E7A10">
            <w:pPr>
              <w:jc w:val="right"/>
              <w:rPr>
                <w:rFonts w:ascii="宋体"/>
              </w:rPr>
            </w:pPr>
          </w:p>
        </w:tc>
      </w:tr>
      <w:tr w:rsidR="008E7A10" w14:paraId="746F038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382" w14:textId="77777777" w:rsidR="008E7A10" w:rsidRDefault="00E047B2">
            <w:pPr>
              <w:textAlignment w:val="bottom"/>
            </w:pPr>
            <w:r>
              <w:rPr>
                <w:rFonts w:ascii="Arial" w:eastAsia="宋体" w:hAnsi="Arial" w:cs="Arial"/>
                <w:color w:val="000000"/>
                <w:sz w:val="17"/>
                <w:szCs w:val="17"/>
              </w:rPr>
              <w:t>Money market funds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83" w14:textId="77777777" w:rsidR="008E7A10" w:rsidRDefault="00E047B2">
            <w:pPr>
              <w:jc w:val="right"/>
              <w:textAlignment w:val="bottom"/>
            </w:pPr>
            <w:r>
              <w:rPr>
                <w:rFonts w:ascii="Arial" w:eastAsia="宋体" w:hAnsi="Arial" w:cs="Arial"/>
                <w:color w:val="000000"/>
                <w:sz w:val="17"/>
                <w:szCs w:val="17"/>
              </w:rPr>
              <w:t>6,767 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84"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85" w14:textId="77777777" w:rsidR="008E7A10" w:rsidRDefault="00E047B2">
            <w:pPr>
              <w:jc w:val="right"/>
              <w:textAlignment w:val="bottom"/>
            </w:pPr>
            <w:r>
              <w:rPr>
                <w:rFonts w:ascii="Arial" w:eastAsia="宋体" w:hAnsi="Arial" w:cs="Arial"/>
                <w:color w:val="000000"/>
                <w:sz w:val="17"/>
                <w:szCs w:val="17"/>
              </w:rPr>
              <w:t>6,767 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86"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87"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88" w14:textId="77777777" w:rsidR="008E7A10" w:rsidRDefault="008E7A10">
            <w:pPr>
              <w:jc w:val="right"/>
              <w:rPr>
                <w:rFonts w:ascii="宋体"/>
              </w:rPr>
            </w:pPr>
          </w:p>
        </w:tc>
      </w:tr>
      <w:tr w:rsidR="008E7A10" w14:paraId="746F039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38A" w14:textId="77777777" w:rsidR="008E7A10" w:rsidRDefault="00E047B2">
            <w:pPr>
              <w:textAlignment w:val="bottom"/>
            </w:pPr>
            <w:r>
              <w:rPr>
                <w:rFonts w:ascii="Arial" w:eastAsia="宋体" w:hAnsi="Arial" w:cs="Arial"/>
                <w:color w:val="000000"/>
                <w:sz w:val="17"/>
                <w:szCs w:val="17"/>
              </w:rPr>
              <w:t>Time deposits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8B" w14:textId="77777777" w:rsidR="008E7A10" w:rsidRDefault="00E047B2">
            <w:pPr>
              <w:jc w:val="right"/>
              <w:textAlignment w:val="bottom"/>
            </w:pPr>
            <w:r>
              <w:rPr>
                <w:rFonts w:ascii="Arial" w:eastAsia="宋体" w:hAnsi="Arial" w:cs="Arial"/>
                <w:color w:val="000000"/>
                <w:sz w:val="17"/>
                <w:szCs w:val="17"/>
              </w:rPr>
              <w:t>983 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8C"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8D" w14:textId="77777777" w:rsidR="008E7A10" w:rsidRDefault="00E047B2">
            <w:pPr>
              <w:jc w:val="right"/>
              <w:textAlignment w:val="bottom"/>
            </w:pPr>
            <w:r>
              <w:rPr>
                <w:rFonts w:ascii="Arial" w:eastAsia="宋体" w:hAnsi="Arial" w:cs="Arial"/>
                <w:color w:val="000000"/>
                <w:sz w:val="17"/>
                <w:szCs w:val="17"/>
              </w:rPr>
              <w:t>982 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8E"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8F"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90" w14:textId="77777777" w:rsidR="008E7A10" w:rsidRDefault="008E7A10">
            <w:pPr>
              <w:jc w:val="right"/>
              <w:rPr>
                <w:rFonts w:ascii="宋体"/>
              </w:rPr>
            </w:pPr>
          </w:p>
        </w:tc>
      </w:tr>
      <w:tr w:rsidR="008E7A10" w14:paraId="746F039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392" w14:textId="77777777" w:rsidR="008E7A10" w:rsidRDefault="00E047B2">
            <w:pPr>
              <w:textAlignment w:val="bottom"/>
            </w:pPr>
            <w:r>
              <w:rPr>
                <w:rFonts w:ascii="Arial" w:eastAsia="宋体" w:hAnsi="Arial" w:cs="Arial"/>
                <w:color w:val="000000"/>
                <w:sz w:val="17"/>
                <w:szCs w:val="17"/>
              </w:rPr>
              <w:t>U.S. Agency securities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93"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94"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95"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96"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397"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398" w14:textId="77777777" w:rsidR="008E7A10" w:rsidRDefault="008E7A10">
            <w:pPr>
              <w:jc w:val="right"/>
              <w:rPr>
                <w:rFonts w:ascii="宋体"/>
              </w:rPr>
            </w:pPr>
          </w:p>
        </w:tc>
      </w:tr>
      <w:tr w:rsidR="008E7A10" w14:paraId="746F03A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9A" w14:textId="77777777" w:rsidR="008E7A10" w:rsidRDefault="00E047B2">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39B" w14:textId="77777777" w:rsidR="008E7A10" w:rsidRDefault="00E047B2">
            <w:pPr>
              <w:jc w:val="right"/>
              <w:textAlignment w:val="bottom"/>
            </w:pPr>
            <w:r>
              <w:rPr>
                <w:rFonts w:ascii="Arial" w:eastAsia="宋体" w:hAnsi="Arial" w:cs="Arial"/>
                <w:color w:val="000000"/>
                <w:sz w:val="17"/>
                <w:szCs w:val="17"/>
              </w:rPr>
              <w:t>7,790 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39C" w14:textId="77777777" w:rsidR="008E7A10" w:rsidRDefault="008E7A10">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39D" w14:textId="77777777" w:rsidR="008E7A10" w:rsidRDefault="00E047B2">
            <w:pPr>
              <w:jc w:val="right"/>
              <w:textAlignment w:val="bottom"/>
            </w:pPr>
            <w:r>
              <w:rPr>
                <w:rFonts w:ascii="Arial" w:eastAsia="宋体" w:hAnsi="Arial" w:cs="Arial"/>
                <w:color w:val="000000"/>
                <w:sz w:val="17"/>
                <w:szCs w:val="17"/>
              </w:rPr>
              <w:t>7,749 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39E" w14:textId="77777777" w:rsidR="008E7A10" w:rsidRDefault="008E7A10">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39F" w14:textId="77777777" w:rsidR="008E7A10" w:rsidRDefault="00E047B2">
            <w:pPr>
              <w:jc w:val="right"/>
              <w:textAlignment w:val="bottom"/>
            </w:pPr>
            <w:r>
              <w:rPr>
                <w:rFonts w:ascii="Arial" w:eastAsia="宋体" w:hAnsi="Arial" w:cs="Arial"/>
                <w:color w:val="000000"/>
                <w:sz w:val="17"/>
                <w:szCs w:val="17"/>
              </w:rPr>
              <w:t>41 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3A0" w14:textId="77777777" w:rsidR="008E7A10" w:rsidRDefault="008E7A10">
            <w:pPr>
              <w:jc w:val="right"/>
              <w:rPr>
                <w:rFonts w:ascii="宋体"/>
              </w:rPr>
            </w:pPr>
          </w:p>
        </w:tc>
      </w:tr>
      <w:tr w:rsidR="008E7A10" w14:paraId="746F03A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3A2" w14:textId="77777777" w:rsidR="008E7A10" w:rsidRDefault="00E047B2">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3A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3A4" w14:textId="77777777" w:rsidR="008E7A10" w:rsidRDefault="00E047B2">
            <w:pPr>
              <w:jc w:val="right"/>
              <w:textAlignment w:val="bottom"/>
            </w:pPr>
            <w:r>
              <w:rPr>
                <w:rFonts w:ascii="Arial" w:eastAsia="宋体" w:hAnsi="Arial" w:cs="Arial"/>
                <w:b/>
                <w:bCs/>
                <w:color w:val="000000"/>
                <w:sz w:val="17"/>
                <w:szCs w:val="17"/>
              </w:rPr>
              <w:t>11,812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3A5"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3A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3A7" w14:textId="77777777" w:rsidR="008E7A10" w:rsidRDefault="00E047B2">
            <w:pPr>
              <w:jc w:val="right"/>
              <w:textAlignment w:val="bottom"/>
            </w:pPr>
            <w:r>
              <w:rPr>
                <w:rFonts w:ascii="Arial" w:eastAsia="宋体" w:hAnsi="Arial" w:cs="Arial"/>
                <w:b/>
                <w:bCs/>
                <w:color w:val="000000"/>
                <w:sz w:val="17"/>
                <w:szCs w:val="17"/>
              </w:rPr>
              <w:t>8,635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3A8"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3A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3AA" w14:textId="77777777" w:rsidR="008E7A10" w:rsidRDefault="00E047B2">
            <w:pPr>
              <w:jc w:val="right"/>
              <w:textAlignment w:val="bottom"/>
            </w:pPr>
            <w:r>
              <w:rPr>
                <w:rFonts w:ascii="Arial" w:eastAsia="宋体" w:hAnsi="Arial" w:cs="Arial"/>
                <w:b/>
                <w:bCs/>
                <w:color w:val="000000"/>
                <w:sz w:val="17"/>
                <w:szCs w:val="17"/>
              </w:rPr>
              <w:t>3,177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3AB" w14:textId="77777777" w:rsidR="008E7A10" w:rsidRDefault="008E7A10">
            <w:pPr>
              <w:jc w:val="right"/>
              <w:rPr>
                <w:rFonts w:ascii="宋体"/>
              </w:rPr>
            </w:pPr>
          </w:p>
        </w:tc>
      </w:tr>
    </w:tbl>
    <w:p w14:paraId="746F03AD" w14:textId="77777777" w:rsidR="008E7A10" w:rsidRDefault="008E7A10">
      <w:pPr>
        <w:rPr>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8E7A10" w14:paraId="746F03BA" w14:textId="77777777">
        <w:tc>
          <w:tcPr>
            <w:tcW w:w="50" w:type="pct"/>
            <w:shd w:val="clear" w:color="auto" w:fill="auto"/>
          </w:tcPr>
          <w:p w14:paraId="746F03AE" w14:textId="77777777" w:rsidR="008E7A10" w:rsidRDefault="008E7A10">
            <w:pPr>
              <w:rPr>
                <w:rFonts w:ascii="宋体"/>
              </w:rPr>
            </w:pPr>
          </w:p>
        </w:tc>
        <w:tc>
          <w:tcPr>
            <w:tcW w:w="1962" w:type="pct"/>
            <w:shd w:val="clear" w:color="auto" w:fill="auto"/>
          </w:tcPr>
          <w:p w14:paraId="746F03AF" w14:textId="77777777" w:rsidR="008E7A10" w:rsidRDefault="008E7A10">
            <w:pPr>
              <w:rPr>
                <w:rFonts w:ascii="宋体"/>
              </w:rPr>
            </w:pPr>
          </w:p>
        </w:tc>
        <w:tc>
          <w:tcPr>
            <w:tcW w:w="5" w:type="pct"/>
            <w:shd w:val="clear" w:color="auto" w:fill="auto"/>
          </w:tcPr>
          <w:p w14:paraId="746F03B0" w14:textId="77777777" w:rsidR="008E7A10" w:rsidRDefault="008E7A10">
            <w:pPr>
              <w:rPr>
                <w:rFonts w:ascii="宋体"/>
              </w:rPr>
            </w:pPr>
          </w:p>
        </w:tc>
        <w:tc>
          <w:tcPr>
            <w:tcW w:w="50" w:type="pct"/>
            <w:shd w:val="clear" w:color="auto" w:fill="auto"/>
          </w:tcPr>
          <w:p w14:paraId="746F03B1" w14:textId="77777777" w:rsidR="008E7A10" w:rsidRDefault="008E7A10">
            <w:pPr>
              <w:rPr>
                <w:rFonts w:ascii="宋体"/>
              </w:rPr>
            </w:pPr>
          </w:p>
        </w:tc>
        <w:tc>
          <w:tcPr>
            <w:tcW w:w="910" w:type="pct"/>
            <w:shd w:val="clear" w:color="auto" w:fill="auto"/>
          </w:tcPr>
          <w:p w14:paraId="746F03B2" w14:textId="77777777" w:rsidR="008E7A10" w:rsidRDefault="008E7A10">
            <w:pPr>
              <w:rPr>
                <w:rFonts w:ascii="宋体"/>
              </w:rPr>
            </w:pPr>
          </w:p>
        </w:tc>
        <w:tc>
          <w:tcPr>
            <w:tcW w:w="5" w:type="pct"/>
            <w:shd w:val="clear" w:color="auto" w:fill="auto"/>
          </w:tcPr>
          <w:p w14:paraId="746F03B3" w14:textId="77777777" w:rsidR="008E7A10" w:rsidRDefault="008E7A10">
            <w:pPr>
              <w:rPr>
                <w:rFonts w:ascii="宋体"/>
              </w:rPr>
            </w:pPr>
          </w:p>
        </w:tc>
        <w:tc>
          <w:tcPr>
            <w:tcW w:w="50" w:type="pct"/>
            <w:shd w:val="clear" w:color="auto" w:fill="auto"/>
          </w:tcPr>
          <w:p w14:paraId="746F03B4" w14:textId="77777777" w:rsidR="008E7A10" w:rsidRDefault="008E7A10">
            <w:pPr>
              <w:rPr>
                <w:rFonts w:ascii="宋体"/>
              </w:rPr>
            </w:pPr>
          </w:p>
        </w:tc>
        <w:tc>
          <w:tcPr>
            <w:tcW w:w="910" w:type="pct"/>
            <w:shd w:val="clear" w:color="auto" w:fill="auto"/>
          </w:tcPr>
          <w:p w14:paraId="746F03B5" w14:textId="77777777" w:rsidR="008E7A10" w:rsidRDefault="008E7A10">
            <w:pPr>
              <w:rPr>
                <w:rFonts w:ascii="宋体"/>
              </w:rPr>
            </w:pPr>
          </w:p>
        </w:tc>
        <w:tc>
          <w:tcPr>
            <w:tcW w:w="5" w:type="pct"/>
            <w:shd w:val="clear" w:color="auto" w:fill="auto"/>
          </w:tcPr>
          <w:p w14:paraId="746F03B6" w14:textId="77777777" w:rsidR="008E7A10" w:rsidRDefault="008E7A10">
            <w:pPr>
              <w:rPr>
                <w:rFonts w:ascii="宋体"/>
              </w:rPr>
            </w:pPr>
          </w:p>
        </w:tc>
        <w:tc>
          <w:tcPr>
            <w:tcW w:w="50" w:type="pct"/>
            <w:shd w:val="clear" w:color="auto" w:fill="auto"/>
          </w:tcPr>
          <w:p w14:paraId="746F03B7" w14:textId="77777777" w:rsidR="008E7A10" w:rsidRDefault="008E7A10">
            <w:pPr>
              <w:rPr>
                <w:rFonts w:ascii="宋体"/>
              </w:rPr>
            </w:pPr>
          </w:p>
        </w:tc>
        <w:tc>
          <w:tcPr>
            <w:tcW w:w="996" w:type="pct"/>
            <w:shd w:val="clear" w:color="auto" w:fill="auto"/>
          </w:tcPr>
          <w:p w14:paraId="746F03B8" w14:textId="77777777" w:rsidR="008E7A10" w:rsidRDefault="008E7A10">
            <w:pPr>
              <w:rPr>
                <w:rFonts w:ascii="宋体"/>
              </w:rPr>
            </w:pPr>
          </w:p>
        </w:tc>
        <w:tc>
          <w:tcPr>
            <w:tcW w:w="5" w:type="pct"/>
            <w:shd w:val="clear" w:color="auto" w:fill="auto"/>
          </w:tcPr>
          <w:p w14:paraId="746F03B9" w14:textId="77777777" w:rsidR="008E7A10" w:rsidRDefault="008E7A10">
            <w:pPr>
              <w:rPr>
                <w:rFonts w:ascii="宋体"/>
              </w:rPr>
            </w:pPr>
          </w:p>
        </w:tc>
      </w:tr>
      <w:tr w:rsidR="008E7A10" w14:paraId="746F03BD" w14:textId="77777777">
        <w:tc>
          <w:tcPr>
            <w:tcW w:w="0" w:type="auto"/>
            <w:gridSpan w:val="3"/>
            <w:shd w:val="clear" w:color="auto" w:fill="auto"/>
            <w:tcMar>
              <w:top w:w="0" w:type="dxa"/>
              <w:left w:w="20" w:type="dxa"/>
              <w:bottom w:w="0" w:type="dxa"/>
              <w:right w:w="20" w:type="dxa"/>
            </w:tcMar>
          </w:tcPr>
          <w:p w14:paraId="746F03BB"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03BC" w14:textId="77777777" w:rsidR="008E7A10" w:rsidRDefault="00E047B2">
            <w:pPr>
              <w:jc w:val="center"/>
              <w:textAlignment w:val="bottom"/>
            </w:pPr>
            <w:r>
              <w:rPr>
                <w:rFonts w:ascii="sans-serif" w:eastAsia="sans-serif" w:hAnsi="sans-serif" w:cs="sans-serif"/>
                <w:b/>
                <w:bCs/>
                <w:color w:val="000000"/>
                <w:sz w:val="17"/>
                <w:szCs w:val="17"/>
              </w:rPr>
              <w:t>MAY 31, 2020</w:t>
            </w:r>
          </w:p>
        </w:tc>
      </w:tr>
      <w:tr w:rsidR="008E7A10" w14:paraId="746F03C2" w14:textId="77777777">
        <w:tc>
          <w:tcPr>
            <w:tcW w:w="0" w:type="auto"/>
            <w:gridSpan w:val="3"/>
            <w:shd w:val="clear" w:color="auto" w:fill="auto"/>
            <w:tcMar>
              <w:top w:w="40" w:type="dxa"/>
              <w:left w:w="20" w:type="dxa"/>
              <w:bottom w:w="40" w:type="dxa"/>
              <w:right w:w="20" w:type="dxa"/>
            </w:tcMar>
            <w:vAlign w:val="bottom"/>
          </w:tcPr>
          <w:p w14:paraId="746F03BE"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BF" w14:textId="77777777" w:rsidR="008E7A10" w:rsidRDefault="00E047B2">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C0" w14:textId="77777777" w:rsidR="008E7A10" w:rsidRDefault="00E047B2">
            <w:pPr>
              <w:jc w:val="right"/>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C1" w14:textId="77777777" w:rsidR="008E7A10" w:rsidRDefault="00E047B2">
            <w:pPr>
              <w:jc w:val="right"/>
              <w:textAlignment w:val="bottom"/>
            </w:pPr>
            <w:r>
              <w:rPr>
                <w:rFonts w:ascii="sans-serif" w:eastAsia="sans-serif" w:hAnsi="sans-serif" w:cs="sans-serif"/>
                <w:b/>
                <w:bCs/>
                <w:color w:val="000000"/>
                <w:sz w:val="17"/>
                <w:szCs w:val="17"/>
              </w:rPr>
              <w:t>SHORT-TERM INVESTMENTS</w:t>
            </w:r>
          </w:p>
        </w:tc>
      </w:tr>
      <w:tr w:rsidR="008E7A10" w14:paraId="746F03C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3C3" w14:textId="77777777" w:rsidR="008E7A10" w:rsidRDefault="00E047B2">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auto"/>
            <w:tcMar>
              <w:top w:w="40" w:type="dxa"/>
              <w:left w:w="20" w:type="dxa"/>
              <w:bottom w:w="40" w:type="dxa"/>
              <w:right w:w="0" w:type="dxa"/>
            </w:tcMar>
            <w:vAlign w:val="bottom"/>
          </w:tcPr>
          <w:p w14:paraId="746F03C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3C5" w14:textId="77777777" w:rsidR="008E7A10" w:rsidRDefault="00E047B2">
            <w:pPr>
              <w:jc w:val="right"/>
              <w:textAlignment w:val="bottom"/>
            </w:pPr>
            <w:r>
              <w:rPr>
                <w:rFonts w:ascii="Arial" w:eastAsia="宋体" w:hAnsi="Arial" w:cs="Arial"/>
                <w:color w:val="000000"/>
                <w:sz w:val="17"/>
                <w:szCs w:val="17"/>
              </w:rPr>
              <w:t>596 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3C6"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3C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3C8" w14:textId="77777777" w:rsidR="008E7A10" w:rsidRDefault="00E047B2">
            <w:pPr>
              <w:jc w:val="right"/>
              <w:textAlignment w:val="bottom"/>
            </w:pPr>
            <w:r>
              <w:rPr>
                <w:rFonts w:ascii="Arial" w:eastAsia="宋体" w:hAnsi="Arial" w:cs="Arial"/>
                <w:color w:val="000000"/>
                <w:sz w:val="17"/>
                <w:szCs w:val="17"/>
              </w:rPr>
              <w:t>596 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3C9"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3C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3C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3CC" w14:textId="77777777" w:rsidR="008E7A10" w:rsidRDefault="008E7A10">
            <w:pPr>
              <w:jc w:val="right"/>
              <w:rPr>
                <w:rFonts w:ascii="宋体"/>
              </w:rPr>
            </w:pPr>
          </w:p>
        </w:tc>
      </w:tr>
      <w:tr w:rsidR="008E7A10" w14:paraId="746F03D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3CE" w14:textId="77777777" w:rsidR="008E7A10" w:rsidRDefault="00E047B2">
            <w:pPr>
              <w:textAlignment w:val="bottom"/>
            </w:pPr>
            <w:r>
              <w:rPr>
                <w:rFonts w:ascii="Arial" w:eastAsia="宋体" w:hAnsi="Arial" w:cs="Arial"/>
                <w:color w:val="000000"/>
                <w:sz w:val="17"/>
                <w:szCs w:val="17"/>
                <w:u w:val="single"/>
              </w:rPr>
              <w:t>Level 1:</w:t>
            </w:r>
          </w:p>
        </w:tc>
        <w:tc>
          <w:tcPr>
            <w:tcW w:w="0" w:type="auto"/>
            <w:gridSpan w:val="3"/>
            <w:tcBorders>
              <w:top w:val="single" w:sz="8" w:space="0" w:color="808080"/>
            </w:tcBorders>
            <w:shd w:val="clear" w:color="auto" w:fill="auto"/>
            <w:tcMar>
              <w:top w:w="0" w:type="dxa"/>
              <w:left w:w="20" w:type="dxa"/>
              <w:bottom w:w="0" w:type="dxa"/>
              <w:right w:w="20" w:type="dxa"/>
            </w:tcMar>
          </w:tcPr>
          <w:p w14:paraId="746F03CF"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3D0"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3D1" w14:textId="77777777" w:rsidR="008E7A10" w:rsidRDefault="008E7A10">
            <w:pPr>
              <w:rPr>
                <w:rFonts w:ascii="宋体"/>
              </w:rPr>
            </w:pPr>
          </w:p>
        </w:tc>
      </w:tr>
      <w:tr w:rsidR="008E7A10" w14:paraId="746F03D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3D3" w14:textId="77777777" w:rsidR="008E7A10" w:rsidRDefault="00E047B2">
            <w:pPr>
              <w:textAlignment w:val="bottom"/>
            </w:pPr>
            <w:r>
              <w:rPr>
                <w:rFonts w:ascii="Arial" w:eastAsia="宋体" w:hAnsi="Arial" w:cs="Arial"/>
                <w:color w:val="000000"/>
                <w:sz w:val="17"/>
                <w:szCs w:val="17"/>
              </w:rPr>
              <w:t>U.S. Treasury securities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D4" w14:textId="77777777" w:rsidR="008E7A10" w:rsidRDefault="00E047B2">
            <w:pPr>
              <w:jc w:val="right"/>
              <w:textAlignment w:val="bottom"/>
            </w:pPr>
            <w:r>
              <w:rPr>
                <w:rFonts w:ascii="Arial" w:eastAsia="宋体" w:hAnsi="Arial" w:cs="Arial"/>
                <w:color w:val="000000"/>
                <w:sz w:val="17"/>
                <w:szCs w:val="17"/>
              </w:rPr>
              <w:t>1,204 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D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D6" w14:textId="77777777" w:rsidR="008E7A10" w:rsidRDefault="00E047B2">
            <w:pPr>
              <w:jc w:val="right"/>
              <w:textAlignment w:val="bottom"/>
            </w:pPr>
            <w:r>
              <w:rPr>
                <w:rFonts w:ascii="Arial" w:eastAsia="宋体" w:hAnsi="Arial" w:cs="Arial"/>
                <w:color w:val="000000"/>
                <w:sz w:val="17"/>
                <w:szCs w:val="17"/>
              </w:rPr>
              <w:t>800 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D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D8" w14:textId="77777777" w:rsidR="008E7A10" w:rsidRDefault="00E047B2">
            <w:pPr>
              <w:jc w:val="right"/>
              <w:textAlignment w:val="bottom"/>
            </w:pPr>
            <w:r>
              <w:rPr>
                <w:rFonts w:ascii="Arial" w:eastAsia="宋体" w:hAnsi="Arial" w:cs="Arial"/>
                <w:color w:val="000000"/>
                <w:sz w:val="17"/>
                <w:szCs w:val="17"/>
              </w:rPr>
              <w:t>404 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D9" w14:textId="77777777" w:rsidR="008E7A10" w:rsidRDefault="008E7A10">
            <w:pPr>
              <w:jc w:val="right"/>
              <w:rPr>
                <w:rFonts w:ascii="宋体"/>
              </w:rPr>
            </w:pPr>
          </w:p>
        </w:tc>
      </w:tr>
      <w:tr w:rsidR="008E7A10" w14:paraId="746F03D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3DB" w14:textId="77777777" w:rsidR="008E7A10" w:rsidRDefault="00E047B2">
            <w:pPr>
              <w:textAlignment w:val="bottom"/>
            </w:pPr>
            <w:r>
              <w:rPr>
                <w:rFonts w:ascii="Arial" w:eastAsia="宋体" w:hAnsi="Arial" w:cs="Arial"/>
                <w:color w:val="000000"/>
                <w:sz w:val="17"/>
                <w:szCs w:val="17"/>
                <w:u w:val="single"/>
              </w:rPr>
              <w:t>Level 2:</w:t>
            </w:r>
          </w:p>
        </w:tc>
        <w:tc>
          <w:tcPr>
            <w:tcW w:w="0" w:type="auto"/>
            <w:gridSpan w:val="3"/>
            <w:tcBorders>
              <w:top w:val="single" w:sz="8" w:space="0" w:color="808080"/>
            </w:tcBorders>
            <w:shd w:val="clear" w:color="auto" w:fill="auto"/>
            <w:tcMar>
              <w:top w:w="0" w:type="dxa"/>
              <w:left w:w="20" w:type="dxa"/>
              <w:bottom w:w="0" w:type="dxa"/>
              <w:right w:w="20" w:type="dxa"/>
            </w:tcMar>
          </w:tcPr>
          <w:p w14:paraId="746F03DC"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3DD"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3DE" w14:textId="77777777" w:rsidR="008E7A10" w:rsidRDefault="008E7A10">
            <w:pPr>
              <w:rPr>
                <w:rFonts w:ascii="宋体"/>
              </w:rPr>
            </w:pPr>
          </w:p>
        </w:tc>
      </w:tr>
      <w:tr w:rsidR="008E7A10" w14:paraId="746F03E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3E0" w14:textId="77777777" w:rsidR="008E7A10" w:rsidRDefault="00E047B2">
            <w:pPr>
              <w:textAlignment w:val="bottom"/>
            </w:pPr>
            <w:r>
              <w:rPr>
                <w:rFonts w:ascii="Arial" w:eastAsia="宋体" w:hAnsi="Arial" w:cs="Arial"/>
                <w:color w:val="000000"/>
                <w:sz w:val="17"/>
                <w:szCs w:val="17"/>
              </w:rPr>
              <w:t>Commercial paper and bonds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E1" w14:textId="77777777" w:rsidR="008E7A10" w:rsidRDefault="00E047B2">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E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E3"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E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E5" w14:textId="77777777" w:rsidR="008E7A10" w:rsidRDefault="00E047B2">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E6" w14:textId="77777777" w:rsidR="008E7A10" w:rsidRDefault="008E7A10">
            <w:pPr>
              <w:jc w:val="right"/>
              <w:rPr>
                <w:rFonts w:ascii="宋体"/>
              </w:rPr>
            </w:pPr>
          </w:p>
        </w:tc>
      </w:tr>
      <w:tr w:rsidR="008E7A10" w14:paraId="746F03E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3E8" w14:textId="77777777" w:rsidR="008E7A10" w:rsidRDefault="00E047B2">
            <w:pPr>
              <w:textAlignment w:val="bottom"/>
            </w:pPr>
            <w:r>
              <w:rPr>
                <w:rFonts w:ascii="Arial" w:eastAsia="宋体" w:hAnsi="Arial" w:cs="Arial"/>
                <w:color w:val="000000"/>
                <w:sz w:val="17"/>
                <w:szCs w:val="17"/>
              </w:rPr>
              <w:t>Money market funds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E9" w14:textId="77777777" w:rsidR="008E7A10" w:rsidRDefault="00E047B2">
            <w:pPr>
              <w:jc w:val="right"/>
              <w:textAlignment w:val="bottom"/>
            </w:pPr>
            <w:r>
              <w:rPr>
                <w:rFonts w:ascii="Arial" w:eastAsia="宋体" w:hAnsi="Arial" w:cs="Arial"/>
                <w:color w:val="000000"/>
                <w:sz w:val="17"/>
                <w:szCs w:val="17"/>
              </w:rPr>
              <w:t>5,973 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E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EB" w14:textId="77777777" w:rsidR="008E7A10" w:rsidRDefault="00E047B2">
            <w:pPr>
              <w:jc w:val="right"/>
              <w:textAlignment w:val="bottom"/>
            </w:pPr>
            <w:r>
              <w:rPr>
                <w:rFonts w:ascii="Arial" w:eastAsia="宋体" w:hAnsi="Arial" w:cs="Arial"/>
                <w:color w:val="000000"/>
                <w:sz w:val="17"/>
                <w:szCs w:val="17"/>
              </w:rPr>
              <w:t>5,973 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E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E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EE" w14:textId="77777777" w:rsidR="008E7A10" w:rsidRDefault="008E7A10">
            <w:pPr>
              <w:jc w:val="right"/>
              <w:rPr>
                <w:rFonts w:ascii="宋体"/>
              </w:rPr>
            </w:pPr>
          </w:p>
        </w:tc>
      </w:tr>
      <w:tr w:rsidR="008E7A10" w14:paraId="746F03F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3F0" w14:textId="77777777" w:rsidR="008E7A10" w:rsidRDefault="00E047B2">
            <w:pPr>
              <w:textAlignment w:val="bottom"/>
            </w:pPr>
            <w:r>
              <w:rPr>
                <w:rFonts w:ascii="Arial" w:eastAsia="宋体" w:hAnsi="Arial" w:cs="Arial"/>
                <w:color w:val="000000"/>
                <w:sz w:val="17"/>
                <w:szCs w:val="17"/>
              </w:rPr>
              <w:t>Time deposits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F1" w14:textId="77777777" w:rsidR="008E7A10" w:rsidRDefault="00E047B2">
            <w:pPr>
              <w:jc w:val="right"/>
              <w:textAlignment w:val="bottom"/>
            </w:pPr>
            <w:r>
              <w:rPr>
                <w:rFonts w:ascii="Arial" w:eastAsia="宋体" w:hAnsi="Arial" w:cs="Arial"/>
                <w:color w:val="000000"/>
                <w:sz w:val="17"/>
                <w:szCs w:val="17"/>
              </w:rPr>
              <w:t>981 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F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F3" w14:textId="77777777" w:rsidR="008E7A10" w:rsidRDefault="00E047B2">
            <w:pPr>
              <w:jc w:val="right"/>
              <w:textAlignment w:val="bottom"/>
            </w:pPr>
            <w:r>
              <w:rPr>
                <w:rFonts w:ascii="Arial" w:eastAsia="宋体" w:hAnsi="Arial" w:cs="Arial"/>
                <w:color w:val="000000"/>
                <w:sz w:val="17"/>
                <w:szCs w:val="17"/>
              </w:rPr>
              <w:t>979 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F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F5"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F6" w14:textId="77777777" w:rsidR="008E7A10" w:rsidRDefault="008E7A10">
            <w:pPr>
              <w:jc w:val="right"/>
              <w:rPr>
                <w:rFonts w:ascii="宋体"/>
              </w:rPr>
            </w:pPr>
          </w:p>
        </w:tc>
      </w:tr>
      <w:tr w:rsidR="008E7A10" w14:paraId="746F03F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3F8" w14:textId="77777777" w:rsidR="008E7A10" w:rsidRDefault="00E047B2">
            <w:pPr>
              <w:textAlignment w:val="bottom"/>
            </w:pPr>
            <w:r>
              <w:rPr>
                <w:rFonts w:ascii="Arial" w:eastAsia="宋体" w:hAnsi="Arial" w:cs="Arial"/>
                <w:color w:val="000000"/>
                <w:sz w:val="17"/>
                <w:szCs w:val="17"/>
              </w:rPr>
              <w:t>U.S. Agency securities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F9"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F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F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F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3FD"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3FE" w14:textId="77777777" w:rsidR="008E7A10" w:rsidRDefault="008E7A10">
            <w:pPr>
              <w:jc w:val="right"/>
              <w:rPr>
                <w:rFonts w:ascii="宋体"/>
              </w:rPr>
            </w:pPr>
          </w:p>
        </w:tc>
      </w:tr>
      <w:tr w:rsidR="008E7A10" w14:paraId="746F040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00" w14:textId="77777777" w:rsidR="008E7A10" w:rsidRDefault="00E047B2">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401" w14:textId="77777777" w:rsidR="008E7A10" w:rsidRDefault="00E047B2">
            <w:pPr>
              <w:jc w:val="right"/>
              <w:textAlignment w:val="bottom"/>
            </w:pPr>
            <w:r>
              <w:rPr>
                <w:rFonts w:ascii="Arial" w:eastAsia="宋体" w:hAnsi="Arial" w:cs="Arial"/>
                <w:color w:val="000000"/>
                <w:sz w:val="17"/>
                <w:szCs w:val="17"/>
              </w:rPr>
              <w:t>6,987 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402"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403" w14:textId="77777777" w:rsidR="008E7A10" w:rsidRDefault="00E047B2">
            <w:pPr>
              <w:jc w:val="right"/>
              <w:textAlignment w:val="bottom"/>
            </w:pPr>
            <w:r>
              <w:rPr>
                <w:rFonts w:ascii="Arial" w:eastAsia="宋体" w:hAnsi="Arial" w:cs="Arial"/>
                <w:color w:val="000000"/>
                <w:sz w:val="17"/>
                <w:szCs w:val="17"/>
              </w:rPr>
              <w:t>6,952 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404"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405" w14:textId="77777777" w:rsidR="008E7A10" w:rsidRDefault="00E047B2">
            <w:pPr>
              <w:jc w:val="right"/>
              <w:textAlignment w:val="bottom"/>
            </w:pPr>
            <w:r>
              <w:rPr>
                <w:rFonts w:ascii="Arial" w:eastAsia="宋体" w:hAnsi="Arial" w:cs="Arial"/>
                <w:color w:val="000000"/>
                <w:sz w:val="17"/>
                <w:szCs w:val="17"/>
              </w:rPr>
              <w:t>35 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406" w14:textId="77777777" w:rsidR="008E7A10" w:rsidRDefault="008E7A10">
            <w:pPr>
              <w:jc w:val="right"/>
              <w:rPr>
                <w:rFonts w:ascii="宋体"/>
              </w:rPr>
            </w:pPr>
          </w:p>
        </w:tc>
      </w:tr>
      <w:tr w:rsidR="008E7A10" w14:paraId="746F041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408" w14:textId="77777777" w:rsidR="008E7A10" w:rsidRDefault="00E047B2">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40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40A" w14:textId="77777777" w:rsidR="008E7A10" w:rsidRDefault="00E047B2">
            <w:pPr>
              <w:jc w:val="right"/>
              <w:textAlignment w:val="bottom"/>
            </w:pPr>
            <w:r>
              <w:rPr>
                <w:rFonts w:ascii="Arial" w:eastAsia="宋体" w:hAnsi="Arial" w:cs="Arial"/>
                <w:b/>
                <w:bCs/>
                <w:color w:val="000000"/>
                <w:sz w:val="17"/>
                <w:szCs w:val="17"/>
              </w:rPr>
              <w:t>8,787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40B"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40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40D" w14:textId="77777777" w:rsidR="008E7A10" w:rsidRDefault="00E047B2">
            <w:pPr>
              <w:jc w:val="right"/>
              <w:textAlignment w:val="bottom"/>
            </w:pPr>
            <w:r>
              <w:rPr>
                <w:rFonts w:ascii="Arial" w:eastAsia="宋体" w:hAnsi="Arial" w:cs="Arial"/>
                <w:b/>
                <w:bCs/>
                <w:color w:val="000000"/>
                <w:sz w:val="17"/>
                <w:szCs w:val="17"/>
              </w:rPr>
              <w:t>8,348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40E"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40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410" w14:textId="77777777" w:rsidR="008E7A10" w:rsidRDefault="00E047B2">
            <w:pPr>
              <w:jc w:val="right"/>
              <w:textAlignment w:val="bottom"/>
            </w:pPr>
            <w:r>
              <w:rPr>
                <w:rFonts w:ascii="Arial" w:eastAsia="宋体" w:hAnsi="Arial" w:cs="Arial"/>
                <w:b/>
                <w:bCs/>
                <w:color w:val="000000"/>
                <w:sz w:val="17"/>
                <w:szCs w:val="17"/>
              </w:rPr>
              <w:t>439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411" w14:textId="77777777" w:rsidR="008E7A10" w:rsidRDefault="008E7A10">
            <w:pPr>
              <w:jc w:val="right"/>
              <w:rPr>
                <w:rFonts w:ascii="宋体"/>
              </w:rPr>
            </w:pPr>
          </w:p>
        </w:tc>
      </w:tr>
    </w:tbl>
    <w:p w14:paraId="746F0413" w14:textId="77777777" w:rsidR="008E7A10" w:rsidRDefault="00E047B2">
      <w:pPr>
        <w:spacing w:before="120" w:after="120"/>
      </w:pPr>
      <w:r>
        <w:rPr>
          <w:rFonts w:ascii="Arial" w:eastAsia="宋体" w:hAnsi="Arial" w:cs="Arial"/>
          <w:color w:val="000000"/>
          <w:sz w:val="17"/>
          <w:szCs w:val="17"/>
        </w:rPr>
        <w:t xml:space="preserve">As of November 30, 2020, the Company held $3,131 million of available-for-sale debt securities with maturity dates within one year and $46 million with maturity dates over one year and less than five years in </w:t>
      </w:r>
      <w:r>
        <w:rPr>
          <w:rFonts w:ascii="Arial" w:eastAsia="宋体" w:hAnsi="Arial" w:cs="Arial"/>
          <w:color w:val="000000"/>
          <w:sz w:val="17"/>
          <w:szCs w:val="17"/>
        </w:rPr>
        <w:t>Short-term investments on the Unaudited Condensed Consolidated Balance Sheets. The fair value of the Company's available-for-sale debt securities approximates their amortized cost.</w:t>
      </w:r>
    </w:p>
    <w:p w14:paraId="746F0414" w14:textId="77777777" w:rsidR="008E7A10" w:rsidRDefault="00E047B2">
      <w:pPr>
        <w:spacing w:before="120" w:after="120"/>
      </w:pPr>
      <w:r>
        <w:rPr>
          <w:rFonts w:ascii="Arial" w:eastAsia="宋体" w:hAnsi="Arial" w:cs="Arial"/>
          <w:color w:val="000000"/>
          <w:sz w:val="17"/>
          <w:szCs w:val="17"/>
        </w:rPr>
        <w:t>Included in</w:t>
      </w:r>
      <w:r>
        <w:rPr>
          <w:rFonts w:ascii="Arial" w:eastAsia="宋体" w:hAnsi="Arial" w:cs="Arial"/>
          <w:i/>
          <w:iCs/>
          <w:color w:val="000000"/>
          <w:sz w:val="17"/>
          <w:szCs w:val="17"/>
        </w:rPr>
        <w:t xml:space="preserve"> </w:t>
      </w:r>
      <w:r>
        <w:rPr>
          <w:rFonts w:ascii="Arial" w:eastAsia="宋体" w:hAnsi="Arial" w:cs="Arial"/>
          <w:color w:val="000000"/>
          <w:sz w:val="17"/>
          <w:szCs w:val="17"/>
        </w:rPr>
        <w:t>Interest expense (income), net was interest income related to t</w:t>
      </w:r>
      <w:r>
        <w:rPr>
          <w:rFonts w:ascii="Arial" w:eastAsia="宋体" w:hAnsi="Arial" w:cs="Arial"/>
          <w:color w:val="000000"/>
          <w:sz w:val="17"/>
          <w:szCs w:val="17"/>
        </w:rPr>
        <w:t>he Company's investment portfolio of $6 million and $14 million for the three months ended November 30, 2020 and 2019, respectively, and $13 million and $35 million for the six months ended November 30, 2020 and 2019, respectively.</w:t>
      </w:r>
    </w:p>
    <w:p w14:paraId="746F0415" w14:textId="77777777" w:rsidR="008E7A10" w:rsidRDefault="00E047B2">
      <w:pPr>
        <w:spacing w:before="120" w:after="120"/>
      </w:pPr>
      <w:r>
        <w:rPr>
          <w:rFonts w:ascii="Arial" w:eastAsia="宋体" w:hAnsi="Arial" w:cs="Arial"/>
          <w:color w:val="000000"/>
          <w:sz w:val="17"/>
          <w:szCs w:val="17"/>
        </w:rPr>
        <w:t>The following tables pre</w:t>
      </w:r>
      <w:r>
        <w:rPr>
          <w:rFonts w:ascii="Arial" w:eastAsia="宋体" w:hAnsi="Arial" w:cs="Arial"/>
          <w:color w:val="000000"/>
          <w:sz w:val="17"/>
          <w:szCs w:val="17"/>
        </w:rPr>
        <w:t>sent information about the Company's derivative assets and liabilities measured at fair value on a recurring basis and indicate the level in the fair value hierarchy in which the Company classifies the fair value measurement: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8E7A10" w14:paraId="746F042E" w14:textId="77777777">
        <w:tc>
          <w:tcPr>
            <w:tcW w:w="50" w:type="pct"/>
            <w:shd w:val="clear" w:color="auto" w:fill="auto"/>
          </w:tcPr>
          <w:p w14:paraId="746F0416" w14:textId="77777777" w:rsidR="008E7A10" w:rsidRDefault="008E7A10">
            <w:pPr>
              <w:rPr>
                <w:rFonts w:ascii="宋体"/>
              </w:rPr>
            </w:pPr>
          </w:p>
        </w:tc>
        <w:tc>
          <w:tcPr>
            <w:tcW w:w="2047" w:type="pct"/>
            <w:shd w:val="clear" w:color="auto" w:fill="auto"/>
          </w:tcPr>
          <w:p w14:paraId="746F0417" w14:textId="77777777" w:rsidR="008E7A10" w:rsidRDefault="008E7A10">
            <w:pPr>
              <w:rPr>
                <w:rFonts w:ascii="宋体"/>
              </w:rPr>
            </w:pPr>
          </w:p>
        </w:tc>
        <w:tc>
          <w:tcPr>
            <w:tcW w:w="5" w:type="pct"/>
            <w:shd w:val="clear" w:color="auto" w:fill="auto"/>
          </w:tcPr>
          <w:p w14:paraId="746F0418" w14:textId="77777777" w:rsidR="008E7A10" w:rsidRDefault="008E7A10">
            <w:pPr>
              <w:rPr>
                <w:rFonts w:ascii="宋体"/>
              </w:rPr>
            </w:pPr>
          </w:p>
        </w:tc>
        <w:tc>
          <w:tcPr>
            <w:tcW w:w="50" w:type="pct"/>
            <w:shd w:val="clear" w:color="auto" w:fill="auto"/>
          </w:tcPr>
          <w:p w14:paraId="746F0419" w14:textId="77777777" w:rsidR="008E7A10" w:rsidRDefault="008E7A10">
            <w:pPr>
              <w:rPr>
                <w:rFonts w:ascii="宋体"/>
              </w:rPr>
            </w:pPr>
          </w:p>
        </w:tc>
        <w:tc>
          <w:tcPr>
            <w:tcW w:w="408" w:type="pct"/>
            <w:shd w:val="clear" w:color="auto" w:fill="auto"/>
          </w:tcPr>
          <w:p w14:paraId="746F041A" w14:textId="77777777" w:rsidR="008E7A10" w:rsidRDefault="008E7A10">
            <w:pPr>
              <w:rPr>
                <w:rFonts w:ascii="宋体"/>
              </w:rPr>
            </w:pPr>
          </w:p>
        </w:tc>
        <w:tc>
          <w:tcPr>
            <w:tcW w:w="5" w:type="pct"/>
            <w:shd w:val="clear" w:color="auto" w:fill="auto"/>
          </w:tcPr>
          <w:p w14:paraId="746F041B" w14:textId="77777777" w:rsidR="008E7A10" w:rsidRDefault="008E7A10">
            <w:pPr>
              <w:rPr>
                <w:rFonts w:ascii="宋体"/>
              </w:rPr>
            </w:pPr>
          </w:p>
        </w:tc>
        <w:tc>
          <w:tcPr>
            <w:tcW w:w="50" w:type="pct"/>
            <w:shd w:val="clear" w:color="auto" w:fill="auto"/>
          </w:tcPr>
          <w:p w14:paraId="746F041C" w14:textId="77777777" w:rsidR="008E7A10" w:rsidRDefault="008E7A10">
            <w:pPr>
              <w:rPr>
                <w:rFonts w:ascii="宋体"/>
              </w:rPr>
            </w:pPr>
          </w:p>
        </w:tc>
        <w:tc>
          <w:tcPr>
            <w:tcW w:w="408" w:type="pct"/>
            <w:shd w:val="clear" w:color="auto" w:fill="auto"/>
          </w:tcPr>
          <w:p w14:paraId="746F041D" w14:textId="77777777" w:rsidR="008E7A10" w:rsidRDefault="008E7A10">
            <w:pPr>
              <w:rPr>
                <w:rFonts w:ascii="宋体"/>
              </w:rPr>
            </w:pPr>
          </w:p>
        </w:tc>
        <w:tc>
          <w:tcPr>
            <w:tcW w:w="5" w:type="pct"/>
            <w:shd w:val="clear" w:color="auto" w:fill="auto"/>
          </w:tcPr>
          <w:p w14:paraId="746F041E" w14:textId="77777777" w:rsidR="008E7A10" w:rsidRDefault="008E7A10">
            <w:pPr>
              <w:rPr>
                <w:rFonts w:ascii="宋体"/>
              </w:rPr>
            </w:pPr>
          </w:p>
        </w:tc>
        <w:tc>
          <w:tcPr>
            <w:tcW w:w="50" w:type="pct"/>
            <w:shd w:val="clear" w:color="auto" w:fill="auto"/>
          </w:tcPr>
          <w:p w14:paraId="746F041F" w14:textId="77777777" w:rsidR="008E7A10" w:rsidRDefault="008E7A10">
            <w:pPr>
              <w:rPr>
                <w:rFonts w:ascii="宋体"/>
              </w:rPr>
            </w:pPr>
          </w:p>
        </w:tc>
        <w:tc>
          <w:tcPr>
            <w:tcW w:w="447" w:type="pct"/>
            <w:shd w:val="clear" w:color="auto" w:fill="auto"/>
          </w:tcPr>
          <w:p w14:paraId="746F0420" w14:textId="77777777" w:rsidR="008E7A10" w:rsidRDefault="008E7A10">
            <w:pPr>
              <w:rPr>
                <w:rFonts w:ascii="宋体"/>
              </w:rPr>
            </w:pPr>
          </w:p>
        </w:tc>
        <w:tc>
          <w:tcPr>
            <w:tcW w:w="5" w:type="pct"/>
            <w:shd w:val="clear" w:color="auto" w:fill="auto"/>
          </w:tcPr>
          <w:p w14:paraId="746F0421" w14:textId="77777777" w:rsidR="008E7A10" w:rsidRDefault="008E7A10">
            <w:pPr>
              <w:rPr>
                <w:rFonts w:ascii="宋体"/>
              </w:rPr>
            </w:pPr>
          </w:p>
        </w:tc>
        <w:tc>
          <w:tcPr>
            <w:tcW w:w="5" w:type="pct"/>
            <w:shd w:val="clear" w:color="auto" w:fill="auto"/>
          </w:tcPr>
          <w:p w14:paraId="746F0422" w14:textId="77777777" w:rsidR="008E7A10" w:rsidRDefault="008E7A10">
            <w:pPr>
              <w:rPr>
                <w:rFonts w:ascii="宋体"/>
              </w:rPr>
            </w:pPr>
          </w:p>
        </w:tc>
        <w:tc>
          <w:tcPr>
            <w:tcW w:w="28" w:type="pct"/>
            <w:shd w:val="clear" w:color="auto" w:fill="auto"/>
          </w:tcPr>
          <w:p w14:paraId="746F0423" w14:textId="77777777" w:rsidR="008E7A10" w:rsidRDefault="008E7A10">
            <w:pPr>
              <w:rPr>
                <w:rFonts w:ascii="宋体"/>
              </w:rPr>
            </w:pPr>
          </w:p>
        </w:tc>
        <w:tc>
          <w:tcPr>
            <w:tcW w:w="5" w:type="pct"/>
            <w:shd w:val="clear" w:color="auto" w:fill="auto"/>
          </w:tcPr>
          <w:p w14:paraId="746F0424" w14:textId="77777777" w:rsidR="008E7A10" w:rsidRDefault="008E7A10">
            <w:pPr>
              <w:rPr>
                <w:rFonts w:ascii="宋体"/>
              </w:rPr>
            </w:pPr>
          </w:p>
        </w:tc>
        <w:tc>
          <w:tcPr>
            <w:tcW w:w="50" w:type="pct"/>
            <w:shd w:val="clear" w:color="auto" w:fill="auto"/>
          </w:tcPr>
          <w:p w14:paraId="746F0425" w14:textId="77777777" w:rsidR="008E7A10" w:rsidRDefault="008E7A10">
            <w:pPr>
              <w:rPr>
                <w:rFonts w:ascii="宋体"/>
              </w:rPr>
            </w:pPr>
          </w:p>
        </w:tc>
        <w:tc>
          <w:tcPr>
            <w:tcW w:w="408" w:type="pct"/>
            <w:shd w:val="clear" w:color="auto" w:fill="auto"/>
          </w:tcPr>
          <w:p w14:paraId="746F0426" w14:textId="77777777" w:rsidR="008E7A10" w:rsidRDefault="008E7A10">
            <w:pPr>
              <w:rPr>
                <w:rFonts w:ascii="宋体"/>
              </w:rPr>
            </w:pPr>
          </w:p>
        </w:tc>
        <w:tc>
          <w:tcPr>
            <w:tcW w:w="5" w:type="pct"/>
            <w:shd w:val="clear" w:color="auto" w:fill="auto"/>
          </w:tcPr>
          <w:p w14:paraId="746F0427" w14:textId="77777777" w:rsidR="008E7A10" w:rsidRDefault="008E7A10">
            <w:pPr>
              <w:rPr>
                <w:rFonts w:ascii="宋体"/>
              </w:rPr>
            </w:pPr>
          </w:p>
        </w:tc>
        <w:tc>
          <w:tcPr>
            <w:tcW w:w="50" w:type="pct"/>
            <w:shd w:val="clear" w:color="auto" w:fill="auto"/>
          </w:tcPr>
          <w:p w14:paraId="746F0428" w14:textId="77777777" w:rsidR="008E7A10" w:rsidRDefault="008E7A10">
            <w:pPr>
              <w:rPr>
                <w:rFonts w:ascii="宋体"/>
              </w:rPr>
            </w:pPr>
          </w:p>
        </w:tc>
        <w:tc>
          <w:tcPr>
            <w:tcW w:w="408" w:type="pct"/>
            <w:shd w:val="clear" w:color="auto" w:fill="auto"/>
          </w:tcPr>
          <w:p w14:paraId="746F0429" w14:textId="77777777" w:rsidR="008E7A10" w:rsidRDefault="008E7A10">
            <w:pPr>
              <w:rPr>
                <w:rFonts w:ascii="宋体"/>
              </w:rPr>
            </w:pPr>
          </w:p>
        </w:tc>
        <w:tc>
          <w:tcPr>
            <w:tcW w:w="5" w:type="pct"/>
            <w:shd w:val="clear" w:color="auto" w:fill="auto"/>
          </w:tcPr>
          <w:p w14:paraId="746F042A" w14:textId="77777777" w:rsidR="008E7A10" w:rsidRDefault="008E7A10">
            <w:pPr>
              <w:rPr>
                <w:rFonts w:ascii="宋体"/>
              </w:rPr>
            </w:pPr>
          </w:p>
        </w:tc>
        <w:tc>
          <w:tcPr>
            <w:tcW w:w="50" w:type="pct"/>
            <w:shd w:val="clear" w:color="auto" w:fill="auto"/>
          </w:tcPr>
          <w:p w14:paraId="746F042B" w14:textId="77777777" w:rsidR="008E7A10" w:rsidRDefault="008E7A10">
            <w:pPr>
              <w:rPr>
                <w:rFonts w:ascii="宋体"/>
              </w:rPr>
            </w:pPr>
          </w:p>
        </w:tc>
        <w:tc>
          <w:tcPr>
            <w:tcW w:w="447" w:type="pct"/>
            <w:shd w:val="clear" w:color="auto" w:fill="auto"/>
          </w:tcPr>
          <w:p w14:paraId="746F042C" w14:textId="77777777" w:rsidR="008E7A10" w:rsidRDefault="008E7A10">
            <w:pPr>
              <w:rPr>
                <w:rFonts w:ascii="宋体"/>
              </w:rPr>
            </w:pPr>
          </w:p>
        </w:tc>
        <w:tc>
          <w:tcPr>
            <w:tcW w:w="5" w:type="pct"/>
            <w:shd w:val="clear" w:color="auto" w:fill="auto"/>
          </w:tcPr>
          <w:p w14:paraId="746F042D" w14:textId="77777777" w:rsidR="008E7A10" w:rsidRDefault="008E7A10">
            <w:pPr>
              <w:rPr>
                <w:rFonts w:ascii="宋体"/>
              </w:rPr>
            </w:pPr>
          </w:p>
        </w:tc>
      </w:tr>
      <w:tr w:rsidR="008E7A10" w14:paraId="746F0431" w14:textId="77777777">
        <w:tc>
          <w:tcPr>
            <w:tcW w:w="0" w:type="auto"/>
            <w:gridSpan w:val="3"/>
            <w:shd w:val="clear" w:color="auto" w:fill="auto"/>
            <w:tcMar>
              <w:top w:w="0" w:type="dxa"/>
              <w:left w:w="20" w:type="dxa"/>
              <w:bottom w:w="0" w:type="dxa"/>
              <w:right w:w="20" w:type="dxa"/>
            </w:tcMar>
          </w:tcPr>
          <w:p w14:paraId="746F042F" w14:textId="77777777" w:rsidR="008E7A10" w:rsidRDefault="008E7A10">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746F0430" w14:textId="77777777" w:rsidR="008E7A10" w:rsidRDefault="00E047B2">
            <w:pPr>
              <w:jc w:val="center"/>
              <w:textAlignment w:val="bottom"/>
            </w:pPr>
            <w:r>
              <w:rPr>
                <w:rFonts w:ascii="sans-serif" w:eastAsia="sans-serif" w:hAnsi="sans-serif" w:cs="sans-serif"/>
                <w:b/>
                <w:bCs/>
                <w:color w:val="000000"/>
                <w:sz w:val="17"/>
                <w:szCs w:val="17"/>
              </w:rPr>
              <w:t>NOVEMBER 30, 2020</w:t>
            </w:r>
          </w:p>
        </w:tc>
      </w:tr>
      <w:tr w:rsidR="008E7A10" w14:paraId="746F0436" w14:textId="77777777">
        <w:tc>
          <w:tcPr>
            <w:tcW w:w="0" w:type="auto"/>
            <w:gridSpan w:val="3"/>
            <w:shd w:val="clear" w:color="auto" w:fill="auto"/>
            <w:tcMar>
              <w:top w:w="0" w:type="dxa"/>
              <w:left w:w="20" w:type="dxa"/>
              <w:bottom w:w="0" w:type="dxa"/>
              <w:right w:w="20" w:type="dxa"/>
            </w:tcMar>
          </w:tcPr>
          <w:p w14:paraId="746F0432" w14:textId="77777777" w:rsidR="008E7A10" w:rsidRDefault="008E7A10">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46F0433" w14:textId="77777777" w:rsidR="008E7A10" w:rsidRDefault="00E047B2">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tcPr>
          <w:p w14:paraId="746F0434" w14:textId="77777777" w:rsidR="008E7A10" w:rsidRDefault="008E7A10">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46F0435" w14:textId="77777777" w:rsidR="008E7A10" w:rsidRDefault="00E047B2">
            <w:pPr>
              <w:jc w:val="center"/>
              <w:textAlignment w:val="bottom"/>
            </w:pPr>
            <w:r>
              <w:rPr>
                <w:rFonts w:ascii="sans-serif" w:eastAsia="sans-serif" w:hAnsi="sans-serif" w:cs="sans-serif"/>
                <w:b/>
                <w:bCs/>
                <w:color w:val="000000"/>
                <w:sz w:val="17"/>
                <w:szCs w:val="17"/>
              </w:rPr>
              <w:t>DERIVATIVE LIABILITIES</w:t>
            </w:r>
          </w:p>
        </w:tc>
      </w:tr>
      <w:tr w:rsidR="008E7A10" w14:paraId="746F043F" w14:textId="77777777">
        <w:tc>
          <w:tcPr>
            <w:tcW w:w="0" w:type="auto"/>
            <w:gridSpan w:val="3"/>
            <w:shd w:val="clear" w:color="auto" w:fill="auto"/>
            <w:tcMar>
              <w:top w:w="40" w:type="dxa"/>
              <w:left w:w="20" w:type="dxa"/>
              <w:bottom w:w="40" w:type="dxa"/>
              <w:right w:w="20" w:type="dxa"/>
            </w:tcMar>
            <w:vAlign w:val="bottom"/>
          </w:tcPr>
          <w:p w14:paraId="746F0437"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38" w14:textId="77777777" w:rsidR="008E7A10" w:rsidRDefault="00E047B2">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39" w14:textId="77777777" w:rsidR="008E7A10" w:rsidRDefault="00E047B2">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3A" w14:textId="77777777" w:rsidR="008E7A10" w:rsidRDefault="00E047B2">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tcPr>
          <w:p w14:paraId="746F043B"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3C" w14:textId="77777777" w:rsidR="008E7A10" w:rsidRDefault="00E047B2">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3D" w14:textId="77777777" w:rsidR="008E7A10" w:rsidRDefault="00E047B2">
            <w:pPr>
              <w:jc w:val="right"/>
              <w:textAlignment w:val="bottom"/>
            </w:pPr>
            <w:r>
              <w:rPr>
                <w:rFonts w:ascii="sans-serif" w:eastAsia="sans-serif" w:hAnsi="sans-serif" w:cs="sans-serif"/>
                <w:b/>
                <w:bCs/>
                <w:color w:val="000000"/>
                <w:sz w:val="17"/>
                <w:szCs w:val="17"/>
              </w:rPr>
              <w:t>ACCRUED 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3E" w14:textId="77777777" w:rsidR="008E7A10" w:rsidRDefault="00E047B2">
            <w:pPr>
              <w:jc w:val="right"/>
              <w:textAlignment w:val="bottom"/>
            </w:pPr>
            <w:r>
              <w:rPr>
                <w:rFonts w:ascii="sans-serif" w:eastAsia="sans-serif" w:hAnsi="sans-serif" w:cs="sans-serif"/>
                <w:b/>
                <w:bCs/>
                <w:color w:val="000000"/>
                <w:sz w:val="17"/>
                <w:szCs w:val="17"/>
              </w:rPr>
              <w:t xml:space="preserve">OTHER </w:t>
            </w:r>
            <w:r>
              <w:rPr>
                <w:rFonts w:ascii="sans-serif" w:eastAsia="sans-serif" w:hAnsi="sans-serif" w:cs="sans-serif"/>
                <w:b/>
                <w:bCs/>
                <w:color w:val="000000"/>
                <w:sz w:val="17"/>
                <w:szCs w:val="17"/>
              </w:rPr>
              <w:t>LONG-TERM LIABILITIES</w:t>
            </w:r>
          </w:p>
        </w:tc>
      </w:tr>
      <w:tr w:rsidR="008E7A10" w14:paraId="746F044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40" w14:textId="77777777" w:rsidR="008E7A10" w:rsidRDefault="00E047B2">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FFF1E7"/>
            <w:tcMar>
              <w:top w:w="0" w:type="dxa"/>
              <w:left w:w="20" w:type="dxa"/>
              <w:bottom w:w="0" w:type="dxa"/>
              <w:right w:w="20" w:type="dxa"/>
            </w:tcMar>
          </w:tcPr>
          <w:p w14:paraId="746F0441"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442"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443"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444"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445"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446"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447" w14:textId="77777777" w:rsidR="008E7A10" w:rsidRDefault="008E7A10">
            <w:pPr>
              <w:rPr>
                <w:rFonts w:ascii="宋体"/>
              </w:rPr>
            </w:pPr>
          </w:p>
        </w:tc>
      </w:tr>
      <w:tr w:rsidR="008E7A10" w14:paraId="746F045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449" w14:textId="77777777" w:rsidR="008E7A10" w:rsidRDefault="00E047B2">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9"/>
                <w:szCs w:val="9"/>
              </w:rPr>
              <w:t>(1)</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44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44B" w14:textId="77777777" w:rsidR="008E7A10" w:rsidRDefault="00E047B2">
            <w:pPr>
              <w:jc w:val="right"/>
              <w:textAlignment w:val="bottom"/>
            </w:pPr>
            <w:r>
              <w:rPr>
                <w:rFonts w:ascii="Arial" w:eastAsia="宋体" w:hAnsi="Arial" w:cs="Arial"/>
                <w:color w:val="000000"/>
                <w:sz w:val="17"/>
                <w:szCs w:val="17"/>
              </w:rPr>
              <w:t>30 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4C"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44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44E" w14:textId="77777777" w:rsidR="008E7A10" w:rsidRDefault="00E047B2">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4F"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45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451"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52"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453"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45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455" w14:textId="77777777" w:rsidR="008E7A10" w:rsidRDefault="00E047B2">
            <w:pPr>
              <w:jc w:val="right"/>
              <w:textAlignment w:val="bottom"/>
            </w:pPr>
            <w:r>
              <w:rPr>
                <w:rFonts w:ascii="Arial" w:eastAsia="宋体" w:hAnsi="Arial" w:cs="Arial"/>
                <w:color w:val="000000"/>
                <w:sz w:val="17"/>
                <w:szCs w:val="17"/>
              </w:rPr>
              <w:t>579 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56"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45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458" w14:textId="77777777" w:rsidR="008E7A10" w:rsidRDefault="00E047B2">
            <w:pPr>
              <w:jc w:val="right"/>
              <w:textAlignment w:val="bottom"/>
            </w:pPr>
            <w:r>
              <w:rPr>
                <w:rFonts w:ascii="Arial" w:eastAsia="宋体" w:hAnsi="Arial" w:cs="Arial"/>
                <w:color w:val="000000"/>
                <w:sz w:val="17"/>
                <w:szCs w:val="17"/>
              </w:rPr>
              <w:t>480 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59"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45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45B" w14:textId="77777777" w:rsidR="008E7A10" w:rsidRDefault="00E047B2">
            <w:pPr>
              <w:jc w:val="right"/>
              <w:textAlignment w:val="bottom"/>
            </w:pPr>
            <w:r>
              <w:rPr>
                <w:rFonts w:ascii="Arial" w:eastAsia="宋体" w:hAnsi="Arial" w:cs="Arial"/>
                <w:color w:val="000000"/>
                <w:sz w:val="17"/>
                <w:szCs w:val="17"/>
              </w:rPr>
              <w:t>99 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5C" w14:textId="77777777" w:rsidR="008E7A10" w:rsidRDefault="008E7A10">
            <w:pPr>
              <w:jc w:val="right"/>
              <w:rPr>
                <w:rFonts w:ascii="宋体"/>
              </w:rPr>
            </w:pPr>
          </w:p>
        </w:tc>
      </w:tr>
      <w:tr w:rsidR="008E7A10" w14:paraId="746F046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45E" w14:textId="77777777" w:rsidR="008E7A10" w:rsidRDefault="00E047B2">
            <w:pPr>
              <w:textAlignment w:val="bottom"/>
            </w:pPr>
            <w:r>
              <w:rPr>
                <w:rFonts w:ascii="Arial" w:eastAsia="宋体" w:hAnsi="Arial" w:cs="Arial"/>
                <w:color w:val="000000"/>
                <w:sz w:val="17"/>
                <w:szCs w:val="17"/>
              </w:rPr>
              <w:t>Embedded derivatives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45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60"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461"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62"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463"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64" w14:textId="77777777" w:rsidR="008E7A10" w:rsidRDefault="008E7A10">
            <w:pPr>
              <w:jc w:val="right"/>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465"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466"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67"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468"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69"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46A"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46B" w14:textId="77777777" w:rsidR="008E7A10" w:rsidRDefault="008E7A10">
            <w:pPr>
              <w:jc w:val="right"/>
              <w:rPr>
                <w:rFonts w:ascii="宋体"/>
              </w:rPr>
            </w:pPr>
          </w:p>
        </w:tc>
      </w:tr>
      <w:tr w:rsidR="008E7A10" w14:paraId="746F048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46D" w14:textId="77777777" w:rsidR="008E7A10" w:rsidRDefault="00E047B2">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46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46F" w14:textId="77777777" w:rsidR="008E7A10" w:rsidRDefault="00E047B2">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470"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47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472" w14:textId="77777777" w:rsidR="008E7A10" w:rsidRDefault="00E047B2">
            <w:pPr>
              <w:jc w:val="right"/>
              <w:textAlignment w:val="bottom"/>
            </w:pPr>
            <w:r>
              <w:rPr>
                <w:rFonts w:ascii="Arial" w:eastAsia="宋体" w:hAnsi="Arial" w:cs="Arial"/>
                <w:b/>
                <w:bCs/>
                <w:color w:val="000000"/>
                <w:sz w:val="17"/>
                <w:szCs w:val="17"/>
              </w:rPr>
              <w:t>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473"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47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475"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476"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tcPr>
          <w:p w14:paraId="746F0477"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47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479" w14:textId="77777777" w:rsidR="008E7A10" w:rsidRDefault="00E047B2">
            <w:pPr>
              <w:jc w:val="right"/>
              <w:textAlignment w:val="bottom"/>
            </w:pPr>
            <w:r>
              <w:rPr>
                <w:rFonts w:ascii="Arial" w:eastAsia="宋体" w:hAnsi="Arial" w:cs="Arial"/>
                <w:b/>
                <w:bCs/>
                <w:color w:val="000000"/>
                <w:sz w:val="17"/>
                <w:szCs w:val="17"/>
              </w:rPr>
              <w:t>584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47A"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47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47C" w14:textId="77777777" w:rsidR="008E7A10" w:rsidRDefault="00E047B2">
            <w:pPr>
              <w:jc w:val="right"/>
              <w:textAlignment w:val="bottom"/>
            </w:pPr>
            <w:r>
              <w:rPr>
                <w:rFonts w:ascii="Arial" w:eastAsia="宋体" w:hAnsi="Arial" w:cs="Arial"/>
                <w:b/>
                <w:bCs/>
                <w:color w:val="000000"/>
                <w:sz w:val="17"/>
                <w:szCs w:val="17"/>
              </w:rPr>
              <w:t>485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47D"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47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47F" w14:textId="77777777" w:rsidR="008E7A10" w:rsidRDefault="00E047B2">
            <w:pPr>
              <w:jc w:val="right"/>
              <w:textAlignment w:val="bottom"/>
            </w:pPr>
            <w:r>
              <w:rPr>
                <w:rFonts w:ascii="Arial" w:eastAsia="宋体" w:hAnsi="Arial" w:cs="Arial"/>
                <w:b/>
                <w:bCs/>
                <w:color w:val="000000"/>
                <w:sz w:val="17"/>
                <w:szCs w:val="17"/>
              </w:rPr>
              <w:t>99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480" w14:textId="77777777" w:rsidR="008E7A10" w:rsidRDefault="008E7A10">
            <w:pPr>
              <w:jc w:val="right"/>
              <w:rPr>
                <w:rFonts w:ascii="宋体"/>
              </w:rPr>
            </w:pPr>
          </w:p>
        </w:tc>
      </w:tr>
    </w:tbl>
    <w:p w14:paraId="746F0482" w14:textId="77777777" w:rsidR="008E7A10" w:rsidRDefault="00E047B2">
      <w:pPr>
        <w:spacing w:before="60" w:after="60"/>
        <w:ind w:hanging="360"/>
      </w:pPr>
      <w:r>
        <w:rPr>
          <w:rFonts w:ascii="Arial" w:eastAsia="宋体" w:hAnsi="Arial" w:cs="Arial"/>
          <w:i/>
          <w:iCs/>
          <w:color w:val="000000"/>
          <w:sz w:val="14"/>
          <w:szCs w:val="14"/>
        </w:rPr>
        <w:t>(1)If the foreign exchange derivative instruments had been netted on th</w:t>
      </w:r>
      <w:r>
        <w:rPr>
          <w:rFonts w:ascii="Arial" w:eastAsia="宋体" w:hAnsi="Arial" w:cs="Arial"/>
          <w:i/>
          <w:iCs/>
          <w:color w:val="000000"/>
          <w:sz w:val="14"/>
          <w:szCs w:val="14"/>
        </w:rPr>
        <w:t>e Unaudited Condensed Consolidated Balance Sheets, the asset and liability positions each would have been reduced by $30 million as of November 30, 2020. As of that date, the Company had posted $170 million of cash collateral to various counterparties rela</w:t>
      </w:r>
      <w:r>
        <w:rPr>
          <w:rFonts w:ascii="Arial" w:eastAsia="宋体" w:hAnsi="Arial" w:cs="Arial"/>
          <w:i/>
          <w:iCs/>
          <w:color w:val="000000"/>
          <w:sz w:val="14"/>
          <w:szCs w:val="14"/>
        </w:rPr>
        <w:t xml:space="preserve">ted to foreign exchange derivative instruments. No amount of collateral was received on the Company's derivative asset balance as of November 30, 2020. </w:t>
      </w:r>
    </w:p>
    <w:p w14:paraId="746F0483" w14:textId="77777777" w:rsidR="008E7A10" w:rsidRDefault="00E047B2">
      <w:pPr>
        <w:spacing w:before="120" w:after="120"/>
        <w:jc w:val="right"/>
      </w:pPr>
      <w:r>
        <w:rPr>
          <w:rFonts w:ascii="Arial" w:eastAsia="宋体" w:hAnsi="Arial" w:cs="Arial"/>
          <w:color w:val="E87722"/>
          <w:sz w:val="17"/>
          <w:szCs w:val="17"/>
        </w:rPr>
        <w:t>9</w:t>
      </w:r>
    </w:p>
    <w:p w14:paraId="746F0484" w14:textId="77777777" w:rsidR="008E7A10" w:rsidRDefault="00E047B2">
      <w:r>
        <w:pict w14:anchorId="746F2011">
          <v:rect id="_x0000_i1035" style="width:415.3pt;height:1.5pt" o:hralign="center" o:hrstd="t" o:hr="t" fillcolor="#a0a0a0" stroked="f"/>
        </w:pict>
      </w:r>
    </w:p>
    <w:p w14:paraId="746F0485" w14:textId="77777777" w:rsidR="008E7A10" w:rsidRDefault="008E7A10"/>
    <w:p w14:paraId="746F0486" w14:textId="77777777" w:rsidR="008E7A10" w:rsidRDefault="00E047B2">
      <w:hyperlink r:id="rId80" w:anchor="i31a624617c6c41b38f8f700fa0df5bde_7" w:history="1">
        <w:r>
          <w:rPr>
            <w:rStyle w:val="a5"/>
            <w:rFonts w:ascii="sans-serif" w:eastAsia="sans-serif" w:hAnsi="sans-serif" w:cs="sans-serif"/>
            <w:sz w:val="17"/>
            <w:szCs w:val="17"/>
          </w:rPr>
          <w:t>Table of Contents</w:t>
        </w:r>
      </w:hyperlink>
    </w:p>
    <w:p w14:paraId="746F0487" w14:textId="77777777" w:rsidR="008E7A10" w:rsidRDefault="008E7A10"/>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8E7A10" w14:paraId="746F04A0" w14:textId="77777777">
        <w:tc>
          <w:tcPr>
            <w:tcW w:w="50" w:type="pct"/>
            <w:shd w:val="clear" w:color="auto" w:fill="auto"/>
          </w:tcPr>
          <w:p w14:paraId="746F0488" w14:textId="77777777" w:rsidR="008E7A10" w:rsidRDefault="008E7A10">
            <w:pPr>
              <w:rPr>
                <w:rFonts w:ascii="宋体"/>
              </w:rPr>
            </w:pPr>
          </w:p>
        </w:tc>
        <w:tc>
          <w:tcPr>
            <w:tcW w:w="2047" w:type="pct"/>
            <w:shd w:val="clear" w:color="auto" w:fill="auto"/>
          </w:tcPr>
          <w:p w14:paraId="746F0489" w14:textId="77777777" w:rsidR="008E7A10" w:rsidRDefault="008E7A10">
            <w:pPr>
              <w:rPr>
                <w:rFonts w:ascii="宋体"/>
              </w:rPr>
            </w:pPr>
          </w:p>
        </w:tc>
        <w:tc>
          <w:tcPr>
            <w:tcW w:w="5" w:type="pct"/>
            <w:shd w:val="clear" w:color="auto" w:fill="auto"/>
          </w:tcPr>
          <w:p w14:paraId="746F048A" w14:textId="77777777" w:rsidR="008E7A10" w:rsidRDefault="008E7A10">
            <w:pPr>
              <w:rPr>
                <w:rFonts w:ascii="宋体"/>
              </w:rPr>
            </w:pPr>
          </w:p>
        </w:tc>
        <w:tc>
          <w:tcPr>
            <w:tcW w:w="50" w:type="pct"/>
            <w:shd w:val="clear" w:color="auto" w:fill="auto"/>
          </w:tcPr>
          <w:p w14:paraId="746F048B" w14:textId="77777777" w:rsidR="008E7A10" w:rsidRDefault="008E7A10">
            <w:pPr>
              <w:rPr>
                <w:rFonts w:ascii="宋体"/>
              </w:rPr>
            </w:pPr>
          </w:p>
        </w:tc>
        <w:tc>
          <w:tcPr>
            <w:tcW w:w="408" w:type="pct"/>
            <w:shd w:val="clear" w:color="auto" w:fill="auto"/>
          </w:tcPr>
          <w:p w14:paraId="746F048C" w14:textId="77777777" w:rsidR="008E7A10" w:rsidRDefault="008E7A10">
            <w:pPr>
              <w:rPr>
                <w:rFonts w:ascii="宋体"/>
              </w:rPr>
            </w:pPr>
          </w:p>
        </w:tc>
        <w:tc>
          <w:tcPr>
            <w:tcW w:w="5" w:type="pct"/>
            <w:shd w:val="clear" w:color="auto" w:fill="auto"/>
          </w:tcPr>
          <w:p w14:paraId="746F048D" w14:textId="77777777" w:rsidR="008E7A10" w:rsidRDefault="008E7A10">
            <w:pPr>
              <w:rPr>
                <w:rFonts w:ascii="宋体"/>
              </w:rPr>
            </w:pPr>
          </w:p>
        </w:tc>
        <w:tc>
          <w:tcPr>
            <w:tcW w:w="50" w:type="pct"/>
            <w:shd w:val="clear" w:color="auto" w:fill="auto"/>
          </w:tcPr>
          <w:p w14:paraId="746F048E" w14:textId="77777777" w:rsidR="008E7A10" w:rsidRDefault="008E7A10">
            <w:pPr>
              <w:rPr>
                <w:rFonts w:ascii="宋体"/>
              </w:rPr>
            </w:pPr>
          </w:p>
        </w:tc>
        <w:tc>
          <w:tcPr>
            <w:tcW w:w="408" w:type="pct"/>
            <w:shd w:val="clear" w:color="auto" w:fill="auto"/>
          </w:tcPr>
          <w:p w14:paraId="746F048F" w14:textId="77777777" w:rsidR="008E7A10" w:rsidRDefault="008E7A10">
            <w:pPr>
              <w:rPr>
                <w:rFonts w:ascii="宋体"/>
              </w:rPr>
            </w:pPr>
          </w:p>
        </w:tc>
        <w:tc>
          <w:tcPr>
            <w:tcW w:w="5" w:type="pct"/>
            <w:shd w:val="clear" w:color="auto" w:fill="auto"/>
          </w:tcPr>
          <w:p w14:paraId="746F0490" w14:textId="77777777" w:rsidR="008E7A10" w:rsidRDefault="008E7A10">
            <w:pPr>
              <w:rPr>
                <w:rFonts w:ascii="宋体"/>
              </w:rPr>
            </w:pPr>
          </w:p>
        </w:tc>
        <w:tc>
          <w:tcPr>
            <w:tcW w:w="50" w:type="pct"/>
            <w:shd w:val="clear" w:color="auto" w:fill="auto"/>
          </w:tcPr>
          <w:p w14:paraId="746F0491" w14:textId="77777777" w:rsidR="008E7A10" w:rsidRDefault="008E7A10">
            <w:pPr>
              <w:rPr>
                <w:rFonts w:ascii="宋体"/>
              </w:rPr>
            </w:pPr>
          </w:p>
        </w:tc>
        <w:tc>
          <w:tcPr>
            <w:tcW w:w="447" w:type="pct"/>
            <w:shd w:val="clear" w:color="auto" w:fill="auto"/>
          </w:tcPr>
          <w:p w14:paraId="746F0492" w14:textId="77777777" w:rsidR="008E7A10" w:rsidRDefault="008E7A10">
            <w:pPr>
              <w:rPr>
                <w:rFonts w:ascii="宋体"/>
              </w:rPr>
            </w:pPr>
          </w:p>
        </w:tc>
        <w:tc>
          <w:tcPr>
            <w:tcW w:w="5" w:type="pct"/>
            <w:shd w:val="clear" w:color="auto" w:fill="auto"/>
          </w:tcPr>
          <w:p w14:paraId="746F0493" w14:textId="77777777" w:rsidR="008E7A10" w:rsidRDefault="008E7A10">
            <w:pPr>
              <w:rPr>
                <w:rFonts w:ascii="宋体"/>
              </w:rPr>
            </w:pPr>
          </w:p>
        </w:tc>
        <w:tc>
          <w:tcPr>
            <w:tcW w:w="5" w:type="pct"/>
            <w:shd w:val="clear" w:color="auto" w:fill="auto"/>
          </w:tcPr>
          <w:p w14:paraId="746F0494" w14:textId="77777777" w:rsidR="008E7A10" w:rsidRDefault="008E7A10">
            <w:pPr>
              <w:rPr>
                <w:rFonts w:ascii="宋体"/>
              </w:rPr>
            </w:pPr>
          </w:p>
        </w:tc>
        <w:tc>
          <w:tcPr>
            <w:tcW w:w="28" w:type="pct"/>
            <w:shd w:val="clear" w:color="auto" w:fill="auto"/>
          </w:tcPr>
          <w:p w14:paraId="746F0495" w14:textId="77777777" w:rsidR="008E7A10" w:rsidRDefault="008E7A10">
            <w:pPr>
              <w:rPr>
                <w:rFonts w:ascii="宋体"/>
              </w:rPr>
            </w:pPr>
          </w:p>
        </w:tc>
        <w:tc>
          <w:tcPr>
            <w:tcW w:w="5" w:type="pct"/>
            <w:shd w:val="clear" w:color="auto" w:fill="auto"/>
          </w:tcPr>
          <w:p w14:paraId="746F0496" w14:textId="77777777" w:rsidR="008E7A10" w:rsidRDefault="008E7A10">
            <w:pPr>
              <w:rPr>
                <w:rFonts w:ascii="宋体"/>
              </w:rPr>
            </w:pPr>
          </w:p>
        </w:tc>
        <w:tc>
          <w:tcPr>
            <w:tcW w:w="50" w:type="pct"/>
            <w:shd w:val="clear" w:color="auto" w:fill="auto"/>
          </w:tcPr>
          <w:p w14:paraId="746F0497" w14:textId="77777777" w:rsidR="008E7A10" w:rsidRDefault="008E7A10">
            <w:pPr>
              <w:rPr>
                <w:rFonts w:ascii="宋体"/>
              </w:rPr>
            </w:pPr>
          </w:p>
        </w:tc>
        <w:tc>
          <w:tcPr>
            <w:tcW w:w="408" w:type="pct"/>
            <w:shd w:val="clear" w:color="auto" w:fill="auto"/>
          </w:tcPr>
          <w:p w14:paraId="746F0498" w14:textId="77777777" w:rsidR="008E7A10" w:rsidRDefault="008E7A10">
            <w:pPr>
              <w:rPr>
                <w:rFonts w:ascii="宋体"/>
              </w:rPr>
            </w:pPr>
          </w:p>
        </w:tc>
        <w:tc>
          <w:tcPr>
            <w:tcW w:w="5" w:type="pct"/>
            <w:shd w:val="clear" w:color="auto" w:fill="auto"/>
          </w:tcPr>
          <w:p w14:paraId="746F0499" w14:textId="77777777" w:rsidR="008E7A10" w:rsidRDefault="008E7A10">
            <w:pPr>
              <w:rPr>
                <w:rFonts w:ascii="宋体"/>
              </w:rPr>
            </w:pPr>
          </w:p>
        </w:tc>
        <w:tc>
          <w:tcPr>
            <w:tcW w:w="50" w:type="pct"/>
            <w:shd w:val="clear" w:color="auto" w:fill="auto"/>
          </w:tcPr>
          <w:p w14:paraId="746F049A" w14:textId="77777777" w:rsidR="008E7A10" w:rsidRDefault="008E7A10">
            <w:pPr>
              <w:rPr>
                <w:rFonts w:ascii="宋体"/>
              </w:rPr>
            </w:pPr>
          </w:p>
        </w:tc>
        <w:tc>
          <w:tcPr>
            <w:tcW w:w="408" w:type="pct"/>
            <w:shd w:val="clear" w:color="auto" w:fill="auto"/>
          </w:tcPr>
          <w:p w14:paraId="746F049B" w14:textId="77777777" w:rsidR="008E7A10" w:rsidRDefault="008E7A10">
            <w:pPr>
              <w:rPr>
                <w:rFonts w:ascii="宋体"/>
              </w:rPr>
            </w:pPr>
          </w:p>
        </w:tc>
        <w:tc>
          <w:tcPr>
            <w:tcW w:w="5" w:type="pct"/>
            <w:shd w:val="clear" w:color="auto" w:fill="auto"/>
          </w:tcPr>
          <w:p w14:paraId="746F049C" w14:textId="77777777" w:rsidR="008E7A10" w:rsidRDefault="008E7A10">
            <w:pPr>
              <w:rPr>
                <w:rFonts w:ascii="宋体"/>
              </w:rPr>
            </w:pPr>
          </w:p>
        </w:tc>
        <w:tc>
          <w:tcPr>
            <w:tcW w:w="50" w:type="pct"/>
            <w:shd w:val="clear" w:color="auto" w:fill="auto"/>
          </w:tcPr>
          <w:p w14:paraId="746F049D" w14:textId="77777777" w:rsidR="008E7A10" w:rsidRDefault="008E7A10">
            <w:pPr>
              <w:rPr>
                <w:rFonts w:ascii="宋体"/>
              </w:rPr>
            </w:pPr>
          </w:p>
        </w:tc>
        <w:tc>
          <w:tcPr>
            <w:tcW w:w="447" w:type="pct"/>
            <w:shd w:val="clear" w:color="auto" w:fill="auto"/>
          </w:tcPr>
          <w:p w14:paraId="746F049E" w14:textId="77777777" w:rsidR="008E7A10" w:rsidRDefault="008E7A10">
            <w:pPr>
              <w:rPr>
                <w:rFonts w:ascii="宋体"/>
              </w:rPr>
            </w:pPr>
          </w:p>
        </w:tc>
        <w:tc>
          <w:tcPr>
            <w:tcW w:w="5" w:type="pct"/>
            <w:shd w:val="clear" w:color="auto" w:fill="auto"/>
          </w:tcPr>
          <w:p w14:paraId="746F049F" w14:textId="77777777" w:rsidR="008E7A10" w:rsidRDefault="008E7A10">
            <w:pPr>
              <w:rPr>
                <w:rFonts w:ascii="宋体"/>
              </w:rPr>
            </w:pPr>
          </w:p>
        </w:tc>
      </w:tr>
      <w:tr w:rsidR="008E7A10" w14:paraId="746F04A3" w14:textId="77777777">
        <w:tc>
          <w:tcPr>
            <w:tcW w:w="0" w:type="auto"/>
            <w:gridSpan w:val="3"/>
            <w:shd w:val="clear" w:color="auto" w:fill="auto"/>
            <w:tcMar>
              <w:top w:w="0" w:type="dxa"/>
              <w:left w:w="20" w:type="dxa"/>
              <w:bottom w:w="0" w:type="dxa"/>
              <w:right w:w="20" w:type="dxa"/>
            </w:tcMar>
          </w:tcPr>
          <w:p w14:paraId="746F04A1" w14:textId="77777777" w:rsidR="008E7A10" w:rsidRDefault="008E7A10">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746F04A2" w14:textId="77777777" w:rsidR="008E7A10" w:rsidRDefault="00E047B2">
            <w:pPr>
              <w:jc w:val="center"/>
              <w:textAlignment w:val="bottom"/>
            </w:pPr>
            <w:r>
              <w:rPr>
                <w:rFonts w:ascii="sans-serif" w:eastAsia="sans-serif" w:hAnsi="sans-serif" w:cs="sans-serif"/>
                <w:b/>
                <w:bCs/>
                <w:color w:val="000000"/>
                <w:sz w:val="17"/>
                <w:szCs w:val="17"/>
              </w:rPr>
              <w:t>MAY 31, 2020</w:t>
            </w:r>
          </w:p>
        </w:tc>
      </w:tr>
      <w:tr w:rsidR="008E7A10" w14:paraId="746F04A8" w14:textId="77777777">
        <w:tc>
          <w:tcPr>
            <w:tcW w:w="0" w:type="auto"/>
            <w:gridSpan w:val="3"/>
            <w:shd w:val="clear" w:color="auto" w:fill="auto"/>
            <w:tcMar>
              <w:top w:w="0" w:type="dxa"/>
              <w:left w:w="20" w:type="dxa"/>
              <w:bottom w:w="0" w:type="dxa"/>
              <w:right w:w="20" w:type="dxa"/>
            </w:tcMar>
          </w:tcPr>
          <w:p w14:paraId="746F04A4" w14:textId="77777777" w:rsidR="008E7A10" w:rsidRDefault="008E7A10">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46F04A5" w14:textId="77777777" w:rsidR="008E7A10" w:rsidRDefault="00E047B2">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tcPr>
          <w:p w14:paraId="746F04A6" w14:textId="77777777" w:rsidR="008E7A10" w:rsidRDefault="008E7A10">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746F04A7" w14:textId="77777777" w:rsidR="008E7A10" w:rsidRDefault="00E047B2">
            <w:pPr>
              <w:jc w:val="center"/>
              <w:textAlignment w:val="bottom"/>
            </w:pPr>
            <w:r>
              <w:rPr>
                <w:rFonts w:ascii="sans-serif" w:eastAsia="sans-serif" w:hAnsi="sans-serif" w:cs="sans-serif"/>
                <w:b/>
                <w:bCs/>
                <w:color w:val="000000"/>
                <w:sz w:val="17"/>
                <w:szCs w:val="17"/>
              </w:rPr>
              <w:t>DERIVATIVE LIABILITIES</w:t>
            </w:r>
          </w:p>
        </w:tc>
      </w:tr>
      <w:tr w:rsidR="008E7A10" w14:paraId="746F04B1" w14:textId="77777777">
        <w:tc>
          <w:tcPr>
            <w:tcW w:w="0" w:type="auto"/>
            <w:gridSpan w:val="3"/>
            <w:shd w:val="clear" w:color="auto" w:fill="auto"/>
            <w:tcMar>
              <w:top w:w="40" w:type="dxa"/>
              <w:left w:w="20" w:type="dxa"/>
              <w:bottom w:w="40" w:type="dxa"/>
              <w:right w:w="20" w:type="dxa"/>
            </w:tcMar>
            <w:vAlign w:val="bottom"/>
          </w:tcPr>
          <w:p w14:paraId="746F04A9"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AA" w14:textId="77777777" w:rsidR="008E7A10" w:rsidRDefault="00E047B2">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AB" w14:textId="77777777" w:rsidR="008E7A10" w:rsidRDefault="00E047B2">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AC" w14:textId="77777777" w:rsidR="008E7A10" w:rsidRDefault="00E047B2">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tcPr>
          <w:p w14:paraId="746F04AD"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AE" w14:textId="77777777" w:rsidR="008E7A10" w:rsidRDefault="00E047B2">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AF" w14:textId="77777777" w:rsidR="008E7A10" w:rsidRDefault="00E047B2">
            <w:pPr>
              <w:jc w:val="right"/>
              <w:textAlignment w:val="bottom"/>
            </w:pPr>
            <w:r>
              <w:rPr>
                <w:rFonts w:ascii="sans-serif" w:eastAsia="sans-serif" w:hAnsi="sans-serif" w:cs="sans-serif"/>
                <w:b/>
                <w:bCs/>
                <w:color w:val="000000"/>
                <w:sz w:val="17"/>
                <w:szCs w:val="17"/>
              </w:rPr>
              <w:t>ACCRUED 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B0" w14:textId="77777777" w:rsidR="008E7A10" w:rsidRDefault="00E047B2">
            <w:pPr>
              <w:jc w:val="right"/>
              <w:textAlignment w:val="bottom"/>
            </w:pPr>
            <w:r>
              <w:rPr>
                <w:rFonts w:ascii="sans-serif" w:eastAsia="sans-serif" w:hAnsi="sans-serif" w:cs="sans-serif"/>
                <w:b/>
                <w:bCs/>
                <w:color w:val="000000"/>
                <w:sz w:val="17"/>
                <w:szCs w:val="17"/>
              </w:rPr>
              <w:t xml:space="preserve">OTHER </w:t>
            </w:r>
            <w:r>
              <w:rPr>
                <w:rFonts w:ascii="sans-serif" w:eastAsia="sans-serif" w:hAnsi="sans-serif" w:cs="sans-serif"/>
                <w:b/>
                <w:bCs/>
                <w:color w:val="000000"/>
                <w:sz w:val="17"/>
                <w:szCs w:val="17"/>
              </w:rPr>
              <w:t>LONG-TERM LIABILITIES</w:t>
            </w:r>
          </w:p>
        </w:tc>
      </w:tr>
      <w:tr w:rsidR="008E7A10" w14:paraId="746F04B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4B2" w14:textId="77777777" w:rsidR="008E7A10" w:rsidRDefault="00E047B2">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auto"/>
            <w:tcMar>
              <w:top w:w="0" w:type="dxa"/>
              <w:left w:w="20" w:type="dxa"/>
              <w:bottom w:w="0" w:type="dxa"/>
              <w:right w:w="20" w:type="dxa"/>
            </w:tcMar>
          </w:tcPr>
          <w:p w14:paraId="746F04B3"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4B4"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4B5"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4B6"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4B7"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4B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4B9" w14:textId="77777777" w:rsidR="008E7A10" w:rsidRDefault="008E7A10">
            <w:pPr>
              <w:rPr>
                <w:rFonts w:ascii="宋体"/>
              </w:rPr>
            </w:pPr>
          </w:p>
        </w:tc>
      </w:tr>
      <w:tr w:rsidR="008E7A10" w14:paraId="746F04C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4BB" w14:textId="77777777" w:rsidR="008E7A10" w:rsidRDefault="00E047B2">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9"/>
                <w:szCs w:val="9"/>
              </w:rPr>
              <w:t>(1)</w:t>
            </w:r>
          </w:p>
        </w:tc>
        <w:tc>
          <w:tcPr>
            <w:tcW w:w="0" w:type="auto"/>
            <w:tcBorders>
              <w:top w:val="single" w:sz="8" w:space="0" w:color="808080"/>
            </w:tcBorders>
            <w:shd w:val="clear" w:color="auto" w:fill="auto"/>
            <w:tcMar>
              <w:top w:w="40" w:type="dxa"/>
              <w:left w:w="20" w:type="dxa"/>
              <w:bottom w:w="40" w:type="dxa"/>
              <w:right w:w="0" w:type="dxa"/>
            </w:tcMar>
            <w:vAlign w:val="bottom"/>
          </w:tcPr>
          <w:p w14:paraId="746F04B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4BD" w14:textId="77777777" w:rsidR="008E7A10" w:rsidRDefault="00E047B2">
            <w:pPr>
              <w:jc w:val="right"/>
              <w:textAlignment w:val="bottom"/>
            </w:pPr>
            <w:r>
              <w:rPr>
                <w:rFonts w:ascii="Arial" w:eastAsia="宋体" w:hAnsi="Arial" w:cs="Arial"/>
                <w:color w:val="000000"/>
                <w:sz w:val="17"/>
                <w:szCs w:val="17"/>
              </w:rPr>
              <w:t>94 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BE"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4B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4C0" w14:textId="77777777" w:rsidR="008E7A10" w:rsidRDefault="00E047B2">
            <w:pPr>
              <w:jc w:val="right"/>
              <w:textAlignment w:val="bottom"/>
            </w:pPr>
            <w:r>
              <w:rPr>
                <w:rFonts w:ascii="Arial" w:eastAsia="宋体" w:hAnsi="Arial" w:cs="Arial"/>
                <w:color w:val="000000"/>
                <w:sz w:val="17"/>
                <w:szCs w:val="17"/>
              </w:rPr>
              <w:t>91 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C1"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4C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4C3"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C4"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4C5"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4C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4C7" w14:textId="77777777" w:rsidR="008E7A10" w:rsidRDefault="00E047B2">
            <w:pPr>
              <w:jc w:val="right"/>
              <w:textAlignment w:val="bottom"/>
            </w:pPr>
            <w:r>
              <w:rPr>
                <w:rFonts w:ascii="Arial" w:eastAsia="宋体" w:hAnsi="Arial" w:cs="Arial"/>
                <w:color w:val="000000"/>
                <w:sz w:val="17"/>
                <w:szCs w:val="17"/>
              </w:rPr>
              <w:t>205 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C8"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4C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4CA" w14:textId="77777777" w:rsidR="008E7A10" w:rsidRDefault="00E047B2">
            <w:pPr>
              <w:jc w:val="right"/>
              <w:textAlignment w:val="bottom"/>
            </w:pPr>
            <w:r>
              <w:rPr>
                <w:rFonts w:ascii="Arial" w:eastAsia="宋体" w:hAnsi="Arial" w:cs="Arial"/>
                <w:color w:val="000000"/>
                <w:sz w:val="17"/>
                <w:szCs w:val="17"/>
              </w:rPr>
              <w:t>188 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CB"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4C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4CD"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CE" w14:textId="77777777" w:rsidR="008E7A10" w:rsidRDefault="008E7A10">
            <w:pPr>
              <w:jc w:val="right"/>
              <w:rPr>
                <w:rFonts w:ascii="宋体"/>
              </w:rPr>
            </w:pPr>
          </w:p>
        </w:tc>
      </w:tr>
      <w:tr w:rsidR="008E7A10" w14:paraId="746F04D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4D0" w14:textId="77777777" w:rsidR="008E7A10" w:rsidRDefault="00E047B2">
            <w:pPr>
              <w:textAlignment w:val="bottom"/>
            </w:pPr>
            <w:r>
              <w:rPr>
                <w:rFonts w:ascii="Arial" w:eastAsia="宋体" w:hAnsi="Arial" w:cs="Arial"/>
                <w:color w:val="000000"/>
                <w:sz w:val="17"/>
                <w:szCs w:val="17"/>
              </w:rPr>
              <w:t>Embedded derivatives</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4D1"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D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4D3"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D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4D5"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D6"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4D7"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4D8"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D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4DA"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D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4DC"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4DD" w14:textId="77777777" w:rsidR="008E7A10" w:rsidRDefault="008E7A10">
            <w:pPr>
              <w:jc w:val="right"/>
              <w:rPr>
                <w:rFonts w:ascii="宋体"/>
              </w:rPr>
            </w:pPr>
          </w:p>
        </w:tc>
      </w:tr>
      <w:tr w:rsidR="008E7A10" w14:paraId="746F04F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4DF" w14:textId="77777777" w:rsidR="008E7A10" w:rsidRDefault="00E047B2">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4E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4E1" w14:textId="77777777" w:rsidR="008E7A10" w:rsidRDefault="00E047B2">
            <w:pPr>
              <w:jc w:val="right"/>
              <w:textAlignment w:val="bottom"/>
            </w:pPr>
            <w:r>
              <w:rPr>
                <w:rFonts w:ascii="Arial" w:eastAsia="宋体" w:hAnsi="Arial" w:cs="Arial"/>
                <w:b/>
                <w:bCs/>
                <w:color w:val="000000"/>
                <w:sz w:val="17"/>
                <w:szCs w:val="17"/>
              </w:rPr>
              <w:t>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4E2"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4E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4E4" w14:textId="77777777" w:rsidR="008E7A10" w:rsidRDefault="00E047B2">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4E5"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4E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4E7"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4E8"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4E9" w14:textId="77777777" w:rsidR="008E7A10" w:rsidRDefault="008E7A10">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4E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4EB" w14:textId="77777777" w:rsidR="008E7A10" w:rsidRDefault="00E047B2">
            <w:pPr>
              <w:jc w:val="right"/>
              <w:textAlignment w:val="bottom"/>
            </w:pPr>
            <w:r>
              <w:rPr>
                <w:rFonts w:ascii="Arial" w:eastAsia="宋体" w:hAnsi="Arial" w:cs="Arial"/>
                <w:b/>
                <w:bCs/>
                <w:color w:val="000000"/>
                <w:sz w:val="17"/>
                <w:szCs w:val="17"/>
              </w:rPr>
              <w:t>207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4EC"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4E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4EE" w14:textId="77777777" w:rsidR="008E7A10" w:rsidRDefault="00E047B2">
            <w:pPr>
              <w:jc w:val="right"/>
              <w:textAlignment w:val="bottom"/>
            </w:pPr>
            <w:r>
              <w:rPr>
                <w:rFonts w:ascii="Arial" w:eastAsia="宋体" w:hAnsi="Arial" w:cs="Arial"/>
                <w:b/>
                <w:bCs/>
                <w:color w:val="000000"/>
                <w:sz w:val="17"/>
                <w:szCs w:val="17"/>
              </w:rPr>
              <w:t>190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4EF"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4F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4F1" w14:textId="77777777" w:rsidR="008E7A10" w:rsidRDefault="00E047B2">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4F2" w14:textId="77777777" w:rsidR="008E7A10" w:rsidRDefault="008E7A10">
            <w:pPr>
              <w:jc w:val="right"/>
              <w:rPr>
                <w:rFonts w:ascii="宋体"/>
              </w:rPr>
            </w:pPr>
          </w:p>
        </w:tc>
      </w:tr>
    </w:tbl>
    <w:p w14:paraId="746F04F4" w14:textId="77777777" w:rsidR="008E7A10" w:rsidRDefault="00E047B2">
      <w:pPr>
        <w:spacing w:before="60" w:after="60"/>
        <w:ind w:hanging="360"/>
      </w:pPr>
      <w:r>
        <w:rPr>
          <w:rFonts w:ascii="Arial" w:eastAsia="宋体" w:hAnsi="Arial" w:cs="Arial"/>
          <w:i/>
          <w:iCs/>
          <w:color w:val="000000"/>
          <w:sz w:val="14"/>
          <w:szCs w:val="14"/>
        </w:rPr>
        <w:t>(1)If the foreign exchange derivative instruments had been netted on th</w:t>
      </w:r>
      <w:r>
        <w:rPr>
          <w:rFonts w:ascii="Arial" w:eastAsia="宋体" w:hAnsi="Arial" w:cs="Arial"/>
          <w:i/>
          <w:iCs/>
          <w:color w:val="000000"/>
          <w:sz w:val="14"/>
          <w:szCs w:val="14"/>
        </w:rPr>
        <w:t>e Consolidated Balance Sheets, the asset and liability positions each would have been reduced by $76 million as of May 31, 2020. As of that date, no amount of cash collateral had been received or posted on the derivative asset and liability balances relate</w:t>
      </w:r>
      <w:r>
        <w:rPr>
          <w:rFonts w:ascii="Arial" w:eastAsia="宋体" w:hAnsi="Arial" w:cs="Arial"/>
          <w:i/>
          <w:iCs/>
          <w:color w:val="000000"/>
          <w:sz w:val="14"/>
          <w:szCs w:val="14"/>
        </w:rPr>
        <w:t>d to these foreign exchange derivative instruments.</w:t>
      </w:r>
    </w:p>
    <w:p w14:paraId="746F04F5" w14:textId="77777777" w:rsidR="008E7A10" w:rsidRDefault="00E047B2">
      <w:pPr>
        <w:spacing w:before="120" w:after="120"/>
      </w:pPr>
      <w:r>
        <w:rPr>
          <w:rFonts w:ascii="Arial" w:eastAsia="宋体" w:hAnsi="Arial" w:cs="Arial"/>
          <w:color w:val="000000"/>
          <w:sz w:val="17"/>
          <w:szCs w:val="17"/>
        </w:rPr>
        <w:t xml:space="preserve">For additional information related to the Company's derivative financial instruments and credit risk, refer to Note 9 — Risk Management and Derivatives. </w:t>
      </w:r>
    </w:p>
    <w:p w14:paraId="746F04F6" w14:textId="77777777" w:rsidR="008E7A10" w:rsidRDefault="00E047B2">
      <w:pPr>
        <w:spacing w:before="120" w:after="120"/>
      </w:pPr>
      <w:r>
        <w:rPr>
          <w:rFonts w:ascii="Arial" w:eastAsia="宋体" w:hAnsi="Arial" w:cs="Arial"/>
          <w:color w:val="000000"/>
          <w:sz w:val="17"/>
          <w:szCs w:val="17"/>
        </w:rPr>
        <w:t>The carrying amounts of other current financial assets and other current financial liabilities approxi</w:t>
      </w:r>
      <w:r>
        <w:rPr>
          <w:rFonts w:ascii="Arial" w:eastAsia="宋体" w:hAnsi="Arial" w:cs="Arial"/>
          <w:color w:val="000000"/>
          <w:sz w:val="17"/>
          <w:szCs w:val="17"/>
        </w:rPr>
        <w:t xml:space="preserve">mate fair value. </w:t>
      </w:r>
    </w:p>
    <w:p w14:paraId="746F04F7" w14:textId="77777777" w:rsidR="008E7A10" w:rsidRDefault="00E047B2">
      <w:pPr>
        <w:spacing w:before="240" w:after="120"/>
      </w:pPr>
      <w:r>
        <w:rPr>
          <w:rFonts w:ascii="sans-serif" w:eastAsia="sans-serif" w:hAnsi="sans-serif" w:cs="sans-serif"/>
          <w:b/>
          <w:bCs/>
          <w:color w:val="000000"/>
          <w:sz w:val="28"/>
          <w:szCs w:val="28"/>
        </w:rPr>
        <w:t>FINANCIAL ASSETS AND LIABILITIES NOT RECORDED AT FAIR VALUE</w:t>
      </w:r>
    </w:p>
    <w:p w14:paraId="746F04F8" w14:textId="77777777" w:rsidR="008E7A10" w:rsidRDefault="00E047B2">
      <w:pPr>
        <w:spacing w:before="120" w:after="120"/>
      </w:pPr>
      <w:r>
        <w:rPr>
          <w:rFonts w:ascii="Arial" w:eastAsia="宋体" w:hAnsi="Arial" w:cs="Arial"/>
          <w:color w:val="000000"/>
          <w:sz w:val="17"/>
          <w:szCs w:val="17"/>
        </w:rPr>
        <w:t>Long-term debt</w:t>
      </w:r>
      <w:r>
        <w:rPr>
          <w:rFonts w:ascii="Arial" w:eastAsia="宋体" w:hAnsi="Arial" w:cs="Arial"/>
          <w:i/>
          <w:iCs/>
          <w:color w:val="000000"/>
          <w:sz w:val="17"/>
          <w:szCs w:val="17"/>
        </w:rPr>
        <w:t xml:space="preserve"> </w:t>
      </w:r>
      <w:r>
        <w:rPr>
          <w:rFonts w:ascii="Arial" w:eastAsia="宋体" w:hAnsi="Arial" w:cs="Arial"/>
          <w:color w:val="000000"/>
          <w:sz w:val="17"/>
          <w:szCs w:val="17"/>
        </w:rPr>
        <w:t>is recorded at adjusted cost, net of unamortized premiums, discounts and debt issuance costs. The fair value of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is estimated based upon quoted price</w:t>
      </w:r>
      <w:r>
        <w:rPr>
          <w:rFonts w:ascii="Arial" w:eastAsia="宋体" w:hAnsi="Arial" w:cs="Arial"/>
          <w:color w:val="000000"/>
          <w:sz w:val="17"/>
          <w:szCs w:val="17"/>
        </w:rPr>
        <w:t>s for similar instruments or quoted prices for identical instruments in inactive markets (Level 2). The fair value of the Company’s Long-term debt, including the current portion, was approximately $11,044 million at November 30, 2020 and $10,645 million at</w:t>
      </w:r>
      <w:r>
        <w:rPr>
          <w:rFonts w:ascii="Arial" w:eastAsia="宋体" w:hAnsi="Arial" w:cs="Arial"/>
          <w:color w:val="000000"/>
          <w:sz w:val="17"/>
          <w:szCs w:val="17"/>
        </w:rPr>
        <w:t xml:space="preserve"> May 31, 2020.</w:t>
      </w:r>
    </w:p>
    <w:p w14:paraId="746F04F9" w14:textId="77777777" w:rsidR="008E7A10" w:rsidRDefault="00E047B2">
      <w:pPr>
        <w:spacing w:before="120" w:after="120"/>
      </w:pPr>
      <w:r>
        <w:rPr>
          <w:rFonts w:ascii="Arial" w:eastAsia="宋体" w:hAnsi="Arial" w:cs="Arial"/>
          <w:color w:val="000000"/>
          <w:sz w:val="17"/>
          <w:szCs w:val="17"/>
        </w:rPr>
        <w:t>For fair value information regarding Notes payable, refer to Note 5 — Short-Term Borrowings and Credit Lines.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04FD" w14:textId="77777777">
        <w:tc>
          <w:tcPr>
            <w:tcW w:w="50" w:type="pct"/>
            <w:shd w:val="clear" w:color="auto" w:fill="auto"/>
          </w:tcPr>
          <w:p w14:paraId="746F04FA" w14:textId="77777777" w:rsidR="008E7A10" w:rsidRDefault="008E7A10">
            <w:pPr>
              <w:rPr>
                <w:rFonts w:ascii="宋体"/>
              </w:rPr>
            </w:pPr>
          </w:p>
        </w:tc>
        <w:tc>
          <w:tcPr>
            <w:tcW w:w="4945" w:type="pct"/>
            <w:shd w:val="clear" w:color="auto" w:fill="auto"/>
          </w:tcPr>
          <w:p w14:paraId="746F04FB" w14:textId="77777777" w:rsidR="008E7A10" w:rsidRDefault="008E7A10">
            <w:pPr>
              <w:rPr>
                <w:rFonts w:ascii="宋体"/>
              </w:rPr>
            </w:pPr>
          </w:p>
        </w:tc>
        <w:tc>
          <w:tcPr>
            <w:tcW w:w="5" w:type="pct"/>
            <w:shd w:val="clear" w:color="auto" w:fill="auto"/>
          </w:tcPr>
          <w:p w14:paraId="746F04FC" w14:textId="77777777" w:rsidR="008E7A10" w:rsidRDefault="008E7A10">
            <w:pPr>
              <w:rPr>
                <w:rFonts w:ascii="宋体"/>
              </w:rPr>
            </w:pPr>
          </w:p>
        </w:tc>
      </w:tr>
      <w:tr w:rsidR="008E7A10" w14:paraId="746F04FF" w14:textId="77777777">
        <w:tc>
          <w:tcPr>
            <w:tcW w:w="0" w:type="auto"/>
            <w:gridSpan w:val="3"/>
            <w:shd w:val="clear" w:color="auto" w:fill="auto"/>
            <w:tcMar>
              <w:top w:w="40" w:type="dxa"/>
              <w:left w:w="20" w:type="dxa"/>
              <w:bottom w:w="40" w:type="dxa"/>
              <w:right w:w="20" w:type="dxa"/>
            </w:tcMar>
            <w:vAlign w:val="bottom"/>
          </w:tcPr>
          <w:p w14:paraId="746F04FE" w14:textId="77777777" w:rsidR="008E7A10" w:rsidRDefault="00E047B2">
            <w:pPr>
              <w:textAlignment w:val="bottom"/>
            </w:pPr>
            <w:r>
              <w:rPr>
                <w:rFonts w:ascii="sans-serif" w:eastAsia="sans-serif" w:hAnsi="sans-serif" w:cs="sans-serif"/>
                <w:b/>
                <w:bCs/>
                <w:color w:val="E87722"/>
                <w:sz w:val="36"/>
                <w:szCs w:val="36"/>
              </w:rPr>
              <w:t>NOTE 5 — SHORT-TERM BORROWINGS AND CREDIT LINES</w:t>
            </w:r>
          </w:p>
        </w:tc>
      </w:tr>
    </w:tbl>
    <w:p w14:paraId="746F0500" w14:textId="77777777" w:rsidR="008E7A10" w:rsidRDefault="00E047B2">
      <w:pPr>
        <w:spacing w:before="120" w:after="120"/>
      </w:pPr>
      <w:r>
        <w:rPr>
          <w:rFonts w:ascii="Arial" w:eastAsia="宋体" w:hAnsi="Arial" w:cs="Arial"/>
          <w:color w:val="000000"/>
          <w:sz w:val="17"/>
          <w:szCs w:val="17"/>
        </w:rPr>
        <w:t xml:space="preserve">The carrying amounts reflected on the Unaudited Condensed Consolidated Balance Sheets for Notes payable approximate fair value. </w:t>
      </w:r>
    </w:p>
    <w:p w14:paraId="746F0501" w14:textId="77777777" w:rsidR="008E7A10" w:rsidRDefault="00E047B2">
      <w:pPr>
        <w:spacing w:before="120" w:after="120"/>
      </w:pPr>
      <w:r>
        <w:rPr>
          <w:rFonts w:ascii="Arial" w:eastAsia="宋体" w:hAnsi="Arial" w:cs="Arial"/>
          <w:color w:val="000000"/>
          <w:sz w:val="17"/>
          <w:szCs w:val="17"/>
        </w:rPr>
        <w:t xml:space="preserve">As of November 30, 2020 and May 31, 2020, the Company had $23 million and $248 million of borrowings outstanding at a weighted </w:t>
      </w:r>
      <w:r>
        <w:rPr>
          <w:rFonts w:ascii="Arial" w:eastAsia="宋体" w:hAnsi="Arial" w:cs="Arial"/>
          <w:color w:val="000000"/>
          <w:sz w:val="17"/>
          <w:szCs w:val="17"/>
        </w:rPr>
        <w:t>average interest rate of 1.76% and 1.65%, respectively, under its $4 billion commercial paper program. Commercial paper repayments with original maturities greater than three months are included in Repayment of borrowings on the Unaudited Condensed Consoli</w:t>
      </w:r>
      <w:r>
        <w:rPr>
          <w:rFonts w:ascii="Arial" w:eastAsia="宋体" w:hAnsi="Arial" w:cs="Arial"/>
          <w:color w:val="000000"/>
          <w:sz w:val="17"/>
          <w:szCs w:val="17"/>
        </w:rPr>
        <w:t>dated Statements of Cash Flows.</w:t>
      </w:r>
    </w:p>
    <w:p w14:paraId="746F0502" w14:textId="77777777" w:rsidR="008E7A10" w:rsidRDefault="00E047B2">
      <w:pPr>
        <w:spacing w:before="120" w:after="120"/>
      </w:pPr>
      <w:r>
        <w:rPr>
          <w:rFonts w:ascii="Arial" w:eastAsia="宋体" w:hAnsi="Arial" w:cs="Arial"/>
          <w:color w:val="000000"/>
          <w:sz w:val="17"/>
          <w:szCs w:val="17"/>
        </w:rPr>
        <w:t>As of November 30, 2020, there have been no significant changes to the credit lines reported in the Company's Annual Report on Form 10-K for the fiscal year ended May 31,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0506" w14:textId="77777777">
        <w:tc>
          <w:tcPr>
            <w:tcW w:w="50" w:type="pct"/>
            <w:shd w:val="clear" w:color="auto" w:fill="auto"/>
          </w:tcPr>
          <w:p w14:paraId="746F0503" w14:textId="77777777" w:rsidR="008E7A10" w:rsidRDefault="008E7A10">
            <w:pPr>
              <w:rPr>
                <w:rFonts w:ascii="宋体"/>
              </w:rPr>
            </w:pPr>
          </w:p>
        </w:tc>
        <w:tc>
          <w:tcPr>
            <w:tcW w:w="4945" w:type="pct"/>
            <w:shd w:val="clear" w:color="auto" w:fill="auto"/>
          </w:tcPr>
          <w:p w14:paraId="746F0504" w14:textId="77777777" w:rsidR="008E7A10" w:rsidRDefault="008E7A10">
            <w:pPr>
              <w:rPr>
                <w:rFonts w:ascii="宋体"/>
              </w:rPr>
            </w:pPr>
          </w:p>
        </w:tc>
        <w:tc>
          <w:tcPr>
            <w:tcW w:w="5" w:type="pct"/>
            <w:shd w:val="clear" w:color="auto" w:fill="auto"/>
          </w:tcPr>
          <w:p w14:paraId="746F0505" w14:textId="77777777" w:rsidR="008E7A10" w:rsidRDefault="008E7A10">
            <w:pPr>
              <w:rPr>
                <w:rFonts w:ascii="宋体"/>
              </w:rPr>
            </w:pPr>
          </w:p>
        </w:tc>
      </w:tr>
      <w:tr w:rsidR="008E7A10" w14:paraId="746F0508" w14:textId="77777777">
        <w:tc>
          <w:tcPr>
            <w:tcW w:w="0" w:type="auto"/>
            <w:gridSpan w:val="3"/>
            <w:shd w:val="clear" w:color="auto" w:fill="auto"/>
            <w:tcMar>
              <w:top w:w="40" w:type="dxa"/>
              <w:left w:w="20" w:type="dxa"/>
              <w:bottom w:w="40" w:type="dxa"/>
              <w:right w:w="20" w:type="dxa"/>
            </w:tcMar>
            <w:vAlign w:val="bottom"/>
          </w:tcPr>
          <w:p w14:paraId="746F0507" w14:textId="77777777" w:rsidR="008E7A10" w:rsidRDefault="00E047B2">
            <w:pPr>
              <w:textAlignment w:val="bottom"/>
            </w:pPr>
            <w:r>
              <w:rPr>
                <w:rFonts w:ascii="sans-serif" w:eastAsia="sans-serif" w:hAnsi="sans-serif" w:cs="sans-serif"/>
                <w:b/>
                <w:bCs/>
                <w:color w:val="E87722"/>
                <w:sz w:val="36"/>
                <w:szCs w:val="36"/>
              </w:rPr>
              <w:t>NOTE 6 — INCOME TAXES</w:t>
            </w:r>
          </w:p>
        </w:tc>
      </w:tr>
    </w:tbl>
    <w:p w14:paraId="746F0509" w14:textId="77777777" w:rsidR="008E7A10" w:rsidRDefault="00E047B2">
      <w:r>
        <w:rPr>
          <w:rFonts w:ascii="Arial" w:eastAsia="宋体" w:hAnsi="Arial" w:cs="Arial"/>
          <w:color w:val="000000"/>
          <w:sz w:val="17"/>
          <w:szCs w:val="17"/>
        </w:rPr>
        <w:t xml:space="preserve">The effective tax rate was 12.7% and 11.7% for the six months ended November 30, 2020 and 2019, respectively. The increase in the Company's effective tax rate was primarily due to changes in the proportion of earnings taxed in the U.S. and the recognition </w:t>
      </w:r>
      <w:r>
        <w:rPr>
          <w:rFonts w:ascii="Arial" w:eastAsia="宋体" w:hAnsi="Arial" w:cs="Arial"/>
          <w:color w:val="000000"/>
          <w:sz w:val="17"/>
          <w:szCs w:val="17"/>
        </w:rPr>
        <w:t xml:space="preserve">of a reserve in the first quarter of fiscal 2021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xml:space="preserve"> where the taxpayer was denied a hearing before the U.S. Supreme Court on June 22, 2020, thereby ratifying the Ninth Circuit Court's decision and requiring the inclusi</w:t>
      </w:r>
      <w:r>
        <w:rPr>
          <w:rFonts w:ascii="Arial" w:eastAsia="宋体" w:hAnsi="Arial" w:cs="Arial"/>
          <w:color w:val="000000"/>
          <w:sz w:val="17"/>
          <w:szCs w:val="17"/>
        </w:rPr>
        <w:t>on of stock-based compensation in intercompany cost-sharing arrangements. The increase in the Company's effective tax rate was partially offset by discrete items which included a more favorable impact from stock-based compensation.</w:t>
      </w:r>
    </w:p>
    <w:p w14:paraId="746F050A" w14:textId="77777777" w:rsidR="008E7A10" w:rsidRDefault="00E047B2">
      <w:pPr>
        <w:spacing w:before="120" w:after="120"/>
      </w:pPr>
      <w:r>
        <w:rPr>
          <w:rFonts w:ascii="Arial" w:eastAsia="宋体" w:hAnsi="Arial" w:cs="Arial"/>
          <w:color w:val="000000"/>
          <w:sz w:val="17"/>
          <w:szCs w:val="17"/>
        </w:rPr>
        <w:t>As of November 30, 2020,</w:t>
      </w:r>
      <w:r>
        <w:rPr>
          <w:rFonts w:ascii="Arial" w:eastAsia="宋体" w:hAnsi="Arial" w:cs="Arial"/>
          <w:color w:val="000000"/>
          <w:sz w:val="17"/>
          <w:szCs w:val="17"/>
        </w:rPr>
        <w:t xml:space="preserve"> total gross unrecognized tax benefits, excluding related interest and penalties, were $872 million, $587 million of which would affect the Company's effective tax rate if recognized in future periods. During the six months ended November 30, 2020, the Com</w:t>
      </w:r>
      <w:r>
        <w:rPr>
          <w:rFonts w:ascii="Arial" w:eastAsia="宋体" w:hAnsi="Arial" w:cs="Arial"/>
          <w:color w:val="000000"/>
          <w:sz w:val="17"/>
          <w:szCs w:val="17"/>
        </w:rPr>
        <w:t xml:space="preserve">pany recognized $77 million of gross unrecognized tax benefits related to </w:t>
      </w:r>
      <w:r>
        <w:rPr>
          <w:rFonts w:ascii="Arial" w:eastAsia="宋体" w:hAnsi="Arial" w:cs="Arial"/>
          <w:i/>
          <w:iCs/>
          <w:color w:val="000000"/>
          <w:sz w:val="17"/>
          <w:szCs w:val="17"/>
        </w:rPr>
        <w:t xml:space="preserve">Altera Corp. v. Commissioner </w:t>
      </w:r>
      <w:r>
        <w:rPr>
          <w:rFonts w:ascii="Arial" w:eastAsia="宋体" w:hAnsi="Arial" w:cs="Arial"/>
          <w:color w:val="000000"/>
          <w:sz w:val="17"/>
          <w:szCs w:val="17"/>
        </w:rPr>
        <w:t xml:space="preserve">discussed above, of which $71 million impacted the effective tax rate. The majority of the total gross unrecognized tax benefits are long-term in nature </w:t>
      </w:r>
      <w:r>
        <w:rPr>
          <w:rFonts w:ascii="Arial" w:eastAsia="宋体" w:hAnsi="Arial" w:cs="Arial"/>
          <w:color w:val="000000"/>
          <w:sz w:val="17"/>
          <w:szCs w:val="17"/>
        </w:rPr>
        <w:t>and included within Deferred income taxes and other liabilities on the Unaudited Condensed Consolidated Balance Sheets. As of May 31, 2020, total gross unrecognized tax benefits, excluding related interest and penalties, were $771 million. The liability fo</w:t>
      </w:r>
      <w:r>
        <w:rPr>
          <w:rFonts w:ascii="Arial" w:eastAsia="宋体" w:hAnsi="Arial" w:cs="Arial"/>
          <w:color w:val="000000"/>
          <w:sz w:val="17"/>
          <w:szCs w:val="17"/>
        </w:rPr>
        <w:t>r payment of interest and penalties increased by $33 million during the six months ended November 30, 2020. As of November 30, 2020 and May 31, 2020, accrued interest and penalties related to uncertain tax positions were $191 million and $158 million, resp</w:t>
      </w:r>
      <w:r>
        <w:rPr>
          <w:rFonts w:ascii="Arial" w:eastAsia="宋体" w:hAnsi="Arial" w:cs="Arial"/>
          <w:color w:val="000000"/>
          <w:sz w:val="17"/>
          <w:szCs w:val="17"/>
        </w:rPr>
        <w:t>ectively (excluding federal benefit).</w:t>
      </w:r>
    </w:p>
    <w:p w14:paraId="746F050B" w14:textId="77777777" w:rsidR="008E7A10" w:rsidRDefault="00E047B2">
      <w:pPr>
        <w:spacing w:before="120" w:after="120"/>
      </w:pPr>
      <w:r>
        <w:rPr>
          <w:rFonts w:ascii="Arial" w:eastAsia="宋体" w:hAnsi="Arial" w:cs="Arial"/>
          <w:color w:val="000000"/>
          <w:sz w:val="17"/>
          <w:szCs w:val="17"/>
        </w:rPr>
        <w:t>The Company is subject to taxation in the United States, as well as various state and foreign jurisdictions. The Company is currently under audit by the U.S. Internal Revenue Service ("IRS") for fiscal years 2017 throu</w:t>
      </w:r>
      <w:r>
        <w:rPr>
          <w:rFonts w:ascii="Arial" w:eastAsia="宋体" w:hAnsi="Arial" w:cs="Arial"/>
          <w:color w:val="000000"/>
          <w:sz w:val="17"/>
          <w:szCs w:val="17"/>
        </w:rPr>
        <w:t xml:space="preserve">gh 2019. The Company has closed all U.S. federal income tax matters through fiscal 2016, with the exception of certain transfer pricing adjustments. </w:t>
      </w:r>
    </w:p>
    <w:p w14:paraId="746F050C" w14:textId="77777777" w:rsidR="008E7A10" w:rsidRDefault="00E047B2">
      <w:pPr>
        <w:spacing w:before="120" w:after="120"/>
      </w:pPr>
      <w:r>
        <w:rPr>
          <w:rFonts w:ascii="Arial" w:eastAsia="宋体" w:hAnsi="Arial" w:cs="Arial"/>
          <w:color w:val="E87722"/>
          <w:sz w:val="17"/>
          <w:szCs w:val="17"/>
        </w:rPr>
        <w:t>10</w:t>
      </w:r>
      <w:r>
        <w:rPr>
          <w:rFonts w:ascii="sans-serif" w:eastAsia="sans-serif" w:hAnsi="sans-serif" w:cs="sans-serif"/>
          <w:color w:val="000000"/>
          <w:sz w:val="17"/>
          <w:szCs w:val="17"/>
        </w:rPr>
        <w:t xml:space="preserve"> </w:t>
      </w:r>
    </w:p>
    <w:p w14:paraId="746F050D" w14:textId="77777777" w:rsidR="008E7A10" w:rsidRDefault="00E047B2">
      <w:r>
        <w:pict w14:anchorId="746F2012">
          <v:rect id="_x0000_i1036" style="width:415.3pt;height:1.5pt" o:hralign="center" o:hrstd="t" o:hr="t" fillcolor="#a0a0a0" stroked="f"/>
        </w:pict>
      </w:r>
    </w:p>
    <w:p w14:paraId="746F050E" w14:textId="77777777" w:rsidR="008E7A10" w:rsidRDefault="008E7A10"/>
    <w:p w14:paraId="746F050F" w14:textId="77777777" w:rsidR="008E7A10" w:rsidRDefault="00E047B2">
      <w:hyperlink r:id="rId81" w:anchor="i31a624617c6c41b38f8f700fa0df5bde_7" w:history="1">
        <w:r>
          <w:rPr>
            <w:rStyle w:val="a5"/>
            <w:rFonts w:ascii="sans-serif" w:eastAsia="sans-serif" w:hAnsi="sans-serif" w:cs="sans-serif"/>
            <w:sz w:val="17"/>
            <w:szCs w:val="17"/>
          </w:rPr>
          <w:t>Table of Contents</w:t>
        </w:r>
      </w:hyperlink>
    </w:p>
    <w:p w14:paraId="746F0510" w14:textId="77777777" w:rsidR="008E7A10" w:rsidRDefault="008E7A10"/>
    <w:p w14:paraId="746F0511" w14:textId="77777777" w:rsidR="008E7A10" w:rsidRDefault="00E047B2">
      <w:pPr>
        <w:spacing w:before="120" w:after="120"/>
      </w:pPr>
      <w:r>
        <w:rPr>
          <w:rFonts w:ascii="Arial" w:eastAsia="宋体" w:hAnsi="Arial" w:cs="Arial"/>
          <w:color w:val="000000"/>
          <w:sz w:val="17"/>
          <w:szCs w:val="17"/>
        </w:rPr>
        <w:t>Tax years after 2009 remain open in certain major foreign jurisdictions. Although the</w:t>
      </w:r>
      <w:r>
        <w:rPr>
          <w:rFonts w:ascii="Arial" w:eastAsia="宋体" w:hAnsi="Arial" w:cs="Arial"/>
          <w:color w:val="000000"/>
          <w:sz w:val="17"/>
          <w:szCs w:val="17"/>
        </w:rPr>
        <w:t xml:space="preserve"> timing of resolution of audits is not certain, the Company evaluates all domestic and foreign audit issues in the aggregate, along with the expiration of applicable statutes of limitations, and estimates that it is reasonably possible the total gross unre</w:t>
      </w:r>
      <w:r>
        <w:rPr>
          <w:rFonts w:ascii="Arial" w:eastAsia="宋体" w:hAnsi="Arial" w:cs="Arial"/>
          <w:color w:val="000000"/>
          <w:sz w:val="17"/>
          <w:szCs w:val="17"/>
        </w:rPr>
        <w:t>cognized tax benefits could decrease by up to $60 million within the next 12 months. In January 2019, the European Commission opened a formal investigation to examine whether the Netherlands has breached State Aid rules when granting certain tax rulings to</w:t>
      </w:r>
      <w:r>
        <w:rPr>
          <w:rFonts w:ascii="Arial" w:eastAsia="宋体" w:hAnsi="Arial" w:cs="Arial"/>
          <w:color w:val="000000"/>
          <w:sz w:val="17"/>
          <w:szCs w:val="17"/>
        </w:rPr>
        <w:t xml:space="preserve"> the Company. The Company believes the investigation is without merit. If this matter is adversely resolved, the Netherlands may be required to assess additional amounts with respect to current and prior periods, and the Company's Netherlands income taxes </w:t>
      </w:r>
      <w:r>
        <w:rPr>
          <w:rFonts w:ascii="Arial" w:eastAsia="宋体" w:hAnsi="Arial" w:cs="Arial"/>
          <w:color w:val="000000"/>
          <w:sz w:val="17"/>
          <w:szCs w:val="17"/>
        </w:rPr>
        <w:t>in the future could increase.</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0515" w14:textId="77777777">
        <w:tc>
          <w:tcPr>
            <w:tcW w:w="50" w:type="pct"/>
            <w:shd w:val="clear" w:color="auto" w:fill="auto"/>
          </w:tcPr>
          <w:p w14:paraId="746F0512" w14:textId="77777777" w:rsidR="008E7A10" w:rsidRDefault="008E7A10">
            <w:pPr>
              <w:rPr>
                <w:rFonts w:ascii="宋体"/>
              </w:rPr>
            </w:pPr>
          </w:p>
        </w:tc>
        <w:tc>
          <w:tcPr>
            <w:tcW w:w="4945" w:type="pct"/>
            <w:shd w:val="clear" w:color="auto" w:fill="auto"/>
          </w:tcPr>
          <w:p w14:paraId="746F0513" w14:textId="77777777" w:rsidR="008E7A10" w:rsidRDefault="008E7A10">
            <w:pPr>
              <w:rPr>
                <w:rFonts w:ascii="宋体"/>
              </w:rPr>
            </w:pPr>
          </w:p>
        </w:tc>
        <w:tc>
          <w:tcPr>
            <w:tcW w:w="5" w:type="pct"/>
            <w:shd w:val="clear" w:color="auto" w:fill="auto"/>
          </w:tcPr>
          <w:p w14:paraId="746F0514" w14:textId="77777777" w:rsidR="008E7A10" w:rsidRDefault="008E7A10">
            <w:pPr>
              <w:rPr>
                <w:rFonts w:ascii="宋体"/>
              </w:rPr>
            </w:pPr>
          </w:p>
        </w:tc>
      </w:tr>
      <w:tr w:rsidR="008E7A10" w14:paraId="746F0517" w14:textId="77777777">
        <w:tc>
          <w:tcPr>
            <w:tcW w:w="0" w:type="auto"/>
            <w:gridSpan w:val="3"/>
            <w:shd w:val="clear" w:color="auto" w:fill="auto"/>
            <w:tcMar>
              <w:top w:w="40" w:type="dxa"/>
              <w:left w:w="20" w:type="dxa"/>
              <w:bottom w:w="40" w:type="dxa"/>
              <w:right w:w="20" w:type="dxa"/>
            </w:tcMar>
            <w:vAlign w:val="bottom"/>
          </w:tcPr>
          <w:p w14:paraId="746F0516" w14:textId="77777777" w:rsidR="008E7A10" w:rsidRDefault="00E047B2">
            <w:pPr>
              <w:textAlignment w:val="bottom"/>
            </w:pPr>
            <w:r>
              <w:rPr>
                <w:rFonts w:ascii="sans-serif" w:eastAsia="sans-serif" w:hAnsi="sans-serif" w:cs="sans-serif"/>
                <w:b/>
                <w:bCs/>
                <w:color w:val="E87722"/>
                <w:sz w:val="36"/>
                <w:szCs w:val="36"/>
              </w:rPr>
              <w:t>NOTE 7 — STOCK-BASED COMPENSATION</w:t>
            </w:r>
          </w:p>
        </w:tc>
      </w:tr>
    </w:tbl>
    <w:p w14:paraId="746F0518" w14:textId="77777777" w:rsidR="008E7A10" w:rsidRDefault="00E047B2">
      <w:pPr>
        <w:spacing w:before="180" w:after="120"/>
      </w:pPr>
      <w:r>
        <w:rPr>
          <w:rFonts w:ascii="sans-serif" w:eastAsia="sans-serif" w:hAnsi="sans-serif" w:cs="sans-serif"/>
          <w:b/>
          <w:bCs/>
          <w:color w:val="000000"/>
          <w:sz w:val="28"/>
          <w:szCs w:val="28"/>
        </w:rPr>
        <w:t>STOCK-BASED COMPENSATION</w:t>
      </w:r>
    </w:p>
    <w:p w14:paraId="746F0519" w14:textId="77777777" w:rsidR="008E7A10" w:rsidRDefault="00E047B2">
      <w:pPr>
        <w:spacing w:before="120" w:after="120"/>
      </w:pPr>
      <w:r>
        <w:rPr>
          <w:rFonts w:ascii="Arial" w:eastAsia="宋体" w:hAnsi="Arial" w:cs="Arial"/>
          <w:color w:val="000000"/>
          <w:sz w:val="17"/>
          <w:szCs w:val="17"/>
        </w:rPr>
        <w:t xml:space="preserve">The NIKE, Inc. Stock Incentive Plan (the “Stock Incentive Plan”) provides for the issuance of up to 798 million previously unissued shares of Class B Common Stock in connection with equity awards granted under the Stock Incentive Plan. The Stock Incentive </w:t>
      </w:r>
      <w:r>
        <w:rPr>
          <w:rFonts w:ascii="Arial" w:eastAsia="宋体" w:hAnsi="Arial" w:cs="Arial"/>
          <w:color w:val="000000"/>
          <w:sz w:val="17"/>
          <w:szCs w:val="17"/>
        </w:rPr>
        <w:t>Plan authorizes the grant of non-statutory stock options, incentive stock options, stock appreciation rights, restricted stock, restricted stock units and performance-based awards. In addition to the Stock Incentive Plan, the Company gives employees the ri</w:t>
      </w:r>
      <w:r>
        <w:rPr>
          <w:rFonts w:ascii="Arial" w:eastAsia="宋体" w:hAnsi="Arial" w:cs="Arial"/>
          <w:color w:val="000000"/>
          <w:sz w:val="17"/>
          <w:szCs w:val="17"/>
        </w:rPr>
        <w:t>ght to purchase shares at a discount from the market price under employee stock purchase plans (ESPPs). Refer to Note 11 — Common Stock and Stock-Based Compensation of the Annual Report on Form 10-K for the fiscal year ended May 31, 2020 for further inform</w:t>
      </w:r>
      <w:r>
        <w:rPr>
          <w:rFonts w:ascii="Arial" w:eastAsia="宋体" w:hAnsi="Arial" w:cs="Arial"/>
          <w:color w:val="000000"/>
          <w:sz w:val="17"/>
          <w:szCs w:val="17"/>
        </w:rPr>
        <w:t xml:space="preserve">ation. </w:t>
      </w:r>
    </w:p>
    <w:p w14:paraId="746F051A" w14:textId="77777777" w:rsidR="008E7A10" w:rsidRDefault="00E047B2">
      <w:pPr>
        <w:spacing w:before="120"/>
      </w:pPr>
      <w:r>
        <w:rPr>
          <w:rFonts w:ascii="Arial" w:eastAsia="宋体" w:hAnsi="Arial" w:cs="Arial"/>
          <w:color w:val="000000"/>
          <w:sz w:val="17"/>
          <w:szCs w:val="17"/>
        </w:rPr>
        <w:t>The following table summarizes the Company's total stock-based compensation expense recognized in Cost of sales or Operating overhead expense, as applicable: </w:t>
      </w:r>
    </w:p>
    <w:tbl>
      <w:tblPr>
        <w:tblW w:w="5000" w:type="pct"/>
        <w:tblCellMar>
          <w:top w:w="15" w:type="dxa"/>
          <w:left w:w="15" w:type="dxa"/>
          <w:bottom w:w="15" w:type="dxa"/>
          <w:right w:w="15" w:type="dxa"/>
        </w:tblCellMar>
        <w:tblLook w:val="04A0" w:firstRow="1" w:lastRow="0" w:firstColumn="1" w:lastColumn="0" w:noHBand="0" w:noVBand="1"/>
      </w:tblPr>
      <w:tblGrid>
        <w:gridCol w:w="40"/>
        <w:gridCol w:w="3552"/>
        <w:gridCol w:w="38"/>
        <w:gridCol w:w="115"/>
        <w:gridCol w:w="1007"/>
        <w:gridCol w:w="36"/>
        <w:gridCol w:w="115"/>
        <w:gridCol w:w="1007"/>
        <w:gridCol w:w="36"/>
        <w:gridCol w:w="36"/>
        <w:gridCol w:w="36"/>
        <w:gridCol w:w="36"/>
        <w:gridCol w:w="115"/>
        <w:gridCol w:w="972"/>
        <w:gridCol w:w="36"/>
        <w:gridCol w:w="115"/>
        <w:gridCol w:w="1008"/>
        <w:gridCol w:w="36"/>
      </w:tblGrid>
      <w:tr w:rsidR="008E7A10" w14:paraId="746F052D" w14:textId="77777777">
        <w:tc>
          <w:tcPr>
            <w:tcW w:w="50" w:type="pct"/>
            <w:shd w:val="clear" w:color="auto" w:fill="auto"/>
          </w:tcPr>
          <w:p w14:paraId="746F051B" w14:textId="77777777" w:rsidR="008E7A10" w:rsidRDefault="008E7A10">
            <w:pPr>
              <w:rPr>
                <w:rFonts w:ascii="宋体"/>
              </w:rPr>
            </w:pPr>
          </w:p>
        </w:tc>
        <w:tc>
          <w:tcPr>
            <w:tcW w:w="2159" w:type="pct"/>
            <w:shd w:val="clear" w:color="auto" w:fill="auto"/>
          </w:tcPr>
          <w:p w14:paraId="746F051C" w14:textId="77777777" w:rsidR="008E7A10" w:rsidRDefault="008E7A10">
            <w:pPr>
              <w:rPr>
                <w:rFonts w:ascii="宋体"/>
              </w:rPr>
            </w:pPr>
          </w:p>
        </w:tc>
        <w:tc>
          <w:tcPr>
            <w:tcW w:w="5" w:type="pct"/>
            <w:shd w:val="clear" w:color="auto" w:fill="auto"/>
          </w:tcPr>
          <w:p w14:paraId="746F051D" w14:textId="77777777" w:rsidR="008E7A10" w:rsidRDefault="008E7A10">
            <w:pPr>
              <w:rPr>
                <w:rFonts w:ascii="宋体"/>
              </w:rPr>
            </w:pPr>
          </w:p>
        </w:tc>
        <w:tc>
          <w:tcPr>
            <w:tcW w:w="50" w:type="pct"/>
            <w:shd w:val="clear" w:color="auto" w:fill="auto"/>
          </w:tcPr>
          <w:p w14:paraId="746F051E" w14:textId="77777777" w:rsidR="008E7A10" w:rsidRDefault="008E7A10">
            <w:pPr>
              <w:rPr>
                <w:rFonts w:ascii="宋体"/>
              </w:rPr>
            </w:pPr>
          </w:p>
        </w:tc>
        <w:tc>
          <w:tcPr>
            <w:tcW w:w="631" w:type="pct"/>
            <w:shd w:val="clear" w:color="auto" w:fill="auto"/>
          </w:tcPr>
          <w:p w14:paraId="746F051F" w14:textId="77777777" w:rsidR="008E7A10" w:rsidRDefault="008E7A10">
            <w:pPr>
              <w:rPr>
                <w:rFonts w:ascii="宋体"/>
              </w:rPr>
            </w:pPr>
          </w:p>
        </w:tc>
        <w:tc>
          <w:tcPr>
            <w:tcW w:w="5" w:type="pct"/>
            <w:shd w:val="clear" w:color="auto" w:fill="auto"/>
          </w:tcPr>
          <w:p w14:paraId="746F0520" w14:textId="77777777" w:rsidR="008E7A10" w:rsidRDefault="008E7A10">
            <w:pPr>
              <w:rPr>
                <w:rFonts w:ascii="宋体"/>
              </w:rPr>
            </w:pPr>
          </w:p>
        </w:tc>
        <w:tc>
          <w:tcPr>
            <w:tcW w:w="50" w:type="pct"/>
            <w:shd w:val="clear" w:color="auto" w:fill="auto"/>
          </w:tcPr>
          <w:p w14:paraId="746F0521" w14:textId="77777777" w:rsidR="008E7A10" w:rsidRDefault="008E7A10">
            <w:pPr>
              <w:rPr>
                <w:rFonts w:ascii="宋体"/>
              </w:rPr>
            </w:pPr>
          </w:p>
        </w:tc>
        <w:tc>
          <w:tcPr>
            <w:tcW w:w="631" w:type="pct"/>
            <w:shd w:val="clear" w:color="auto" w:fill="auto"/>
          </w:tcPr>
          <w:p w14:paraId="746F0522" w14:textId="77777777" w:rsidR="008E7A10" w:rsidRDefault="008E7A10">
            <w:pPr>
              <w:rPr>
                <w:rFonts w:ascii="宋体"/>
              </w:rPr>
            </w:pPr>
          </w:p>
        </w:tc>
        <w:tc>
          <w:tcPr>
            <w:tcW w:w="5" w:type="pct"/>
            <w:shd w:val="clear" w:color="auto" w:fill="auto"/>
          </w:tcPr>
          <w:p w14:paraId="746F0523" w14:textId="77777777" w:rsidR="008E7A10" w:rsidRDefault="008E7A10">
            <w:pPr>
              <w:rPr>
                <w:rFonts w:ascii="宋体"/>
              </w:rPr>
            </w:pPr>
          </w:p>
        </w:tc>
        <w:tc>
          <w:tcPr>
            <w:tcW w:w="5" w:type="pct"/>
            <w:shd w:val="clear" w:color="auto" w:fill="auto"/>
          </w:tcPr>
          <w:p w14:paraId="746F0524" w14:textId="77777777" w:rsidR="008E7A10" w:rsidRDefault="008E7A10">
            <w:pPr>
              <w:rPr>
                <w:rFonts w:ascii="宋体"/>
              </w:rPr>
            </w:pPr>
          </w:p>
        </w:tc>
        <w:tc>
          <w:tcPr>
            <w:tcW w:w="28" w:type="pct"/>
            <w:shd w:val="clear" w:color="auto" w:fill="auto"/>
          </w:tcPr>
          <w:p w14:paraId="746F0525" w14:textId="77777777" w:rsidR="008E7A10" w:rsidRDefault="008E7A10">
            <w:pPr>
              <w:rPr>
                <w:rFonts w:ascii="宋体"/>
              </w:rPr>
            </w:pPr>
          </w:p>
        </w:tc>
        <w:tc>
          <w:tcPr>
            <w:tcW w:w="5" w:type="pct"/>
            <w:shd w:val="clear" w:color="auto" w:fill="auto"/>
          </w:tcPr>
          <w:p w14:paraId="746F0526" w14:textId="77777777" w:rsidR="008E7A10" w:rsidRDefault="008E7A10">
            <w:pPr>
              <w:rPr>
                <w:rFonts w:ascii="宋体"/>
              </w:rPr>
            </w:pPr>
          </w:p>
        </w:tc>
        <w:tc>
          <w:tcPr>
            <w:tcW w:w="50" w:type="pct"/>
            <w:shd w:val="clear" w:color="auto" w:fill="auto"/>
          </w:tcPr>
          <w:p w14:paraId="746F0527" w14:textId="77777777" w:rsidR="008E7A10" w:rsidRDefault="008E7A10">
            <w:pPr>
              <w:rPr>
                <w:rFonts w:ascii="宋体"/>
              </w:rPr>
            </w:pPr>
          </w:p>
        </w:tc>
        <w:tc>
          <w:tcPr>
            <w:tcW w:w="631" w:type="pct"/>
            <w:shd w:val="clear" w:color="auto" w:fill="auto"/>
          </w:tcPr>
          <w:p w14:paraId="746F0528" w14:textId="77777777" w:rsidR="008E7A10" w:rsidRDefault="008E7A10">
            <w:pPr>
              <w:rPr>
                <w:rFonts w:ascii="宋体"/>
              </w:rPr>
            </w:pPr>
          </w:p>
        </w:tc>
        <w:tc>
          <w:tcPr>
            <w:tcW w:w="5" w:type="pct"/>
            <w:shd w:val="clear" w:color="auto" w:fill="auto"/>
          </w:tcPr>
          <w:p w14:paraId="746F0529" w14:textId="77777777" w:rsidR="008E7A10" w:rsidRDefault="008E7A10">
            <w:pPr>
              <w:rPr>
                <w:rFonts w:ascii="宋体"/>
              </w:rPr>
            </w:pPr>
          </w:p>
        </w:tc>
        <w:tc>
          <w:tcPr>
            <w:tcW w:w="50" w:type="pct"/>
            <w:shd w:val="clear" w:color="auto" w:fill="auto"/>
          </w:tcPr>
          <w:p w14:paraId="746F052A" w14:textId="77777777" w:rsidR="008E7A10" w:rsidRDefault="008E7A10">
            <w:pPr>
              <w:rPr>
                <w:rFonts w:ascii="宋体"/>
              </w:rPr>
            </w:pPr>
          </w:p>
        </w:tc>
        <w:tc>
          <w:tcPr>
            <w:tcW w:w="631" w:type="pct"/>
            <w:shd w:val="clear" w:color="auto" w:fill="auto"/>
          </w:tcPr>
          <w:p w14:paraId="746F052B" w14:textId="77777777" w:rsidR="008E7A10" w:rsidRDefault="008E7A10">
            <w:pPr>
              <w:rPr>
                <w:rFonts w:ascii="宋体"/>
              </w:rPr>
            </w:pPr>
          </w:p>
        </w:tc>
        <w:tc>
          <w:tcPr>
            <w:tcW w:w="5" w:type="pct"/>
            <w:shd w:val="clear" w:color="auto" w:fill="auto"/>
          </w:tcPr>
          <w:p w14:paraId="746F052C" w14:textId="77777777" w:rsidR="008E7A10" w:rsidRDefault="008E7A10">
            <w:pPr>
              <w:rPr>
                <w:rFonts w:ascii="宋体"/>
              </w:rPr>
            </w:pPr>
          </w:p>
        </w:tc>
      </w:tr>
      <w:tr w:rsidR="008E7A10" w14:paraId="746F0532" w14:textId="77777777">
        <w:tc>
          <w:tcPr>
            <w:tcW w:w="0" w:type="auto"/>
            <w:gridSpan w:val="3"/>
            <w:shd w:val="clear" w:color="auto" w:fill="auto"/>
            <w:tcMar>
              <w:top w:w="40" w:type="dxa"/>
              <w:left w:w="20" w:type="dxa"/>
              <w:bottom w:w="40" w:type="dxa"/>
              <w:right w:w="20" w:type="dxa"/>
            </w:tcMar>
            <w:vAlign w:val="bottom"/>
          </w:tcPr>
          <w:p w14:paraId="746F052E" w14:textId="77777777" w:rsidR="008E7A10" w:rsidRDefault="00E047B2">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746F052F"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0530" w14:textId="77777777" w:rsidR="008E7A10" w:rsidRDefault="008E7A10">
            <w:pPr>
              <w:rPr>
                <w:rFonts w:ascii="宋体"/>
              </w:rPr>
            </w:pPr>
          </w:p>
        </w:tc>
        <w:tc>
          <w:tcPr>
            <w:tcW w:w="0" w:type="auto"/>
            <w:gridSpan w:val="6"/>
            <w:shd w:val="clear" w:color="auto" w:fill="auto"/>
            <w:tcMar>
              <w:top w:w="40" w:type="dxa"/>
              <w:left w:w="20" w:type="dxa"/>
              <w:bottom w:w="40" w:type="dxa"/>
              <w:right w:w="20" w:type="dxa"/>
            </w:tcMar>
            <w:vAlign w:val="bottom"/>
          </w:tcPr>
          <w:p w14:paraId="746F0531"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0539" w14:textId="77777777">
        <w:tc>
          <w:tcPr>
            <w:tcW w:w="0" w:type="auto"/>
            <w:gridSpan w:val="3"/>
            <w:shd w:val="clear" w:color="auto" w:fill="auto"/>
            <w:tcMar>
              <w:top w:w="40" w:type="dxa"/>
              <w:left w:w="20" w:type="dxa"/>
              <w:bottom w:w="40" w:type="dxa"/>
              <w:right w:w="20" w:type="dxa"/>
            </w:tcMar>
            <w:vAlign w:val="bottom"/>
          </w:tcPr>
          <w:p w14:paraId="746F0533"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34"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35"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tcPr>
          <w:p w14:paraId="746F0536"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37"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38" w14:textId="77777777" w:rsidR="008E7A10" w:rsidRDefault="00E047B2">
            <w:pPr>
              <w:jc w:val="center"/>
              <w:textAlignment w:val="bottom"/>
            </w:pPr>
            <w:r>
              <w:rPr>
                <w:rFonts w:ascii="sans-serif" w:eastAsia="sans-serif" w:hAnsi="sans-serif" w:cs="sans-serif"/>
                <w:b/>
                <w:bCs/>
                <w:color w:val="000000"/>
                <w:sz w:val="17"/>
                <w:szCs w:val="17"/>
              </w:rPr>
              <w:t>2019</w:t>
            </w:r>
          </w:p>
        </w:tc>
      </w:tr>
      <w:tr w:rsidR="008E7A10" w14:paraId="746F054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3A" w14:textId="77777777" w:rsidR="008E7A10" w:rsidRDefault="00E047B2">
            <w:pPr>
              <w:textAlignment w:val="bottom"/>
            </w:pPr>
            <w:r>
              <w:rPr>
                <w:rFonts w:ascii="Arial" w:eastAsia="宋体" w:hAnsi="Arial" w:cs="Arial"/>
                <w:color w:val="000000"/>
                <w:sz w:val="17"/>
                <w:szCs w:val="17"/>
              </w:rPr>
              <w:t>Stock options</w:t>
            </w:r>
            <w:r>
              <w:rPr>
                <w:rFonts w:ascii="Arial" w:eastAsia="宋体" w:hAnsi="Arial" w:cs="Arial"/>
                <w:color w:val="000000"/>
                <w:sz w:val="9"/>
                <w:szCs w:val="9"/>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053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53C" w14:textId="77777777" w:rsidR="008E7A10" w:rsidRDefault="00E047B2">
            <w:pPr>
              <w:jc w:val="right"/>
              <w:textAlignment w:val="bottom"/>
            </w:pPr>
            <w:r>
              <w:rPr>
                <w:rFonts w:ascii="Arial" w:eastAsia="宋体" w:hAnsi="Arial" w:cs="Arial"/>
                <w:color w:val="000000"/>
                <w:sz w:val="17"/>
                <w:szCs w:val="17"/>
              </w:rPr>
              <w:t>107 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53D"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53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53F" w14:textId="77777777" w:rsidR="008E7A10" w:rsidRDefault="00E047B2">
            <w:pPr>
              <w:jc w:val="right"/>
              <w:textAlignment w:val="bottom"/>
            </w:pPr>
            <w:r>
              <w:rPr>
                <w:rFonts w:ascii="Arial" w:eastAsia="宋体" w:hAnsi="Arial" w:cs="Arial"/>
                <w:color w:val="000000"/>
                <w:sz w:val="17"/>
                <w:szCs w:val="17"/>
              </w:rPr>
              <w:t>64 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540"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541"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54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543" w14:textId="77777777" w:rsidR="008E7A10" w:rsidRDefault="00E047B2">
            <w:pPr>
              <w:jc w:val="right"/>
              <w:textAlignment w:val="bottom"/>
            </w:pPr>
            <w:r>
              <w:rPr>
                <w:rFonts w:ascii="Arial" w:eastAsia="宋体" w:hAnsi="Arial" w:cs="Arial"/>
                <w:color w:val="000000"/>
                <w:sz w:val="17"/>
                <w:szCs w:val="17"/>
              </w:rPr>
              <w:t>177 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544"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54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546" w14:textId="77777777" w:rsidR="008E7A10" w:rsidRDefault="00E047B2">
            <w:pPr>
              <w:jc w:val="right"/>
              <w:textAlignment w:val="bottom"/>
            </w:pPr>
            <w:r>
              <w:rPr>
                <w:rFonts w:ascii="Arial" w:eastAsia="宋体" w:hAnsi="Arial" w:cs="Arial"/>
                <w:color w:val="000000"/>
                <w:sz w:val="17"/>
                <w:szCs w:val="17"/>
              </w:rPr>
              <w:t>106 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547" w14:textId="77777777" w:rsidR="008E7A10" w:rsidRDefault="008E7A10">
            <w:pPr>
              <w:jc w:val="right"/>
              <w:rPr>
                <w:rFonts w:ascii="宋体"/>
              </w:rPr>
            </w:pPr>
          </w:p>
        </w:tc>
      </w:tr>
      <w:tr w:rsidR="008E7A10" w14:paraId="746F055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549" w14:textId="77777777" w:rsidR="008E7A10" w:rsidRDefault="00E047B2">
            <w:pPr>
              <w:textAlignment w:val="bottom"/>
            </w:pPr>
            <w:r>
              <w:rPr>
                <w:rFonts w:ascii="Arial" w:eastAsia="宋体" w:hAnsi="Arial" w:cs="Arial"/>
                <w:color w:val="000000"/>
                <w:sz w:val="17"/>
                <w:szCs w:val="17"/>
              </w:rPr>
              <w:t>ESPPs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54A"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54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54C"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54D"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54E"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54F" w14:textId="77777777" w:rsidR="008E7A10" w:rsidRDefault="00E047B2">
            <w:pPr>
              <w:jc w:val="right"/>
              <w:textAlignment w:val="bottom"/>
            </w:pPr>
            <w:r>
              <w:rPr>
                <w:rFonts w:ascii="Arial" w:eastAsia="宋体" w:hAnsi="Arial" w:cs="Arial"/>
                <w:color w:val="000000"/>
                <w:sz w:val="17"/>
                <w:szCs w:val="17"/>
              </w:rPr>
              <w:t>35 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55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551" w14:textId="77777777" w:rsidR="008E7A10" w:rsidRDefault="00E047B2">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552" w14:textId="77777777" w:rsidR="008E7A10" w:rsidRDefault="008E7A10">
            <w:pPr>
              <w:jc w:val="right"/>
              <w:rPr>
                <w:rFonts w:ascii="宋体"/>
              </w:rPr>
            </w:pPr>
          </w:p>
        </w:tc>
      </w:tr>
      <w:tr w:rsidR="008E7A10" w14:paraId="746F055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554" w14:textId="77777777" w:rsidR="008E7A10" w:rsidRDefault="00E047B2">
            <w:pPr>
              <w:textAlignment w:val="bottom"/>
            </w:pPr>
            <w:r>
              <w:rPr>
                <w:rFonts w:ascii="Arial" w:eastAsia="宋体" w:hAnsi="Arial" w:cs="Arial"/>
                <w:color w:val="000000"/>
                <w:sz w:val="17"/>
                <w:szCs w:val="17"/>
              </w:rPr>
              <w:t>Restricted stock</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555" w14:textId="77777777" w:rsidR="008E7A10" w:rsidRDefault="00E047B2">
            <w:pPr>
              <w:jc w:val="right"/>
              <w:textAlignment w:val="bottom"/>
            </w:pPr>
            <w:r>
              <w:rPr>
                <w:rFonts w:ascii="Arial" w:eastAsia="宋体" w:hAnsi="Arial" w:cs="Arial"/>
                <w:color w:val="000000"/>
                <w:sz w:val="17"/>
                <w:szCs w:val="17"/>
              </w:rPr>
              <w:t>65 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55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557" w14:textId="77777777" w:rsidR="008E7A10" w:rsidRDefault="00E047B2">
            <w:pPr>
              <w:jc w:val="right"/>
              <w:textAlignment w:val="bottom"/>
            </w:pPr>
            <w:r>
              <w:rPr>
                <w:rFonts w:ascii="Arial" w:eastAsia="宋体" w:hAnsi="Arial" w:cs="Arial"/>
                <w:color w:val="000000"/>
                <w:sz w:val="17"/>
                <w:szCs w:val="17"/>
              </w:rPr>
              <w:t>35 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558"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559"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55A" w14:textId="77777777" w:rsidR="008E7A10" w:rsidRDefault="00E047B2">
            <w:pPr>
              <w:jc w:val="right"/>
              <w:textAlignment w:val="bottom"/>
            </w:pPr>
            <w:r>
              <w:rPr>
                <w:rFonts w:ascii="Arial" w:eastAsia="宋体" w:hAnsi="Arial" w:cs="Arial"/>
                <w:color w:val="000000"/>
                <w:sz w:val="17"/>
                <w:szCs w:val="17"/>
              </w:rPr>
              <w:t>113 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55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55C" w14:textId="77777777" w:rsidR="008E7A10" w:rsidRDefault="00E047B2">
            <w:pPr>
              <w:jc w:val="right"/>
              <w:textAlignment w:val="bottom"/>
            </w:pPr>
            <w:r>
              <w:rPr>
                <w:rFonts w:ascii="Arial" w:eastAsia="宋体" w:hAnsi="Arial" w:cs="Arial"/>
                <w:color w:val="000000"/>
                <w:sz w:val="17"/>
                <w:szCs w:val="17"/>
              </w:rPr>
              <w:t>60 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55D" w14:textId="77777777" w:rsidR="008E7A10" w:rsidRDefault="008E7A10">
            <w:pPr>
              <w:jc w:val="right"/>
              <w:rPr>
                <w:rFonts w:ascii="宋体"/>
              </w:rPr>
            </w:pPr>
          </w:p>
        </w:tc>
      </w:tr>
      <w:tr w:rsidR="008E7A10" w14:paraId="746F056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55F" w14:textId="77777777" w:rsidR="008E7A10" w:rsidRDefault="00E047B2">
            <w:pPr>
              <w:textAlignment w:val="bottom"/>
            </w:pPr>
            <w:r>
              <w:rPr>
                <w:rFonts w:ascii="Arial" w:eastAsia="宋体" w:hAnsi="Arial" w:cs="Arial"/>
                <w:b/>
                <w:bCs/>
                <w:color w:val="000000"/>
                <w:sz w:val="17"/>
                <w:szCs w:val="17"/>
              </w:rPr>
              <w:t>TOT</w:t>
            </w:r>
            <w:r>
              <w:rPr>
                <w:rFonts w:ascii="Arial" w:eastAsia="宋体" w:hAnsi="Arial" w:cs="Arial"/>
                <w:b/>
                <w:bCs/>
                <w:color w:val="000000"/>
                <w:sz w:val="17"/>
                <w:szCs w:val="17"/>
              </w:rPr>
              <w:t>AL STOCK-BASED COMPENSATION EXPENSE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56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561" w14:textId="77777777" w:rsidR="008E7A10" w:rsidRDefault="00E047B2">
            <w:pPr>
              <w:jc w:val="right"/>
              <w:textAlignment w:val="bottom"/>
            </w:pPr>
            <w:r>
              <w:rPr>
                <w:rFonts w:ascii="Arial" w:eastAsia="宋体" w:hAnsi="Arial" w:cs="Arial"/>
                <w:b/>
                <w:bCs/>
                <w:color w:val="000000"/>
                <w:sz w:val="17"/>
                <w:szCs w:val="17"/>
              </w:rPr>
              <w:t>189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562"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56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564" w14:textId="77777777" w:rsidR="008E7A10" w:rsidRDefault="00E047B2">
            <w:pPr>
              <w:jc w:val="right"/>
              <w:textAlignment w:val="bottom"/>
            </w:pPr>
            <w:r>
              <w:rPr>
                <w:rFonts w:ascii="Arial" w:eastAsia="宋体" w:hAnsi="Arial" w:cs="Arial"/>
                <w:b/>
                <w:bCs/>
                <w:color w:val="000000"/>
                <w:sz w:val="17"/>
                <w:szCs w:val="17"/>
              </w:rPr>
              <w:t>110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565"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566"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56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568" w14:textId="77777777" w:rsidR="008E7A10" w:rsidRDefault="00E047B2">
            <w:pPr>
              <w:jc w:val="right"/>
              <w:textAlignment w:val="bottom"/>
            </w:pPr>
            <w:r>
              <w:rPr>
                <w:rFonts w:ascii="Arial" w:eastAsia="宋体" w:hAnsi="Arial" w:cs="Arial"/>
                <w:b/>
                <w:bCs/>
                <w:color w:val="000000"/>
                <w:sz w:val="17"/>
                <w:szCs w:val="17"/>
              </w:rPr>
              <w:t>325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569"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56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56B" w14:textId="77777777" w:rsidR="008E7A10" w:rsidRDefault="00E047B2">
            <w:pPr>
              <w:jc w:val="right"/>
              <w:textAlignment w:val="bottom"/>
            </w:pPr>
            <w:r>
              <w:rPr>
                <w:rFonts w:ascii="Arial" w:eastAsia="宋体" w:hAnsi="Arial" w:cs="Arial"/>
                <w:b/>
                <w:bCs/>
                <w:color w:val="000000"/>
                <w:sz w:val="17"/>
                <w:szCs w:val="17"/>
              </w:rPr>
              <w:t>190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56C" w14:textId="77777777" w:rsidR="008E7A10" w:rsidRDefault="008E7A10">
            <w:pPr>
              <w:jc w:val="right"/>
              <w:rPr>
                <w:rFonts w:ascii="宋体"/>
              </w:rPr>
            </w:pPr>
          </w:p>
        </w:tc>
      </w:tr>
    </w:tbl>
    <w:p w14:paraId="746F056E" w14:textId="77777777" w:rsidR="008E7A10" w:rsidRDefault="00E047B2">
      <w:pPr>
        <w:spacing w:before="60" w:after="60"/>
        <w:ind w:hanging="360"/>
      </w:pPr>
      <w:r>
        <w:rPr>
          <w:rFonts w:ascii="Arial" w:eastAsia="宋体" w:hAnsi="Arial" w:cs="Arial"/>
          <w:i/>
          <w:iCs/>
          <w:color w:val="000000"/>
          <w:sz w:val="14"/>
          <w:szCs w:val="14"/>
        </w:rPr>
        <w:t>(1)Expense for stock options includes the expense associated with stock appreciation rights. Accelerated stock option expense is primarily recorded for employees meeting certain retirement eligibility requirements and certain employees impacted by the Comp</w:t>
      </w:r>
      <w:r>
        <w:rPr>
          <w:rFonts w:ascii="Arial" w:eastAsia="宋体" w:hAnsi="Arial" w:cs="Arial"/>
          <w:i/>
          <w:iCs/>
          <w:color w:val="000000"/>
          <w:sz w:val="14"/>
          <w:szCs w:val="14"/>
        </w:rPr>
        <w:t xml:space="preserve">any's organizational realignment. For more information see Note 14 — Restructuring. </w:t>
      </w:r>
    </w:p>
    <w:p w14:paraId="746F056F" w14:textId="77777777" w:rsidR="008E7A10" w:rsidRDefault="00E047B2">
      <w:pPr>
        <w:spacing w:before="120" w:after="120"/>
      </w:pPr>
      <w:r>
        <w:rPr>
          <w:rFonts w:ascii="Arial" w:eastAsia="宋体" w:hAnsi="Arial" w:cs="Arial"/>
          <w:color w:val="000000"/>
          <w:sz w:val="17"/>
          <w:szCs w:val="17"/>
        </w:rPr>
        <w:t>The income tax benefit related to stock-based compensation expense was $108 million and $77 million for the three months ended November 30, 2020 and 2019, respectively, an</w:t>
      </w:r>
      <w:r>
        <w:rPr>
          <w:rFonts w:ascii="Arial" w:eastAsia="宋体" w:hAnsi="Arial" w:cs="Arial"/>
          <w:color w:val="000000"/>
          <w:sz w:val="17"/>
          <w:szCs w:val="17"/>
        </w:rPr>
        <w:t>d $189 million and $114 million for the six months ended November 30, 2020 and 2019, respectively.</w:t>
      </w:r>
    </w:p>
    <w:p w14:paraId="746F0570" w14:textId="77777777" w:rsidR="008E7A10" w:rsidRDefault="00E047B2">
      <w:pPr>
        <w:spacing w:before="240" w:after="120"/>
      </w:pPr>
      <w:r>
        <w:rPr>
          <w:rFonts w:ascii="sans-serif" w:eastAsia="sans-serif" w:hAnsi="sans-serif" w:cs="sans-serif"/>
          <w:b/>
          <w:bCs/>
          <w:color w:val="000000"/>
          <w:sz w:val="28"/>
          <w:szCs w:val="28"/>
        </w:rPr>
        <w:t>STOCK OPTIONS</w:t>
      </w:r>
    </w:p>
    <w:p w14:paraId="746F0571" w14:textId="77777777" w:rsidR="008E7A10" w:rsidRDefault="00E047B2">
      <w:pPr>
        <w:spacing w:before="120"/>
      </w:pPr>
      <w:r>
        <w:rPr>
          <w:rFonts w:ascii="Arial" w:eastAsia="宋体" w:hAnsi="Arial" w:cs="Arial"/>
          <w:color w:val="000000"/>
          <w:sz w:val="17"/>
          <w:szCs w:val="17"/>
        </w:rPr>
        <w:t>The weighted average fair value per share of the options granted during the six months ended November 30, 2020 and 2019, computed as of the gra</w:t>
      </w:r>
      <w:r>
        <w:rPr>
          <w:rFonts w:ascii="Arial" w:eastAsia="宋体" w:hAnsi="Arial" w:cs="Arial"/>
          <w:color w:val="000000"/>
          <w:sz w:val="17"/>
          <w:szCs w:val="17"/>
        </w:rPr>
        <w:t>nt date using the Black-Scholes pricing model, was $26.75 and $18.46, respectively. The weighted average assumptions used to estimate these fair values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883"/>
        <w:gridCol w:w="36"/>
        <w:gridCol w:w="37"/>
        <w:gridCol w:w="980"/>
        <w:gridCol w:w="173"/>
        <w:gridCol w:w="36"/>
        <w:gridCol w:w="982"/>
        <w:gridCol w:w="172"/>
      </w:tblGrid>
      <w:tr w:rsidR="008E7A10" w14:paraId="746F057B" w14:textId="77777777">
        <w:tc>
          <w:tcPr>
            <w:tcW w:w="50" w:type="pct"/>
            <w:shd w:val="clear" w:color="auto" w:fill="auto"/>
          </w:tcPr>
          <w:p w14:paraId="746F0572" w14:textId="77777777" w:rsidR="008E7A10" w:rsidRDefault="008E7A10">
            <w:pPr>
              <w:rPr>
                <w:rFonts w:ascii="宋体"/>
              </w:rPr>
            </w:pPr>
          </w:p>
        </w:tc>
        <w:tc>
          <w:tcPr>
            <w:tcW w:w="3571" w:type="pct"/>
            <w:shd w:val="clear" w:color="auto" w:fill="auto"/>
          </w:tcPr>
          <w:p w14:paraId="746F0573" w14:textId="77777777" w:rsidR="008E7A10" w:rsidRDefault="008E7A10">
            <w:pPr>
              <w:rPr>
                <w:rFonts w:ascii="宋体"/>
              </w:rPr>
            </w:pPr>
          </w:p>
        </w:tc>
        <w:tc>
          <w:tcPr>
            <w:tcW w:w="5" w:type="pct"/>
            <w:shd w:val="clear" w:color="auto" w:fill="auto"/>
          </w:tcPr>
          <w:p w14:paraId="746F0574" w14:textId="77777777" w:rsidR="008E7A10" w:rsidRDefault="008E7A10">
            <w:pPr>
              <w:rPr>
                <w:rFonts w:ascii="宋体"/>
              </w:rPr>
            </w:pPr>
          </w:p>
        </w:tc>
        <w:tc>
          <w:tcPr>
            <w:tcW w:w="50" w:type="pct"/>
            <w:shd w:val="clear" w:color="auto" w:fill="auto"/>
          </w:tcPr>
          <w:p w14:paraId="746F0575" w14:textId="77777777" w:rsidR="008E7A10" w:rsidRDefault="008E7A10">
            <w:pPr>
              <w:rPr>
                <w:rFonts w:ascii="宋体"/>
              </w:rPr>
            </w:pPr>
          </w:p>
        </w:tc>
        <w:tc>
          <w:tcPr>
            <w:tcW w:w="631" w:type="pct"/>
            <w:shd w:val="clear" w:color="auto" w:fill="auto"/>
          </w:tcPr>
          <w:p w14:paraId="746F0576" w14:textId="77777777" w:rsidR="008E7A10" w:rsidRDefault="008E7A10">
            <w:pPr>
              <w:rPr>
                <w:rFonts w:ascii="宋体"/>
              </w:rPr>
            </w:pPr>
          </w:p>
        </w:tc>
        <w:tc>
          <w:tcPr>
            <w:tcW w:w="5" w:type="pct"/>
            <w:shd w:val="clear" w:color="auto" w:fill="auto"/>
          </w:tcPr>
          <w:p w14:paraId="746F0577" w14:textId="77777777" w:rsidR="008E7A10" w:rsidRDefault="008E7A10">
            <w:pPr>
              <w:rPr>
                <w:rFonts w:ascii="宋体"/>
              </w:rPr>
            </w:pPr>
          </w:p>
        </w:tc>
        <w:tc>
          <w:tcPr>
            <w:tcW w:w="50" w:type="pct"/>
            <w:shd w:val="clear" w:color="auto" w:fill="auto"/>
          </w:tcPr>
          <w:p w14:paraId="746F0578" w14:textId="77777777" w:rsidR="008E7A10" w:rsidRDefault="008E7A10">
            <w:pPr>
              <w:rPr>
                <w:rFonts w:ascii="宋体"/>
              </w:rPr>
            </w:pPr>
          </w:p>
        </w:tc>
        <w:tc>
          <w:tcPr>
            <w:tcW w:w="631" w:type="pct"/>
            <w:shd w:val="clear" w:color="auto" w:fill="auto"/>
          </w:tcPr>
          <w:p w14:paraId="746F0579" w14:textId="77777777" w:rsidR="008E7A10" w:rsidRDefault="008E7A10">
            <w:pPr>
              <w:rPr>
                <w:rFonts w:ascii="宋体"/>
              </w:rPr>
            </w:pPr>
          </w:p>
        </w:tc>
        <w:tc>
          <w:tcPr>
            <w:tcW w:w="5" w:type="pct"/>
            <w:shd w:val="clear" w:color="auto" w:fill="auto"/>
          </w:tcPr>
          <w:p w14:paraId="746F057A" w14:textId="77777777" w:rsidR="008E7A10" w:rsidRDefault="008E7A10">
            <w:pPr>
              <w:rPr>
                <w:rFonts w:ascii="宋体"/>
              </w:rPr>
            </w:pPr>
          </w:p>
        </w:tc>
      </w:tr>
      <w:tr w:rsidR="008E7A10" w14:paraId="746F057E" w14:textId="77777777">
        <w:tc>
          <w:tcPr>
            <w:tcW w:w="0" w:type="auto"/>
            <w:gridSpan w:val="3"/>
            <w:shd w:val="clear" w:color="auto" w:fill="auto"/>
            <w:tcMar>
              <w:top w:w="40" w:type="dxa"/>
              <w:left w:w="20" w:type="dxa"/>
              <w:bottom w:w="40" w:type="dxa"/>
              <w:right w:w="20" w:type="dxa"/>
            </w:tcMar>
            <w:vAlign w:val="bottom"/>
          </w:tcPr>
          <w:p w14:paraId="746F057C" w14:textId="77777777" w:rsidR="008E7A10" w:rsidRDefault="00E047B2">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746F057D"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0582" w14:textId="77777777">
        <w:tc>
          <w:tcPr>
            <w:tcW w:w="0" w:type="auto"/>
            <w:gridSpan w:val="3"/>
            <w:shd w:val="clear" w:color="auto" w:fill="auto"/>
            <w:tcMar>
              <w:top w:w="0" w:type="dxa"/>
              <w:left w:w="20" w:type="dxa"/>
              <w:bottom w:w="0" w:type="dxa"/>
              <w:right w:w="20" w:type="dxa"/>
            </w:tcMar>
          </w:tcPr>
          <w:p w14:paraId="746F057F"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80"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81" w14:textId="77777777" w:rsidR="008E7A10" w:rsidRDefault="00E047B2">
            <w:pPr>
              <w:jc w:val="center"/>
              <w:textAlignment w:val="bottom"/>
            </w:pPr>
            <w:r>
              <w:rPr>
                <w:rFonts w:ascii="sans-serif" w:eastAsia="sans-serif" w:hAnsi="sans-serif" w:cs="sans-serif"/>
                <w:b/>
                <w:bCs/>
                <w:color w:val="000000"/>
                <w:sz w:val="17"/>
                <w:szCs w:val="17"/>
              </w:rPr>
              <w:t>2019</w:t>
            </w:r>
          </w:p>
        </w:tc>
      </w:tr>
      <w:tr w:rsidR="008E7A10" w14:paraId="746F058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83" w14:textId="77777777" w:rsidR="008E7A10" w:rsidRDefault="00E047B2">
            <w:pPr>
              <w:textAlignment w:val="bottom"/>
            </w:pPr>
            <w:r>
              <w:rPr>
                <w:rFonts w:ascii="Arial" w:eastAsia="宋体" w:hAnsi="Arial" w:cs="Arial"/>
                <w:color w:val="000000"/>
                <w:sz w:val="17"/>
                <w:szCs w:val="17"/>
              </w:rPr>
              <w:t>Dividend yield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584" w14:textId="77777777" w:rsidR="008E7A10" w:rsidRDefault="00E047B2">
            <w:pPr>
              <w:jc w:val="right"/>
              <w:textAlignment w:val="bottom"/>
            </w:pPr>
            <w:r>
              <w:rPr>
                <w:rFonts w:ascii="Arial" w:eastAsia="宋体" w:hAnsi="Arial" w:cs="Arial"/>
                <w:color w:val="000000"/>
                <w:sz w:val="17"/>
                <w:szCs w:val="17"/>
              </w:rPr>
              <w:t>0.9 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585"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586"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587" w14:textId="77777777" w:rsidR="008E7A10" w:rsidRDefault="00E047B2">
            <w:pPr>
              <w:jc w:val="right"/>
              <w:textAlignment w:val="bottom"/>
            </w:pPr>
            <w:r>
              <w:rPr>
                <w:rFonts w:ascii="Arial" w:eastAsia="宋体" w:hAnsi="Arial" w:cs="Arial"/>
                <w:color w:val="000000"/>
                <w:sz w:val="17"/>
                <w:szCs w:val="17"/>
              </w:rPr>
              <w:t>%</w:t>
            </w:r>
          </w:p>
        </w:tc>
      </w:tr>
      <w:tr w:rsidR="008E7A10" w14:paraId="746F058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589" w14:textId="77777777" w:rsidR="008E7A10" w:rsidRDefault="00E047B2">
            <w:pPr>
              <w:textAlignment w:val="bottom"/>
            </w:pPr>
            <w:r>
              <w:rPr>
                <w:rFonts w:ascii="Arial" w:eastAsia="宋体" w:hAnsi="Arial" w:cs="Arial"/>
                <w:color w:val="000000"/>
                <w:sz w:val="17"/>
                <w:szCs w:val="17"/>
              </w:rPr>
              <w:t>Expected volatility</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58A" w14:textId="77777777" w:rsidR="008E7A10" w:rsidRDefault="00E047B2">
            <w:pPr>
              <w:jc w:val="right"/>
              <w:textAlignment w:val="bottom"/>
            </w:pPr>
            <w:r>
              <w:rPr>
                <w:rFonts w:ascii="Arial" w:eastAsia="宋体" w:hAnsi="Arial" w:cs="Arial"/>
                <w:color w:val="000000"/>
                <w:sz w:val="17"/>
                <w:szCs w:val="17"/>
              </w:rPr>
              <w:t>27.3 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58B"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58C" w14:textId="77777777" w:rsidR="008E7A10" w:rsidRDefault="00E047B2">
            <w:pPr>
              <w:jc w:val="right"/>
              <w:textAlignment w:val="bottom"/>
            </w:pPr>
            <w:r>
              <w:rPr>
                <w:rFonts w:ascii="Arial" w:eastAsia="宋体" w:hAnsi="Arial" w:cs="Arial"/>
                <w:color w:val="000000"/>
                <w:sz w:val="17"/>
                <w:szCs w:val="17"/>
              </w:rPr>
              <w:t>23.0 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58D" w14:textId="77777777" w:rsidR="008E7A10" w:rsidRDefault="00E047B2">
            <w:pPr>
              <w:jc w:val="right"/>
              <w:textAlignment w:val="bottom"/>
            </w:pPr>
            <w:r>
              <w:rPr>
                <w:rFonts w:ascii="Arial" w:eastAsia="宋体" w:hAnsi="Arial" w:cs="Arial"/>
                <w:color w:val="000000"/>
                <w:sz w:val="17"/>
                <w:szCs w:val="17"/>
              </w:rPr>
              <w:t>%</w:t>
            </w:r>
          </w:p>
        </w:tc>
      </w:tr>
      <w:tr w:rsidR="008E7A10" w14:paraId="746F059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58F" w14:textId="77777777" w:rsidR="008E7A10" w:rsidRDefault="00E047B2">
            <w:pPr>
              <w:textAlignment w:val="bottom"/>
            </w:pPr>
            <w:r>
              <w:rPr>
                <w:rFonts w:ascii="Arial" w:eastAsia="宋体" w:hAnsi="Arial" w:cs="Arial"/>
                <w:color w:val="000000"/>
                <w:sz w:val="17"/>
                <w:szCs w:val="17"/>
              </w:rPr>
              <w:t>Weighted average expected life (in years)</w:t>
            </w:r>
          </w:p>
        </w:tc>
        <w:tc>
          <w:tcPr>
            <w:tcW w:w="0" w:type="auto"/>
            <w:gridSpan w:val="3"/>
            <w:tcBorders>
              <w:top w:val="single" w:sz="8" w:space="0" w:color="808080"/>
            </w:tcBorders>
            <w:shd w:val="clear" w:color="auto" w:fill="FFF1E7"/>
            <w:tcMar>
              <w:top w:w="40" w:type="dxa"/>
              <w:left w:w="20" w:type="dxa"/>
              <w:bottom w:w="40" w:type="dxa"/>
              <w:right w:w="20" w:type="dxa"/>
            </w:tcMar>
            <w:vAlign w:val="bottom"/>
          </w:tcPr>
          <w:p w14:paraId="746F0590" w14:textId="77777777" w:rsidR="008E7A10" w:rsidRDefault="00E047B2">
            <w:pPr>
              <w:jc w:val="right"/>
              <w:textAlignment w:val="bottom"/>
            </w:pPr>
            <w:r>
              <w:rPr>
                <w:rFonts w:ascii="Arial" w:eastAsia="宋体" w:hAnsi="Arial" w:cs="Arial"/>
                <w:color w:val="000000"/>
                <w:sz w:val="17"/>
                <w:szCs w:val="17"/>
              </w:rPr>
              <w:t>6.0</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591" w14:textId="77777777" w:rsidR="008E7A10" w:rsidRDefault="00E047B2">
            <w:pPr>
              <w:jc w:val="right"/>
              <w:textAlignment w:val="bottom"/>
            </w:pPr>
            <w:r>
              <w:rPr>
                <w:rFonts w:ascii="Arial" w:eastAsia="宋体" w:hAnsi="Arial" w:cs="Arial"/>
                <w:color w:val="000000"/>
                <w:sz w:val="17"/>
                <w:szCs w:val="17"/>
              </w:rPr>
              <w:t>6.0</w:t>
            </w:r>
          </w:p>
        </w:tc>
      </w:tr>
      <w:tr w:rsidR="008E7A10" w14:paraId="746F0598"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F0593" w14:textId="77777777" w:rsidR="008E7A10" w:rsidRDefault="00E047B2">
            <w:pPr>
              <w:textAlignment w:val="bottom"/>
            </w:pPr>
            <w:r>
              <w:rPr>
                <w:rFonts w:ascii="Arial" w:eastAsia="宋体" w:hAnsi="Arial" w:cs="Arial"/>
                <w:color w:val="000000"/>
                <w:sz w:val="17"/>
                <w:szCs w:val="17"/>
              </w:rPr>
              <w:t>Risk-free interest rate</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0594" w14:textId="77777777" w:rsidR="008E7A10" w:rsidRDefault="00E047B2">
            <w:pPr>
              <w:jc w:val="right"/>
              <w:textAlignment w:val="bottom"/>
            </w:pPr>
            <w:r>
              <w:rPr>
                <w:rFonts w:ascii="Arial" w:eastAsia="宋体" w:hAnsi="Arial" w:cs="Arial"/>
                <w:color w:val="000000"/>
                <w:sz w:val="17"/>
                <w:szCs w:val="17"/>
              </w:rPr>
              <w:t>0.4 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0595"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0596" w14:textId="77777777" w:rsidR="008E7A10" w:rsidRDefault="00E047B2">
            <w:pPr>
              <w:jc w:val="right"/>
              <w:textAlignment w:val="bottom"/>
            </w:pPr>
            <w:r>
              <w:rPr>
                <w:rFonts w:ascii="Arial" w:eastAsia="宋体" w:hAnsi="Arial" w:cs="Arial"/>
                <w:color w:val="000000"/>
                <w:sz w:val="17"/>
                <w:szCs w:val="17"/>
              </w:rPr>
              <w:t>1.5 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0597" w14:textId="77777777" w:rsidR="008E7A10" w:rsidRDefault="00E047B2">
            <w:pPr>
              <w:jc w:val="right"/>
              <w:textAlignment w:val="bottom"/>
            </w:pPr>
            <w:r>
              <w:rPr>
                <w:rFonts w:ascii="Arial" w:eastAsia="宋体" w:hAnsi="Arial" w:cs="Arial"/>
                <w:color w:val="000000"/>
                <w:sz w:val="17"/>
                <w:szCs w:val="17"/>
              </w:rPr>
              <w:t>%</w:t>
            </w:r>
          </w:p>
        </w:tc>
      </w:tr>
    </w:tbl>
    <w:p w14:paraId="746F0599" w14:textId="77777777" w:rsidR="008E7A10" w:rsidRDefault="00E047B2">
      <w:pPr>
        <w:spacing w:before="120" w:after="120"/>
      </w:pPr>
      <w:r>
        <w:rPr>
          <w:rFonts w:ascii="Arial" w:eastAsia="宋体" w:hAnsi="Arial" w:cs="Arial"/>
          <w:color w:val="000000"/>
          <w:sz w:val="17"/>
          <w:szCs w:val="17"/>
        </w:rPr>
        <w:t xml:space="preserve">Expected volatilities are based on the historical volatility of the Company's common stock, the implied volatility in </w:t>
      </w:r>
      <w:r>
        <w:rPr>
          <w:rFonts w:ascii="Arial" w:eastAsia="宋体" w:hAnsi="Arial" w:cs="Arial"/>
          <w:color w:val="000000"/>
          <w:sz w:val="17"/>
          <w:szCs w:val="17"/>
        </w:rPr>
        <w:t>market traded options on the Company's common stock with a term greater than one year, as well as other factors. The weighted average expected life of options is based on an analysis of historical and expected future exercise patterns. The interest rate is</w:t>
      </w:r>
      <w:r>
        <w:rPr>
          <w:rFonts w:ascii="Arial" w:eastAsia="宋体" w:hAnsi="Arial" w:cs="Arial"/>
          <w:color w:val="000000"/>
          <w:sz w:val="17"/>
          <w:szCs w:val="17"/>
        </w:rPr>
        <w:t xml:space="preserve"> based on the U.S. Treasury (constant maturity) risk-free rate in effect at the date of grant for periods corresponding with the expected term of the options.</w:t>
      </w:r>
    </w:p>
    <w:p w14:paraId="746F059A" w14:textId="77777777" w:rsidR="008E7A10" w:rsidRDefault="00E047B2">
      <w:pPr>
        <w:spacing w:before="120" w:after="120"/>
      </w:pPr>
      <w:r>
        <w:rPr>
          <w:rFonts w:ascii="Arial" w:eastAsia="宋体" w:hAnsi="Arial" w:cs="Arial"/>
          <w:color w:val="000000"/>
          <w:sz w:val="17"/>
          <w:szCs w:val="17"/>
        </w:rPr>
        <w:t>As of November 30, 2020, the Company had $589 million of unrecognized compensation costs from sto</w:t>
      </w:r>
      <w:r>
        <w:rPr>
          <w:rFonts w:ascii="Arial" w:eastAsia="宋体" w:hAnsi="Arial" w:cs="Arial"/>
          <w:color w:val="000000"/>
          <w:sz w:val="17"/>
          <w:szCs w:val="17"/>
        </w:rPr>
        <w:t>ck options, net of estimated forfeitures, to be recognized in Cost of sales or Operating overhead expense, as applicable, over a weighted average remaining period of 2.7 years.</w:t>
      </w:r>
    </w:p>
    <w:p w14:paraId="746F059B" w14:textId="77777777" w:rsidR="008E7A10" w:rsidRDefault="00E047B2">
      <w:pPr>
        <w:spacing w:before="120" w:after="120"/>
        <w:jc w:val="right"/>
      </w:pPr>
      <w:r>
        <w:rPr>
          <w:rFonts w:ascii="Arial" w:eastAsia="宋体" w:hAnsi="Arial" w:cs="Arial"/>
          <w:color w:val="E87722"/>
          <w:sz w:val="17"/>
          <w:szCs w:val="17"/>
        </w:rPr>
        <w:t>11</w:t>
      </w:r>
    </w:p>
    <w:p w14:paraId="746F059C" w14:textId="77777777" w:rsidR="008E7A10" w:rsidRDefault="00E047B2">
      <w:r>
        <w:pict w14:anchorId="746F2013">
          <v:rect id="_x0000_i1037" style="width:415.3pt;height:1.5pt" o:hralign="center" o:hrstd="t" o:hr="t" fillcolor="#a0a0a0" stroked="f"/>
        </w:pict>
      </w:r>
    </w:p>
    <w:p w14:paraId="746F059D" w14:textId="77777777" w:rsidR="008E7A10" w:rsidRDefault="008E7A10"/>
    <w:p w14:paraId="746F059E" w14:textId="77777777" w:rsidR="008E7A10" w:rsidRDefault="00E047B2">
      <w:hyperlink r:id="rId82" w:anchor="i31a624617c6c41b38f8f700fa0df5bde_7" w:history="1">
        <w:r>
          <w:rPr>
            <w:rStyle w:val="a5"/>
            <w:rFonts w:ascii="sans-serif" w:eastAsia="sans-serif" w:hAnsi="sans-serif" w:cs="sans-serif"/>
            <w:sz w:val="17"/>
            <w:szCs w:val="17"/>
          </w:rPr>
          <w:t>Table of Contents</w:t>
        </w:r>
      </w:hyperlink>
    </w:p>
    <w:p w14:paraId="746F059F" w14:textId="77777777" w:rsidR="008E7A10" w:rsidRDefault="008E7A10"/>
    <w:p w14:paraId="746F05A0" w14:textId="77777777" w:rsidR="008E7A10" w:rsidRDefault="00E047B2">
      <w:pPr>
        <w:spacing w:before="240" w:after="120"/>
      </w:pPr>
      <w:r>
        <w:rPr>
          <w:rFonts w:ascii="sans-serif" w:eastAsia="sans-serif" w:hAnsi="sans-serif" w:cs="sans-serif"/>
          <w:b/>
          <w:bCs/>
          <w:color w:val="000000"/>
          <w:sz w:val="28"/>
          <w:szCs w:val="28"/>
        </w:rPr>
        <w:t>RESTRICTED STOCK AND RESTRICTED STOCK UNITS</w:t>
      </w:r>
    </w:p>
    <w:p w14:paraId="746F05A1" w14:textId="77777777" w:rsidR="008E7A10" w:rsidRDefault="00E047B2">
      <w:pPr>
        <w:spacing w:before="120" w:after="120"/>
      </w:pPr>
      <w:r>
        <w:rPr>
          <w:rFonts w:ascii="Arial" w:eastAsia="宋体" w:hAnsi="Arial" w:cs="Arial"/>
          <w:color w:val="000000"/>
          <w:sz w:val="17"/>
          <w:szCs w:val="17"/>
        </w:rPr>
        <w:t xml:space="preserve">The weighted average fair value per share of restricted stock and restricted stock units granted for the six </w:t>
      </w:r>
      <w:r>
        <w:rPr>
          <w:rFonts w:ascii="Arial" w:eastAsia="宋体" w:hAnsi="Arial" w:cs="Arial"/>
          <w:color w:val="000000"/>
          <w:sz w:val="17"/>
          <w:szCs w:val="17"/>
        </w:rPr>
        <w:t xml:space="preserve">months ended November 30, 2020 and 2019, computed as of the grant date, was $109.36 and $84.85, respectively. As of November 30, 2020, the Company had $513 million of unrecognized compensation costs from restricted stock and restricted stock units, net of </w:t>
      </w:r>
      <w:r>
        <w:rPr>
          <w:rFonts w:ascii="Arial" w:eastAsia="宋体" w:hAnsi="Arial" w:cs="Arial"/>
          <w:color w:val="000000"/>
          <w:sz w:val="17"/>
          <w:szCs w:val="17"/>
        </w:rPr>
        <w:t>estimated forfeitures, to be recognized in Cost of sales or Operating overhead expense, as applicable, over a weighted average remaining period of 2.9 years.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05A5" w14:textId="77777777">
        <w:tc>
          <w:tcPr>
            <w:tcW w:w="50" w:type="pct"/>
            <w:shd w:val="clear" w:color="auto" w:fill="auto"/>
          </w:tcPr>
          <w:p w14:paraId="746F05A2" w14:textId="77777777" w:rsidR="008E7A10" w:rsidRDefault="008E7A10">
            <w:pPr>
              <w:rPr>
                <w:rFonts w:ascii="宋体"/>
              </w:rPr>
            </w:pPr>
          </w:p>
        </w:tc>
        <w:tc>
          <w:tcPr>
            <w:tcW w:w="4945" w:type="pct"/>
            <w:shd w:val="clear" w:color="auto" w:fill="auto"/>
          </w:tcPr>
          <w:p w14:paraId="746F05A3" w14:textId="77777777" w:rsidR="008E7A10" w:rsidRDefault="008E7A10">
            <w:pPr>
              <w:rPr>
                <w:rFonts w:ascii="宋体"/>
              </w:rPr>
            </w:pPr>
          </w:p>
        </w:tc>
        <w:tc>
          <w:tcPr>
            <w:tcW w:w="5" w:type="pct"/>
            <w:shd w:val="clear" w:color="auto" w:fill="auto"/>
          </w:tcPr>
          <w:p w14:paraId="746F05A4" w14:textId="77777777" w:rsidR="008E7A10" w:rsidRDefault="008E7A10">
            <w:pPr>
              <w:rPr>
                <w:rFonts w:ascii="宋体"/>
              </w:rPr>
            </w:pPr>
          </w:p>
        </w:tc>
      </w:tr>
      <w:tr w:rsidR="008E7A10" w14:paraId="746F05A7" w14:textId="77777777">
        <w:tc>
          <w:tcPr>
            <w:tcW w:w="0" w:type="auto"/>
            <w:gridSpan w:val="3"/>
            <w:shd w:val="clear" w:color="auto" w:fill="auto"/>
            <w:tcMar>
              <w:top w:w="40" w:type="dxa"/>
              <w:left w:w="20" w:type="dxa"/>
              <w:bottom w:w="40" w:type="dxa"/>
              <w:right w:w="20" w:type="dxa"/>
            </w:tcMar>
            <w:vAlign w:val="bottom"/>
          </w:tcPr>
          <w:p w14:paraId="746F05A6" w14:textId="77777777" w:rsidR="008E7A10" w:rsidRDefault="00E047B2">
            <w:pPr>
              <w:textAlignment w:val="bottom"/>
            </w:pPr>
            <w:r>
              <w:rPr>
                <w:rFonts w:ascii="sans-serif" w:eastAsia="sans-serif" w:hAnsi="sans-serif" w:cs="sans-serif"/>
                <w:b/>
                <w:bCs/>
                <w:color w:val="E87722"/>
                <w:sz w:val="36"/>
                <w:szCs w:val="36"/>
              </w:rPr>
              <w:t>NOTE 8 — EARNINGS PER SHARE</w:t>
            </w:r>
          </w:p>
        </w:tc>
      </w:tr>
    </w:tbl>
    <w:p w14:paraId="746F05A8" w14:textId="77777777" w:rsidR="008E7A10" w:rsidRDefault="00E047B2">
      <w:pPr>
        <w:spacing w:before="120"/>
      </w:pPr>
      <w:r>
        <w:rPr>
          <w:rFonts w:ascii="Arial" w:eastAsia="宋体" w:hAnsi="Arial" w:cs="Arial"/>
          <w:color w:val="000000"/>
          <w:sz w:val="17"/>
          <w:szCs w:val="17"/>
        </w:rPr>
        <w:t xml:space="preserve">The following is a reconciliation from basic earnings per </w:t>
      </w:r>
      <w:r>
        <w:rPr>
          <w:rFonts w:ascii="Arial" w:eastAsia="宋体" w:hAnsi="Arial" w:cs="Arial"/>
          <w:color w:val="000000"/>
          <w:sz w:val="17"/>
          <w:szCs w:val="17"/>
        </w:rPr>
        <w:t>common share to diluted earnings per common share. The computations of diluted earnings per common share excluded options, including shares under ESPPs, and restricted stock to purchase an additional 12.6 million and 34.2 million shares of common stock out</w:t>
      </w:r>
      <w:r>
        <w:rPr>
          <w:rFonts w:ascii="Arial" w:eastAsia="宋体" w:hAnsi="Arial" w:cs="Arial"/>
          <w:color w:val="000000"/>
          <w:sz w:val="17"/>
          <w:szCs w:val="17"/>
        </w:rPr>
        <w:t>standing for the three months ended November 30, 2020 and 2019, respectively, and 13.5 million and 34.2 million shares of common stock outstanding for the six months ended November 30, 2020 and 2019, respectively, because the options were anti-dilutive.</w:t>
      </w:r>
    </w:p>
    <w:tbl>
      <w:tblPr>
        <w:tblW w:w="5000" w:type="pct"/>
        <w:tblCellMar>
          <w:top w:w="15" w:type="dxa"/>
          <w:left w:w="15" w:type="dxa"/>
          <w:bottom w:w="15" w:type="dxa"/>
          <w:right w:w="15" w:type="dxa"/>
        </w:tblCellMar>
        <w:tblLook w:val="04A0" w:firstRow="1" w:lastRow="0" w:firstColumn="1" w:lastColumn="0" w:noHBand="0" w:noVBand="1"/>
      </w:tblPr>
      <w:tblGrid>
        <w:gridCol w:w="40"/>
        <w:gridCol w:w="4787"/>
        <w:gridCol w:w="39"/>
        <w:gridCol w:w="116"/>
        <w:gridCol w:w="697"/>
        <w:gridCol w:w="36"/>
        <w:gridCol w:w="116"/>
        <w:gridCol w:w="697"/>
        <w:gridCol w:w="36"/>
        <w:gridCol w:w="36"/>
        <w:gridCol w:w="36"/>
        <w:gridCol w:w="36"/>
        <w:gridCol w:w="116"/>
        <w:gridCol w:w="662"/>
        <w:gridCol w:w="36"/>
        <w:gridCol w:w="116"/>
        <w:gridCol w:w="698"/>
        <w:gridCol w:w="36"/>
      </w:tblGrid>
      <w:tr w:rsidR="008E7A10" w14:paraId="746F05BB" w14:textId="77777777">
        <w:tc>
          <w:tcPr>
            <w:tcW w:w="50" w:type="pct"/>
            <w:shd w:val="clear" w:color="auto" w:fill="auto"/>
          </w:tcPr>
          <w:p w14:paraId="746F05A9" w14:textId="77777777" w:rsidR="008E7A10" w:rsidRDefault="008E7A10">
            <w:pPr>
              <w:rPr>
                <w:rFonts w:ascii="宋体"/>
              </w:rPr>
            </w:pPr>
          </w:p>
        </w:tc>
        <w:tc>
          <w:tcPr>
            <w:tcW w:w="2900" w:type="pct"/>
            <w:shd w:val="clear" w:color="auto" w:fill="auto"/>
          </w:tcPr>
          <w:p w14:paraId="746F05AA" w14:textId="77777777" w:rsidR="008E7A10" w:rsidRDefault="008E7A10">
            <w:pPr>
              <w:rPr>
                <w:rFonts w:ascii="宋体"/>
              </w:rPr>
            </w:pPr>
          </w:p>
        </w:tc>
        <w:tc>
          <w:tcPr>
            <w:tcW w:w="5" w:type="pct"/>
            <w:shd w:val="clear" w:color="auto" w:fill="auto"/>
          </w:tcPr>
          <w:p w14:paraId="746F05AB" w14:textId="77777777" w:rsidR="008E7A10" w:rsidRDefault="008E7A10">
            <w:pPr>
              <w:rPr>
                <w:rFonts w:ascii="宋体"/>
              </w:rPr>
            </w:pPr>
          </w:p>
        </w:tc>
        <w:tc>
          <w:tcPr>
            <w:tcW w:w="50" w:type="pct"/>
            <w:shd w:val="clear" w:color="auto" w:fill="auto"/>
          </w:tcPr>
          <w:p w14:paraId="746F05AC" w14:textId="77777777" w:rsidR="008E7A10" w:rsidRDefault="008E7A10">
            <w:pPr>
              <w:rPr>
                <w:rFonts w:ascii="宋体"/>
              </w:rPr>
            </w:pPr>
          </w:p>
        </w:tc>
        <w:tc>
          <w:tcPr>
            <w:tcW w:w="446" w:type="pct"/>
            <w:shd w:val="clear" w:color="auto" w:fill="auto"/>
          </w:tcPr>
          <w:p w14:paraId="746F05AD" w14:textId="77777777" w:rsidR="008E7A10" w:rsidRDefault="008E7A10">
            <w:pPr>
              <w:rPr>
                <w:rFonts w:ascii="宋体"/>
              </w:rPr>
            </w:pPr>
          </w:p>
        </w:tc>
        <w:tc>
          <w:tcPr>
            <w:tcW w:w="5" w:type="pct"/>
            <w:shd w:val="clear" w:color="auto" w:fill="auto"/>
          </w:tcPr>
          <w:p w14:paraId="746F05AE" w14:textId="77777777" w:rsidR="008E7A10" w:rsidRDefault="008E7A10">
            <w:pPr>
              <w:rPr>
                <w:rFonts w:ascii="宋体"/>
              </w:rPr>
            </w:pPr>
          </w:p>
        </w:tc>
        <w:tc>
          <w:tcPr>
            <w:tcW w:w="50" w:type="pct"/>
            <w:shd w:val="clear" w:color="auto" w:fill="auto"/>
          </w:tcPr>
          <w:p w14:paraId="746F05AF" w14:textId="77777777" w:rsidR="008E7A10" w:rsidRDefault="008E7A10">
            <w:pPr>
              <w:rPr>
                <w:rFonts w:ascii="宋体"/>
              </w:rPr>
            </w:pPr>
          </w:p>
        </w:tc>
        <w:tc>
          <w:tcPr>
            <w:tcW w:w="446" w:type="pct"/>
            <w:shd w:val="clear" w:color="auto" w:fill="auto"/>
          </w:tcPr>
          <w:p w14:paraId="746F05B0" w14:textId="77777777" w:rsidR="008E7A10" w:rsidRDefault="008E7A10">
            <w:pPr>
              <w:rPr>
                <w:rFonts w:ascii="宋体"/>
              </w:rPr>
            </w:pPr>
          </w:p>
        </w:tc>
        <w:tc>
          <w:tcPr>
            <w:tcW w:w="5" w:type="pct"/>
            <w:shd w:val="clear" w:color="auto" w:fill="auto"/>
          </w:tcPr>
          <w:p w14:paraId="746F05B1" w14:textId="77777777" w:rsidR="008E7A10" w:rsidRDefault="008E7A10">
            <w:pPr>
              <w:rPr>
                <w:rFonts w:ascii="宋体"/>
              </w:rPr>
            </w:pPr>
          </w:p>
        </w:tc>
        <w:tc>
          <w:tcPr>
            <w:tcW w:w="5" w:type="pct"/>
            <w:shd w:val="clear" w:color="auto" w:fill="auto"/>
          </w:tcPr>
          <w:p w14:paraId="746F05B2" w14:textId="77777777" w:rsidR="008E7A10" w:rsidRDefault="008E7A10">
            <w:pPr>
              <w:rPr>
                <w:rFonts w:ascii="宋体"/>
              </w:rPr>
            </w:pPr>
          </w:p>
        </w:tc>
        <w:tc>
          <w:tcPr>
            <w:tcW w:w="28" w:type="pct"/>
            <w:shd w:val="clear" w:color="auto" w:fill="auto"/>
          </w:tcPr>
          <w:p w14:paraId="746F05B3" w14:textId="77777777" w:rsidR="008E7A10" w:rsidRDefault="008E7A10">
            <w:pPr>
              <w:rPr>
                <w:rFonts w:ascii="宋体"/>
              </w:rPr>
            </w:pPr>
          </w:p>
        </w:tc>
        <w:tc>
          <w:tcPr>
            <w:tcW w:w="5" w:type="pct"/>
            <w:shd w:val="clear" w:color="auto" w:fill="auto"/>
          </w:tcPr>
          <w:p w14:paraId="746F05B4" w14:textId="77777777" w:rsidR="008E7A10" w:rsidRDefault="008E7A10">
            <w:pPr>
              <w:rPr>
                <w:rFonts w:ascii="宋体"/>
              </w:rPr>
            </w:pPr>
          </w:p>
        </w:tc>
        <w:tc>
          <w:tcPr>
            <w:tcW w:w="50" w:type="pct"/>
            <w:shd w:val="clear" w:color="auto" w:fill="auto"/>
          </w:tcPr>
          <w:p w14:paraId="746F05B5" w14:textId="77777777" w:rsidR="008E7A10" w:rsidRDefault="008E7A10">
            <w:pPr>
              <w:rPr>
                <w:rFonts w:ascii="宋体"/>
              </w:rPr>
            </w:pPr>
          </w:p>
        </w:tc>
        <w:tc>
          <w:tcPr>
            <w:tcW w:w="446" w:type="pct"/>
            <w:shd w:val="clear" w:color="auto" w:fill="auto"/>
          </w:tcPr>
          <w:p w14:paraId="746F05B6" w14:textId="77777777" w:rsidR="008E7A10" w:rsidRDefault="008E7A10">
            <w:pPr>
              <w:rPr>
                <w:rFonts w:ascii="宋体"/>
              </w:rPr>
            </w:pPr>
          </w:p>
        </w:tc>
        <w:tc>
          <w:tcPr>
            <w:tcW w:w="5" w:type="pct"/>
            <w:shd w:val="clear" w:color="auto" w:fill="auto"/>
          </w:tcPr>
          <w:p w14:paraId="746F05B7" w14:textId="77777777" w:rsidR="008E7A10" w:rsidRDefault="008E7A10">
            <w:pPr>
              <w:rPr>
                <w:rFonts w:ascii="宋体"/>
              </w:rPr>
            </w:pPr>
          </w:p>
        </w:tc>
        <w:tc>
          <w:tcPr>
            <w:tcW w:w="50" w:type="pct"/>
            <w:shd w:val="clear" w:color="auto" w:fill="auto"/>
          </w:tcPr>
          <w:p w14:paraId="746F05B8" w14:textId="77777777" w:rsidR="008E7A10" w:rsidRDefault="008E7A10">
            <w:pPr>
              <w:rPr>
                <w:rFonts w:ascii="宋体"/>
              </w:rPr>
            </w:pPr>
          </w:p>
        </w:tc>
        <w:tc>
          <w:tcPr>
            <w:tcW w:w="446" w:type="pct"/>
            <w:shd w:val="clear" w:color="auto" w:fill="auto"/>
          </w:tcPr>
          <w:p w14:paraId="746F05B9" w14:textId="77777777" w:rsidR="008E7A10" w:rsidRDefault="008E7A10">
            <w:pPr>
              <w:rPr>
                <w:rFonts w:ascii="宋体"/>
              </w:rPr>
            </w:pPr>
          </w:p>
        </w:tc>
        <w:tc>
          <w:tcPr>
            <w:tcW w:w="5" w:type="pct"/>
            <w:shd w:val="clear" w:color="auto" w:fill="auto"/>
          </w:tcPr>
          <w:p w14:paraId="746F05BA" w14:textId="77777777" w:rsidR="008E7A10" w:rsidRDefault="008E7A10">
            <w:pPr>
              <w:rPr>
                <w:rFonts w:ascii="宋体"/>
              </w:rPr>
            </w:pPr>
          </w:p>
        </w:tc>
      </w:tr>
      <w:tr w:rsidR="008E7A10" w14:paraId="746F05C0" w14:textId="77777777">
        <w:tc>
          <w:tcPr>
            <w:tcW w:w="0" w:type="auto"/>
            <w:gridSpan w:val="3"/>
            <w:shd w:val="clear" w:color="auto" w:fill="auto"/>
            <w:tcMar>
              <w:top w:w="40" w:type="dxa"/>
              <w:left w:w="20" w:type="dxa"/>
              <w:bottom w:w="40" w:type="dxa"/>
              <w:right w:w="20" w:type="dxa"/>
            </w:tcMar>
            <w:vAlign w:val="bottom"/>
          </w:tcPr>
          <w:p w14:paraId="746F05BC" w14:textId="77777777" w:rsidR="008E7A10" w:rsidRDefault="00E047B2">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746F05BD"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05BE" w14:textId="77777777" w:rsidR="008E7A10" w:rsidRDefault="008E7A10">
            <w:pPr>
              <w:rPr>
                <w:rFonts w:ascii="宋体"/>
              </w:rPr>
            </w:pPr>
          </w:p>
        </w:tc>
        <w:tc>
          <w:tcPr>
            <w:tcW w:w="0" w:type="auto"/>
            <w:gridSpan w:val="6"/>
            <w:shd w:val="clear" w:color="auto" w:fill="auto"/>
            <w:tcMar>
              <w:top w:w="40" w:type="dxa"/>
              <w:left w:w="20" w:type="dxa"/>
              <w:bottom w:w="40" w:type="dxa"/>
              <w:right w:w="20" w:type="dxa"/>
            </w:tcMar>
            <w:vAlign w:val="bottom"/>
          </w:tcPr>
          <w:p w14:paraId="746F05BF"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05C7" w14:textId="77777777">
        <w:tc>
          <w:tcPr>
            <w:tcW w:w="0" w:type="auto"/>
            <w:gridSpan w:val="3"/>
            <w:shd w:val="clear" w:color="auto" w:fill="auto"/>
            <w:tcMar>
              <w:top w:w="40" w:type="dxa"/>
              <w:left w:w="20" w:type="dxa"/>
              <w:bottom w:w="40" w:type="dxa"/>
              <w:right w:w="20" w:type="dxa"/>
            </w:tcMar>
            <w:vAlign w:val="bottom"/>
          </w:tcPr>
          <w:p w14:paraId="746F05C1" w14:textId="77777777" w:rsidR="008E7A10" w:rsidRDefault="00E047B2">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C2"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C3"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tcPr>
          <w:p w14:paraId="746F05C4"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C5"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C6" w14:textId="77777777" w:rsidR="008E7A10" w:rsidRDefault="00E047B2">
            <w:pPr>
              <w:jc w:val="center"/>
              <w:textAlignment w:val="bottom"/>
            </w:pPr>
            <w:r>
              <w:rPr>
                <w:rFonts w:ascii="sans-serif" w:eastAsia="sans-serif" w:hAnsi="sans-serif" w:cs="sans-serif"/>
                <w:b/>
                <w:bCs/>
                <w:color w:val="000000"/>
                <w:sz w:val="17"/>
                <w:szCs w:val="17"/>
              </w:rPr>
              <w:t>2019</w:t>
            </w:r>
          </w:p>
        </w:tc>
      </w:tr>
      <w:tr w:rsidR="008E7A10" w14:paraId="746F05D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C8" w14:textId="77777777" w:rsidR="008E7A10" w:rsidRDefault="00E047B2">
            <w:pPr>
              <w:textAlignment w:val="bottom"/>
            </w:pPr>
            <w:r>
              <w:rPr>
                <w:rFonts w:ascii="Arial" w:eastAsia="宋体" w:hAnsi="Arial" w:cs="Arial"/>
                <w:color w:val="000000"/>
                <w:sz w:val="17"/>
                <w:szCs w:val="17"/>
              </w:rPr>
              <w:t>Net income available to common stockholders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05C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5CA" w14:textId="77777777" w:rsidR="008E7A10" w:rsidRDefault="00E047B2">
            <w:pPr>
              <w:jc w:val="right"/>
              <w:textAlignment w:val="bottom"/>
            </w:pPr>
            <w:r>
              <w:rPr>
                <w:rFonts w:ascii="Arial" w:eastAsia="宋体" w:hAnsi="Arial" w:cs="Arial"/>
                <w:color w:val="000000"/>
                <w:sz w:val="17"/>
                <w:szCs w:val="17"/>
              </w:rPr>
              <w:t>1,251 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5CB"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5C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5CD" w14:textId="77777777" w:rsidR="008E7A10" w:rsidRDefault="00E047B2">
            <w:pPr>
              <w:jc w:val="right"/>
              <w:textAlignment w:val="bottom"/>
            </w:pPr>
            <w:r>
              <w:rPr>
                <w:rFonts w:ascii="Arial" w:eastAsia="宋体" w:hAnsi="Arial" w:cs="Arial"/>
                <w:color w:val="000000"/>
                <w:sz w:val="17"/>
                <w:szCs w:val="17"/>
              </w:rPr>
              <w:t>1,115 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5CE"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5CF"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5D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5D1" w14:textId="77777777" w:rsidR="008E7A10" w:rsidRDefault="00E047B2">
            <w:pPr>
              <w:jc w:val="right"/>
              <w:textAlignment w:val="bottom"/>
            </w:pPr>
            <w:r>
              <w:rPr>
                <w:rFonts w:ascii="Arial" w:eastAsia="宋体" w:hAnsi="Arial" w:cs="Arial"/>
                <w:color w:val="000000"/>
                <w:sz w:val="17"/>
                <w:szCs w:val="17"/>
              </w:rPr>
              <w:t>2,769 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5D2"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5D3"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5D4" w14:textId="77777777" w:rsidR="008E7A10" w:rsidRDefault="00E047B2">
            <w:pPr>
              <w:jc w:val="right"/>
              <w:textAlignment w:val="bottom"/>
            </w:pPr>
            <w:r>
              <w:rPr>
                <w:rFonts w:ascii="Arial" w:eastAsia="宋体" w:hAnsi="Arial" w:cs="Arial"/>
                <w:color w:val="000000"/>
                <w:sz w:val="17"/>
                <w:szCs w:val="17"/>
              </w:rPr>
              <w:t>2,482 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5D5" w14:textId="77777777" w:rsidR="008E7A10" w:rsidRDefault="008E7A10">
            <w:pPr>
              <w:jc w:val="right"/>
              <w:rPr>
                <w:rFonts w:ascii="宋体"/>
              </w:rPr>
            </w:pPr>
          </w:p>
        </w:tc>
      </w:tr>
      <w:tr w:rsidR="008E7A10" w14:paraId="746F05D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5D7" w14:textId="77777777" w:rsidR="008E7A10" w:rsidRDefault="00E047B2">
            <w:pPr>
              <w:textAlignment w:val="bottom"/>
            </w:pPr>
            <w:r>
              <w:rPr>
                <w:rFonts w:ascii="Arial" w:eastAsia="宋体" w:hAnsi="Arial" w:cs="Arial"/>
                <w:color w:val="000000"/>
                <w:sz w:val="17"/>
                <w:szCs w:val="17"/>
              </w:rPr>
              <w:t>Determination of shares:</w:t>
            </w:r>
          </w:p>
        </w:tc>
        <w:tc>
          <w:tcPr>
            <w:tcW w:w="0" w:type="auto"/>
            <w:gridSpan w:val="3"/>
            <w:tcBorders>
              <w:top w:val="single" w:sz="8" w:space="0" w:color="808080"/>
            </w:tcBorders>
            <w:shd w:val="clear" w:color="auto" w:fill="FFF1E7"/>
            <w:tcMar>
              <w:top w:w="0" w:type="dxa"/>
              <w:left w:w="20" w:type="dxa"/>
              <w:bottom w:w="0" w:type="dxa"/>
              <w:right w:w="20" w:type="dxa"/>
            </w:tcMar>
          </w:tcPr>
          <w:p w14:paraId="746F05D8"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5D9"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5DA"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05DB"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5DC" w14:textId="77777777" w:rsidR="008E7A10" w:rsidRDefault="008E7A10">
            <w:pPr>
              <w:rPr>
                <w:rFonts w:ascii="宋体"/>
              </w:rPr>
            </w:pPr>
          </w:p>
        </w:tc>
      </w:tr>
      <w:tr w:rsidR="008E7A10" w14:paraId="746F05E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5DE" w14:textId="77777777" w:rsidR="008E7A10" w:rsidRDefault="00E047B2">
            <w:pPr>
              <w:textAlignment w:val="bottom"/>
            </w:pPr>
            <w:r>
              <w:rPr>
                <w:rFonts w:ascii="Arial" w:eastAsia="宋体" w:hAnsi="Arial" w:cs="Arial"/>
                <w:color w:val="000000"/>
                <w:sz w:val="17"/>
                <w:szCs w:val="17"/>
              </w:rPr>
              <w:t>Weighted average common shares outstanding</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5DF" w14:textId="77777777" w:rsidR="008E7A10" w:rsidRDefault="00E047B2">
            <w:pPr>
              <w:jc w:val="right"/>
              <w:textAlignment w:val="bottom"/>
            </w:pPr>
            <w:r>
              <w:rPr>
                <w:rFonts w:ascii="Arial" w:eastAsia="宋体" w:hAnsi="Arial" w:cs="Arial"/>
                <w:color w:val="000000"/>
                <w:sz w:val="17"/>
                <w:szCs w:val="17"/>
              </w:rPr>
              <w:t>1,573.0 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5E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5E1" w14:textId="77777777" w:rsidR="008E7A10" w:rsidRDefault="00E047B2">
            <w:pPr>
              <w:jc w:val="right"/>
              <w:textAlignment w:val="bottom"/>
            </w:pPr>
            <w:r>
              <w:rPr>
                <w:rFonts w:ascii="Arial" w:eastAsia="宋体" w:hAnsi="Arial" w:cs="Arial"/>
                <w:color w:val="000000"/>
                <w:sz w:val="17"/>
                <w:szCs w:val="17"/>
              </w:rPr>
              <w:t>1,560.6 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5E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5E3"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5E4" w14:textId="77777777" w:rsidR="008E7A10" w:rsidRDefault="00E047B2">
            <w:pPr>
              <w:jc w:val="right"/>
              <w:textAlignment w:val="bottom"/>
            </w:pPr>
            <w:r>
              <w:rPr>
                <w:rFonts w:ascii="Arial" w:eastAsia="宋体" w:hAnsi="Arial" w:cs="Arial"/>
                <w:color w:val="000000"/>
                <w:sz w:val="17"/>
                <w:szCs w:val="17"/>
              </w:rPr>
              <w:t>1,567.4 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5E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5E6" w14:textId="77777777" w:rsidR="008E7A10" w:rsidRDefault="00E047B2">
            <w:pPr>
              <w:jc w:val="right"/>
              <w:textAlignment w:val="bottom"/>
            </w:pPr>
            <w:r>
              <w:rPr>
                <w:rFonts w:ascii="Arial" w:eastAsia="宋体" w:hAnsi="Arial" w:cs="Arial"/>
                <w:color w:val="000000"/>
                <w:sz w:val="17"/>
                <w:szCs w:val="17"/>
              </w:rPr>
              <w:t>1,561.5 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5E7" w14:textId="77777777" w:rsidR="008E7A10" w:rsidRDefault="008E7A10">
            <w:pPr>
              <w:jc w:val="right"/>
              <w:rPr>
                <w:rFonts w:ascii="宋体"/>
              </w:rPr>
            </w:pPr>
          </w:p>
        </w:tc>
      </w:tr>
      <w:tr w:rsidR="008E7A10" w14:paraId="746F05F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5E9" w14:textId="77777777" w:rsidR="008E7A10" w:rsidRDefault="00E047B2">
            <w:pPr>
              <w:textAlignment w:val="bottom"/>
            </w:pPr>
            <w:r>
              <w:rPr>
                <w:rFonts w:ascii="Arial" w:eastAsia="宋体" w:hAnsi="Arial" w:cs="Arial"/>
                <w:color w:val="000000"/>
                <w:sz w:val="17"/>
                <w:szCs w:val="17"/>
              </w:rPr>
              <w:t>Assumed conversion of dilutive stock options and awards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5EA" w14:textId="77777777" w:rsidR="008E7A10" w:rsidRDefault="00E047B2">
            <w:pPr>
              <w:jc w:val="right"/>
              <w:textAlignment w:val="bottom"/>
            </w:pPr>
            <w:r>
              <w:rPr>
                <w:rFonts w:ascii="Arial" w:eastAsia="宋体" w:hAnsi="Arial" w:cs="Arial"/>
                <w:color w:val="000000"/>
                <w:sz w:val="17"/>
                <w:szCs w:val="17"/>
              </w:rPr>
              <w:t>36.5 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5E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5EC" w14:textId="77777777" w:rsidR="008E7A10" w:rsidRDefault="00E047B2">
            <w:pPr>
              <w:jc w:val="right"/>
              <w:textAlignment w:val="bottom"/>
            </w:pPr>
            <w:r>
              <w:rPr>
                <w:rFonts w:ascii="Arial" w:eastAsia="宋体" w:hAnsi="Arial" w:cs="Arial"/>
                <w:color w:val="000000"/>
                <w:sz w:val="17"/>
                <w:szCs w:val="17"/>
              </w:rPr>
              <w:t>33.8 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5ED"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5EE"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5EF" w14:textId="77777777" w:rsidR="008E7A10" w:rsidRDefault="00E047B2">
            <w:pPr>
              <w:jc w:val="right"/>
              <w:textAlignment w:val="bottom"/>
            </w:pPr>
            <w:r>
              <w:rPr>
                <w:rFonts w:ascii="Arial" w:eastAsia="宋体" w:hAnsi="Arial" w:cs="Arial"/>
                <w:color w:val="000000"/>
                <w:sz w:val="17"/>
                <w:szCs w:val="17"/>
              </w:rPr>
              <w:t>34.5 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5F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5F1" w14:textId="77777777" w:rsidR="008E7A10" w:rsidRDefault="00E047B2">
            <w:pPr>
              <w:jc w:val="right"/>
              <w:textAlignment w:val="bottom"/>
            </w:pPr>
            <w:r>
              <w:rPr>
                <w:rFonts w:ascii="Arial" w:eastAsia="宋体" w:hAnsi="Arial" w:cs="Arial"/>
                <w:color w:val="000000"/>
                <w:sz w:val="17"/>
                <w:szCs w:val="17"/>
              </w:rPr>
              <w:t>34.5 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5F2" w14:textId="77777777" w:rsidR="008E7A10" w:rsidRDefault="008E7A10">
            <w:pPr>
              <w:jc w:val="right"/>
              <w:rPr>
                <w:rFonts w:ascii="宋体"/>
              </w:rPr>
            </w:pPr>
          </w:p>
        </w:tc>
      </w:tr>
      <w:tr w:rsidR="008E7A10" w14:paraId="746F05F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F4" w14:textId="77777777" w:rsidR="008E7A10" w:rsidRDefault="00E047B2">
            <w:pPr>
              <w:textAlignment w:val="bottom"/>
            </w:pPr>
            <w:r>
              <w:rPr>
                <w:rFonts w:ascii="Arial" w:eastAsia="宋体" w:hAnsi="Arial" w:cs="Arial"/>
                <w:b/>
                <w:bCs/>
                <w:color w:val="000000"/>
                <w:sz w:val="17"/>
                <w:szCs w:val="17"/>
              </w:rPr>
              <w:t>DILUTED WEIGHTED AVERAGE COMMON SHARES OUTSTANDING</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5F5" w14:textId="77777777" w:rsidR="008E7A10" w:rsidRDefault="00E047B2">
            <w:pPr>
              <w:jc w:val="right"/>
              <w:textAlignment w:val="bottom"/>
            </w:pPr>
            <w:r>
              <w:rPr>
                <w:rFonts w:ascii="Arial" w:eastAsia="宋体" w:hAnsi="Arial" w:cs="Arial"/>
                <w:b/>
                <w:bCs/>
                <w:color w:val="000000"/>
                <w:sz w:val="17"/>
                <w:szCs w:val="17"/>
              </w:rPr>
              <w:t>1,609.5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5F6"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5F7" w14:textId="77777777" w:rsidR="008E7A10" w:rsidRDefault="00E047B2">
            <w:pPr>
              <w:jc w:val="right"/>
              <w:textAlignment w:val="bottom"/>
            </w:pPr>
            <w:r>
              <w:rPr>
                <w:rFonts w:ascii="Arial" w:eastAsia="宋体" w:hAnsi="Arial" w:cs="Arial"/>
                <w:b/>
                <w:bCs/>
                <w:color w:val="000000"/>
                <w:sz w:val="17"/>
                <w:szCs w:val="17"/>
              </w:rPr>
              <w:t>1,594.4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5F8"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5F9"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5FA" w14:textId="77777777" w:rsidR="008E7A10" w:rsidRDefault="00E047B2">
            <w:pPr>
              <w:jc w:val="right"/>
              <w:textAlignment w:val="bottom"/>
            </w:pPr>
            <w:r>
              <w:rPr>
                <w:rFonts w:ascii="Arial" w:eastAsia="宋体" w:hAnsi="Arial" w:cs="Arial"/>
                <w:b/>
                <w:bCs/>
                <w:color w:val="000000"/>
                <w:sz w:val="17"/>
                <w:szCs w:val="17"/>
              </w:rPr>
              <w:t>1,601.9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5FB"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5FC" w14:textId="77777777" w:rsidR="008E7A10" w:rsidRDefault="00E047B2">
            <w:pPr>
              <w:jc w:val="right"/>
              <w:textAlignment w:val="bottom"/>
            </w:pPr>
            <w:r>
              <w:rPr>
                <w:rFonts w:ascii="Arial" w:eastAsia="宋体" w:hAnsi="Arial" w:cs="Arial"/>
                <w:b/>
                <w:bCs/>
                <w:color w:val="000000"/>
                <w:sz w:val="17"/>
                <w:szCs w:val="17"/>
              </w:rPr>
              <w:t>1,596.0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5FD" w14:textId="77777777" w:rsidR="008E7A10" w:rsidRDefault="008E7A10">
            <w:pPr>
              <w:jc w:val="right"/>
              <w:rPr>
                <w:rFonts w:ascii="宋体"/>
              </w:rPr>
            </w:pPr>
          </w:p>
        </w:tc>
      </w:tr>
      <w:tr w:rsidR="008E7A10" w14:paraId="746F060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5FF" w14:textId="77777777" w:rsidR="008E7A10" w:rsidRDefault="00E047B2">
            <w:pPr>
              <w:textAlignment w:val="bottom"/>
            </w:pPr>
            <w:r>
              <w:rPr>
                <w:rFonts w:ascii="Arial" w:eastAsia="宋体" w:hAnsi="Arial" w:cs="Arial"/>
                <w:color w:val="000000"/>
                <w:sz w:val="17"/>
                <w:szCs w:val="17"/>
              </w:rPr>
              <w:t>Ear</w:t>
            </w:r>
            <w:r>
              <w:rPr>
                <w:rFonts w:ascii="Arial" w:eastAsia="宋体" w:hAnsi="Arial" w:cs="Arial"/>
                <w:color w:val="000000"/>
                <w:sz w:val="17"/>
                <w:szCs w:val="17"/>
              </w:rPr>
              <w:t>nings per common share:</w:t>
            </w:r>
          </w:p>
        </w:tc>
        <w:tc>
          <w:tcPr>
            <w:tcW w:w="0" w:type="auto"/>
            <w:gridSpan w:val="3"/>
            <w:tcBorders>
              <w:top w:val="single" w:sz="8" w:space="0" w:color="E87722"/>
            </w:tcBorders>
            <w:shd w:val="clear" w:color="auto" w:fill="FFF1E7"/>
            <w:tcMar>
              <w:top w:w="0" w:type="dxa"/>
              <w:left w:w="20" w:type="dxa"/>
              <w:bottom w:w="0" w:type="dxa"/>
              <w:right w:w="20" w:type="dxa"/>
            </w:tcMar>
          </w:tcPr>
          <w:p w14:paraId="746F060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0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02"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603"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04" w14:textId="77777777" w:rsidR="008E7A10" w:rsidRDefault="008E7A10">
            <w:pPr>
              <w:rPr>
                <w:rFonts w:ascii="宋体"/>
              </w:rPr>
            </w:pPr>
          </w:p>
        </w:tc>
      </w:tr>
      <w:tr w:rsidR="008E7A10" w14:paraId="746F061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606" w14:textId="77777777" w:rsidR="008E7A10" w:rsidRDefault="00E047B2">
            <w:pPr>
              <w:textAlignment w:val="bottom"/>
            </w:pPr>
            <w:r>
              <w:rPr>
                <w:rFonts w:ascii="Arial" w:eastAsia="宋体" w:hAnsi="Arial" w:cs="Arial"/>
                <w:color w:val="000000"/>
                <w:sz w:val="17"/>
                <w:szCs w:val="17"/>
              </w:rPr>
              <w:t>Basic</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60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608" w14:textId="77777777" w:rsidR="008E7A10" w:rsidRDefault="00E047B2">
            <w:pPr>
              <w:jc w:val="right"/>
              <w:textAlignment w:val="bottom"/>
            </w:pPr>
            <w:r>
              <w:rPr>
                <w:rFonts w:ascii="Arial" w:eastAsia="宋体" w:hAnsi="Arial" w:cs="Arial"/>
                <w:color w:val="000000"/>
                <w:sz w:val="17"/>
                <w:szCs w:val="17"/>
              </w:rPr>
              <w:t>0.80 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609"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60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60B" w14:textId="77777777" w:rsidR="008E7A10" w:rsidRDefault="00E047B2">
            <w:pPr>
              <w:jc w:val="right"/>
              <w:textAlignment w:val="bottom"/>
            </w:pPr>
            <w:r>
              <w:rPr>
                <w:rFonts w:ascii="Arial" w:eastAsia="宋体" w:hAnsi="Arial" w:cs="Arial"/>
                <w:color w:val="000000"/>
                <w:sz w:val="17"/>
                <w:szCs w:val="17"/>
              </w:rPr>
              <w:t>0.71 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60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60D"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60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60F" w14:textId="77777777" w:rsidR="008E7A10" w:rsidRDefault="00E047B2">
            <w:pPr>
              <w:jc w:val="right"/>
              <w:textAlignment w:val="bottom"/>
            </w:pPr>
            <w:r>
              <w:rPr>
                <w:rFonts w:ascii="Arial" w:eastAsia="宋体" w:hAnsi="Arial" w:cs="Arial"/>
                <w:color w:val="000000"/>
                <w:sz w:val="17"/>
                <w:szCs w:val="17"/>
              </w:rPr>
              <w:t>1.77 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610"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61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612" w14:textId="77777777" w:rsidR="008E7A10" w:rsidRDefault="00E047B2">
            <w:pPr>
              <w:jc w:val="right"/>
              <w:textAlignment w:val="bottom"/>
            </w:pPr>
            <w:r>
              <w:rPr>
                <w:rFonts w:ascii="Arial" w:eastAsia="宋体" w:hAnsi="Arial" w:cs="Arial"/>
                <w:color w:val="000000"/>
                <w:sz w:val="17"/>
                <w:szCs w:val="17"/>
              </w:rPr>
              <w:t>1.59 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613" w14:textId="77777777" w:rsidR="008E7A10" w:rsidRDefault="008E7A10">
            <w:pPr>
              <w:jc w:val="right"/>
              <w:rPr>
                <w:rFonts w:ascii="宋体"/>
              </w:rPr>
            </w:pPr>
          </w:p>
        </w:tc>
      </w:tr>
      <w:tr w:rsidR="008E7A10" w14:paraId="746F0623" w14:textId="77777777">
        <w:tc>
          <w:tcPr>
            <w:tcW w:w="0" w:type="auto"/>
            <w:gridSpan w:val="3"/>
            <w:tcBorders>
              <w:top w:val="single" w:sz="8" w:space="0" w:color="808080"/>
              <w:bottom w:val="single" w:sz="8" w:space="0" w:color="E87722"/>
            </w:tcBorders>
            <w:shd w:val="clear" w:color="auto" w:fill="auto"/>
            <w:tcMar>
              <w:top w:w="40" w:type="dxa"/>
              <w:left w:w="155" w:type="dxa"/>
              <w:bottom w:w="40" w:type="dxa"/>
              <w:right w:w="20" w:type="dxa"/>
            </w:tcMar>
            <w:vAlign w:val="bottom"/>
          </w:tcPr>
          <w:p w14:paraId="746F0615" w14:textId="77777777" w:rsidR="008E7A10" w:rsidRDefault="00E047B2">
            <w:pPr>
              <w:textAlignment w:val="bottom"/>
            </w:pPr>
            <w:r>
              <w:rPr>
                <w:rFonts w:ascii="Arial" w:eastAsia="宋体" w:hAnsi="Arial" w:cs="Arial"/>
                <w:color w:val="000000"/>
                <w:sz w:val="17"/>
                <w:szCs w:val="17"/>
              </w:rPr>
              <w:t>Diluted</w:t>
            </w: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061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746F0617" w14:textId="77777777" w:rsidR="008E7A10" w:rsidRDefault="00E047B2">
            <w:pPr>
              <w:jc w:val="right"/>
              <w:textAlignment w:val="bottom"/>
            </w:pPr>
            <w:r>
              <w:rPr>
                <w:rFonts w:ascii="Arial" w:eastAsia="宋体" w:hAnsi="Arial" w:cs="Arial"/>
                <w:color w:val="000000"/>
                <w:sz w:val="17"/>
                <w:szCs w:val="17"/>
              </w:rPr>
              <w:t>0.78 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0618" w14:textId="77777777" w:rsidR="008E7A10" w:rsidRDefault="008E7A10">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061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746F061A" w14:textId="77777777" w:rsidR="008E7A10" w:rsidRDefault="00E047B2">
            <w:pPr>
              <w:jc w:val="right"/>
              <w:textAlignment w:val="bottom"/>
            </w:pPr>
            <w:r>
              <w:rPr>
                <w:rFonts w:ascii="Arial" w:eastAsia="宋体" w:hAnsi="Arial" w:cs="Arial"/>
                <w:color w:val="000000"/>
                <w:sz w:val="17"/>
                <w:szCs w:val="17"/>
              </w:rPr>
              <w:t>0.70 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061B" w14:textId="77777777" w:rsidR="008E7A10" w:rsidRDefault="008E7A10">
            <w:pPr>
              <w:jc w:val="right"/>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F061C" w14:textId="77777777" w:rsidR="008E7A10" w:rsidRDefault="008E7A10">
            <w:pPr>
              <w:rPr>
                <w:rFonts w:ascii="宋体"/>
              </w:rPr>
            </w:pP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061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746F061E" w14:textId="77777777" w:rsidR="008E7A10" w:rsidRDefault="00E047B2">
            <w:pPr>
              <w:jc w:val="right"/>
              <w:textAlignment w:val="bottom"/>
            </w:pPr>
            <w:r>
              <w:rPr>
                <w:rFonts w:ascii="Arial" w:eastAsia="宋体" w:hAnsi="Arial" w:cs="Arial"/>
                <w:color w:val="000000"/>
                <w:sz w:val="17"/>
                <w:szCs w:val="17"/>
              </w:rPr>
              <w:t>1.73 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061F" w14:textId="77777777" w:rsidR="008E7A10" w:rsidRDefault="008E7A10">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062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746F0621" w14:textId="77777777" w:rsidR="008E7A10" w:rsidRDefault="00E047B2">
            <w:pPr>
              <w:jc w:val="right"/>
              <w:textAlignment w:val="bottom"/>
            </w:pPr>
            <w:r>
              <w:rPr>
                <w:rFonts w:ascii="Arial" w:eastAsia="宋体" w:hAnsi="Arial" w:cs="Arial"/>
                <w:color w:val="000000"/>
                <w:sz w:val="17"/>
                <w:szCs w:val="17"/>
              </w:rPr>
              <w:t>1.56 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0622" w14:textId="77777777" w:rsidR="008E7A10" w:rsidRDefault="008E7A10">
            <w:pPr>
              <w:jc w:val="right"/>
              <w:rPr>
                <w:rFonts w:ascii="宋体"/>
              </w:rPr>
            </w:pPr>
          </w:p>
        </w:tc>
      </w:tr>
    </w:tbl>
    <w:p w14:paraId="746F0624" w14:textId="77777777" w:rsidR="008E7A10" w:rsidRDefault="008E7A1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0628" w14:textId="77777777">
        <w:tc>
          <w:tcPr>
            <w:tcW w:w="50" w:type="pct"/>
            <w:shd w:val="clear" w:color="auto" w:fill="auto"/>
          </w:tcPr>
          <w:p w14:paraId="746F0625" w14:textId="77777777" w:rsidR="008E7A10" w:rsidRDefault="008E7A10">
            <w:pPr>
              <w:rPr>
                <w:rFonts w:ascii="宋体"/>
              </w:rPr>
            </w:pPr>
          </w:p>
        </w:tc>
        <w:tc>
          <w:tcPr>
            <w:tcW w:w="4945" w:type="pct"/>
            <w:shd w:val="clear" w:color="auto" w:fill="auto"/>
          </w:tcPr>
          <w:p w14:paraId="746F0626" w14:textId="77777777" w:rsidR="008E7A10" w:rsidRDefault="008E7A10">
            <w:pPr>
              <w:rPr>
                <w:rFonts w:ascii="宋体"/>
              </w:rPr>
            </w:pPr>
          </w:p>
        </w:tc>
        <w:tc>
          <w:tcPr>
            <w:tcW w:w="5" w:type="pct"/>
            <w:shd w:val="clear" w:color="auto" w:fill="auto"/>
          </w:tcPr>
          <w:p w14:paraId="746F0627" w14:textId="77777777" w:rsidR="008E7A10" w:rsidRDefault="008E7A10">
            <w:pPr>
              <w:rPr>
                <w:rFonts w:ascii="宋体"/>
              </w:rPr>
            </w:pPr>
          </w:p>
        </w:tc>
      </w:tr>
      <w:tr w:rsidR="008E7A10" w14:paraId="746F062A" w14:textId="77777777">
        <w:tc>
          <w:tcPr>
            <w:tcW w:w="0" w:type="auto"/>
            <w:gridSpan w:val="3"/>
            <w:shd w:val="clear" w:color="auto" w:fill="auto"/>
            <w:tcMar>
              <w:top w:w="40" w:type="dxa"/>
              <w:left w:w="20" w:type="dxa"/>
              <w:bottom w:w="40" w:type="dxa"/>
              <w:right w:w="20" w:type="dxa"/>
            </w:tcMar>
            <w:vAlign w:val="bottom"/>
          </w:tcPr>
          <w:p w14:paraId="746F0629" w14:textId="77777777" w:rsidR="008E7A10" w:rsidRDefault="00E047B2">
            <w:pPr>
              <w:textAlignment w:val="bottom"/>
            </w:pPr>
            <w:r>
              <w:rPr>
                <w:rFonts w:ascii="sans-serif" w:eastAsia="sans-serif" w:hAnsi="sans-serif" w:cs="sans-serif"/>
                <w:b/>
                <w:bCs/>
                <w:color w:val="E87722"/>
                <w:sz w:val="36"/>
                <w:szCs w:val="36"/>
              </w:rPr>
              <w:t>NOTE 9 — RISK MANAGEMENT AND DERIVATIVES</w:t>
            </w:r>
          </w:p>
        </w:tc>
      </w:tr>
    </w:tbl>
    <w:p w14:paraId="746F062B" w14:textId="77777777" w:rsidR="008E7A10" w:rsidRDefault="00E047B2">
      <w:pPr>
        <w:spacing w:before="120" w:after="120"/>
      </w:pPr>
      <w:r>
        <w:rPr>
          <w:rFonts w:ascii="Arial" w:eastAsia="宋体" w:hAnsi="Arial" w:cs="Arial"/>
          <w:color w:val="000000"/>
          <w:sz w:val="17"/>
          <w:szCs w:val="17"/>
        </w:rPr>
        <w:t xml:space="preserve">The Company is exposed to global market risks, including the effect of changes in foreign currency exchange rates and </w:t>
      </w:r>
      <w:r>
        <w:rPr>
          <w:rFonts w:ascii="Arial" w:eastAsia="宋体" w:hAnsi="Arial" w:cs="Arial"/>
          <w:color w:val="000000"/>
          <w:sz w:val="17"/>
          <w:szCs w:val="17"/>
        </w:rPr>
        <w:t>interest rates, and uses derivatives to manage financial exposures that occur in the normal course of business. As of and for the six months ended November 30, 2020, there have been no material changes to the Company's hedging program or strategy from what</w:t>
      </w:r>
      <w:r>
        <w:rPr>
          <w:rFonts w:ascii="Arial" w:eastAsia="宋体" w:hAnsi="Arial" w:cs="Arial"/>
          <w:color w:val="000000"/>
          <w:sz w:val="17"/>
          <w:szCs w:val="17"/>
        </w:rPr>
        <w:t xml:space="preserve"> was disclosed within the Annual Report on Form 10-K. For additional information about the Company's derivatives and hedging policies refer to Note 1 — Summary of Significant Accounting Policies and Note 14 — Risk Management and Derivatives of the Annual R</w:t>
      </w:r>
      <w:r>
        <w:rPr>
          <w:rFonts w:ascii="Arial" w:eastAsia="宋体" w:hAnsi="Arial" w:cs="Arial"/>
          <w:color w:val="000000"/>
          <w:sz w:val="17"/>
          <w:szCs w:val="17"/>
        </w:rPr>
        <w:t>eport on Form 10-K for the fiscal year ended May 31, 2020.</w:t>
      </w:r>
    </w:p>
    <w:p w14:paraId="746F062C" w14:textId="77777777" w:rsidR="008E7A10" w:rsidRDefault="00E047B2">
      <w:pPr>
        <w:spacing w:before="120" w:after="120"/>
      </w:pPr>
      <w:r>
        <w:rPr>
          <w:rFonts w:ascii="Arial" w:eastAsia="宋体" w:hAnsi="Arial" w:cs="Arial"/>
          <w:color w:val="000000"/>
          <w:sz w:val="17"/>
          <w:szCs w:val="17"/>
        </w:rPr>
        <w:t>The majority of derivatives outstanding as of November 30, 2020 are designated as foreign currency cash flow hedges, primarily for Euro/U.S. Dollar, Chinese Yuan/U.S. Dollar, Japanese Yen/U.S. Doll</w:t>
      </w:r>
      <w:r>
        <w:rPr>
          <w:rFonts w:ascii="Arial" w:eastAsia="宋体" w:hAnsi="Arial" w:cs="Arial"/>
          <w:color w:val="000000"/>
          <w:sz w:val="17"/>
          <w:szCs w:val="17"/>
        </w:rPr>
        <w:t>ar and British Pound/Euro, currency pairs. All derivatives are recognized on the Unaudited Condensed Consolidated Balance Sheets at fair value and classified based on the instrument's maturity date.</w:t>
      </w:r>
    </w:p>
    <w:p w14:paraId="746F062D" w14:textId="77777777" w:rsidR="008E7A10" w:rsidRDefault="00E047B2">
      <w:pPr>
        <w:spacing w:before="120" w:after="120"/>
      </w:pPr>
      <w:r>
        <w:rPr>
          <w:rFonts w:ascii="Arial" w:eastAsia="宋体" w:hAnsi="Arial" w:cs="Arial"/>
          <w:color w:val="E87722"/>
          <w:sz w:val="17"/>
          <w:szCs w:val="17"/>
        </w:rPr>
        <w:t>12</w:t>
      </w:r>
      <w:r>
        <w:rPr>
          <w:rFonts w:ascii="sans-serif" w:eastAsia="sans-serif" w:hAnsi="sans-serif" w:cs="sans-serif"/>
          <w:color w:val="000000"/>
          <w:sz w:val="17"/>
          <w:szCs w:val="17"/>
        </w:rPr>
        <w:t xml:space="preserve"> </w:t>
      </w:r>
    </w:p>
    <w:p w14:paraId="746F062E" w14:textId="77777777" w:rsidR="008E7A10" w:rsidRDefault="00E047B2">
      <w:r>
        <w:pict w14:anchorId="746F2014">
          <v:rect id="_x0000_i1038" style="width:415.3pt;height:1.5pt" o:hralign="center" o:hrstd="t" o:hr="t" fillcolor="#a0a0a0" stroked="f"/>
        </w:pict>
      </w:r>
    </w:p>
    <w:p w14:paraId="746F062F" w14:textId="77777777" w:rsidR="008E7A10" w:rsidRDefault="008E7A10"/>
    <w:p w14:paraId="746F0630" w14:textId="77777777" w:rsidR="008E7A10" w:rsidRDefault="00E047B2">
      <w:hyperlink r:id="rId83" w:anchor="i31a624617c6c41b38f8f700fa0df5bde_7" w:history="1">
        <w:r>
          <w:rPr>
            <w:rStyle w:val="a5"/>
            <w:rFonts w:ascii="sans-serif" w:eastAsia="sans-serif" w:hAnsi="sans-serif" w:cs="sans-serif"/>
            <w:sz w:val="17"/>
            <w:szCs w:val="17"/>
          </w:rPr>
          <w:t>Table of Contents</w:t>
        </w:r>
      </w:hyperlink>
    </w:p>
    <w:p w14:paraId="746F0631" w14:textId="77777777" w:rsidR="008E7A10" w:rsidRDefault="008E7A10"/>
    <w:p w14:paraId="746F0632" w14:textId="77777777" w:rsidR="008E7A10" w:rsidRDefault="00E047B2">
      <w:pPr>
        <w:spacing w:before="120"/>
      </w:pPr>
      <w:r>
        <w:rPr>
          <w:rFonts w:ascii="Arial" w:eastAsia="宋体" w:hAnsi="Arial" w:cs="Arial"/>
          <w:color w:val="000000"/>
          <w:sz w:val="17"/>
          <w:szCs w:val="17"/>
        </w:rPr>
        <w:t>The following tables present the fair values of derivative instruments included within the Unaudited Condensed Consolidated Balance She</w:t>
      </w:r>
      <w:r>
        <w:rPr>
          <w:rFonts w:ascii="Arial" w:eastAsia="宋体" w:hAnsi="Arial" w:cs="Arial"/>
          <w:color w:val="000000"/>
          <w:sz w:val="17"/>
          <w:szCs w:val="17"/>
        </w:rPr>
        <w:t xml:space="preserve">ets: </w:t>
      </w:r>
    </w:p>
    <w:tbl>
      <w:tblPr>
        <w:tblW w:w="5000" w:type="pct"/>
        <w:tblCellMar>
          <w:top w:w="15" w:type="dxa"/>
          <w:left w:w="15" w:type="dxa"/>
          <w:bottom w:w="15" w:type="dxa"/>
          <w:right w:w="15" w:type="dxa"/>
        </w:tblCellMar>
        <w:tblLook w:val="04A0" w:firstRow="1" w:lastRow="0" w:firstColumn="1" w:lastColumn="0" w:noHBand="0" w:noVBand="1"/>
      </w:tblPr>
      <w:tblGrid>
        <w:gridCol w:w="50"/>
        <w:gridCol w:w="3735"/>
        <w:gridCol w:w="36"/>
        <w:gridCol w:w="54"/>
        <w:gridCol w:w="1995"/>
        <w:gridCol w:w="37"/>
        <w:gridCol w:w="116"/>
        <w:gridCol w:w="1019"/>
        <w:gridCol w:w="36"/>
        <w:gridCol w:w="36"/>
        <w:gridCol w:w="36"/>
        <w:gridCol w:w="36"/>
        <w:gridCol w:w="115"/>
        <w:gridCol w:w="999"/>
        <w:gridCol w:w="36"/>
      </w:tblGrid>
      <w:tr w:rsidR="008E7A10" w14:paraId="746F0642" w14:textId="77777777">
        <w:tc>
          <w:tcPr>
            <w:tcW w:w="50" w:type="pct"/>
            <w:shd w:val="clear" w:color="auto" w:fill="auto"/>
          </w:tcPr>
          <w:p w14:paraId="746F0633" w14:textId="77777777" w:rsidR="008E7A10" w:rsidRDefault="008E7A10">
            <w:pPr>
              <w:rPr>
                <w:rFonts w:ascii="宋体"/>
              </w:rPr>
            </w:pPr>
          </w:p>
        </w:tc>
        <w:tc>
          <w:tcPr>
            <w:tcW w:w="2259" w:type="pct"/>
            <w:shd w:val="clear" w:color="auto" w:fill="auto"/>
          </w:tcPr>
          <w:p w14:paraId="746F0634" w14:textId="77777777" w:rsidR="008E7A10" w:rsidRDefault="008E7A10">
            <w:pPr>
              <w:rPr>
                <w:rFonts w:ascii="宋体"/>
              </w:rPr>
            </w:pPr>
          </w:p>
        </w:tc>
        <w:tc>
          <w:tcPr>
            <w:tcW w:w="5" w:type="pct"/>
            <w:shd w:val="clear" w:color="auto" w:fill="auto"/>
          </w:tcPr>
          <w:p w14:paraId="746F0635" w14:textId="77777777" w:rsidR="008E7A10" w:rsidRDefault="008E7A10">
            <w:pPr>
              <w:rPr>
                <w:rFonts w:ascii="宋体"/>
              </w:rPr>
            </w:pPr>
          </w:p>
        </w:tc>
        <w:tc>
          <w:tcPr>
            <w:tcW w:w="50" w:type="pct"/>
            <w:shd w:val="clear" w:color="auto" w:fill="auto"/>
          </w:tcPr>
          <w:p w14:paraId="746F0636" w14:textId="77777777" w:rsidR="008E7A10" w:rsidRDefault="008E7A10">
            <w:pPr>
              <w:rPr>
                <w:rFonts w:ascii="宋体"/>
              </w:rPr>
            </w:pPr>
          </w:p>
        </w:tc>
        <w:tc>
          <w:tcPr>
            <w:tcW w:w="1218" w:type="pct"/>
            <w:shd w:val="clear" w:color="auto" w:fill="auto"/>
          </w:tcPr>
          <w:p w14:paraId="746F0637" w14:textId="77777777" w:rsidR="008E7A10" w:rsidRDefault="008E7A10">
            <w:pPr>
              <w:rPr>
                <w:rFonts w:ascii="宋体"/>
              </w:rPr>
            </w:pPr>
          </w:p>
        </w:tc>
        <w:tc>
          <w:tcPr>
            <w:tcW w:w="5" w:type="pct"/>
            <w:shd w:val="clear" w:color="auto" w:fill="auto"/>
          </w:tcPr>
          <w:p w14:paraId="746F0638" w14:textId="77777777" w:rsidR="008E7A10" w:rsidRDefault="008E7A10">
            <w:pPr>
              <w:rPr>
                <w:rFonts w:ascii="宋体"/>
              </w:rPr>
            </w:pPr>
          </w:p>
        </w:tc>
        <w:tc>
          <w:tcPr>
            <w:tcW w:w="50" w:type="pct"/>
            <w:shd w:val="clear" w:color="auto" w:fill="auto"/>
          </w:tcPr>
          <w:p w14:paraId="746F0639" w14:textId="77777777" w:rsidR="008E7A10" w:rsidRDefault="008E7A10">
            <w:pPr>
              <w:rPr>
                <w:rFonts w:ascii="宋体"/>
              </w:rPr>
            </w:pPr>
          </w:p>
        </w:tc>
        <w:tc>
          <w:tcPr>
            <w:tcW w:w="631" w:type="pct"/>
            <w:shd w:val="clear" w:color="auto" w:fill="auto"/>
          </w:tcPr>
          <w:p w14:paraId="746F063A" w14:textId="77777777" w:rsidR="008E7A10" w:rsidRDefault="008E7A10">
            <w:pPr>
              <w:rPr>
                <w:rFonts w:ascii="宋体"/>
              </w:rPr>
            </w:pPr>
          </w:p>
        </w:tc>
        <w:tc>
          <w:tcPr>
            <w:tcW w:w="5" w:type="pct"/>
            <w:shd w:val="clear" w:color="auto" w:fill="auto"/>
          </w:tcPr>
          <w:p w14:paraId="746F063B" w14:textId="77777777" w:rsidR="008E7A10" w:rsidRDefault="008E7A10">
            <w:pPr>
              <w:rPr>
                <w:rFonts w:ascii="宋体"/>
              </w:rPr>
            </w:pPr>
          </w:p>
        </w:tc>
        <w:tc>
          <w:tcPr>
            <w:tcW w:w="5" w:type="pct"/>
            <w:shd w:val="clear" w:color="auto" w:fill="auto"/>
          </w:tcPr>
          <w:p w14:paraId="746F063C" w14:textId="77777777" w:rsidR="008E7A10" w:rsidRDefault="008E7A10">
            <w:pPr>
              <w:rPr>
                <w:rFonts w:ascii="宋体"/>
              </w:rPr>
            </w:pPr>
          </w:p>
        </w:tc>
        <w:tc>
          <w:tcPr>
            <w:tcW w:w="28" w:type="pct"/>
            <w:shd w:val="clear" w:color="auto" w:fill="auto"/>
          </w:tcPr>
          <w:p w14:paraId="746F063D" w14:textId="77777777" w:rsidR="008E7A10" w:rsidRDefault="008E7A10">
            <w:pPr>
              <w:rPr>
                <w:rFonts w:ascii="宋体"/>
              </w:rPr>
            </w:pPr>
          </w:p>
        </w:tc>
        <w:tc>
          <w:tcPr>
            <w:tcW w:w="5" w:type="pct"/>
            <w:shd w:val="clear" w:color="auto" w:fill="auto"/>
          </w:tcPr>
          <w:p w14:paraId="746F063E" w14:textId="77777777" w:rsidR="008E7A10" w:rsidRDefault="008E7A10">
            <w:pPr>
              <w:rPr>
                <w:rFonts w:ascii="宋体"/>
              </w:rPr>
            </w:pPr>
          </w:p>
        </w:tc>
        <w:tc>
          <w:tcPr>
            <w:tcW w:w="50" w:type="pct"/>
            <w:shd w:val="clear" w:color="auto" w:fill="auto"/>
          </w:tcPr>
          <w:p w14:paraId="746F063F" w14:textId="77777777" w:rsidR="008E7A10" w:rsidRDefault="008E7A10">
            <w:pPr>
              <w:rPr>
                <w:rFonts w:ascii="宋体"/>
              </w:rPr>
            </w:pPr>
          </w:p>
        </w:tc>
        <w:tc>
          <w:tcPr>
            <w:tcW w:w="631" w:type="pct"/>
            <w:shd w:val="clear" w:color="auto" w:fill="auto"/>
          </w:tcPr>
          <w:p w14:paraId="746F0640" w14:textId="77777777" w:rsidR="008E7A10" w:rsidRDefault="008E7A10">
            <w:pPr>
              <w:rPr>
                <w:rFonts w:ascii="宋体"/>
              </w:rPr>
            </w:pPr>
          </w:p>
        </w:tc>
        <w:tc>
          <w:tcPr>
            <w:tcW w:w="5" w:type="pct"/>
            <w:shd w:val="clear" w:color="auto" w:fill="auto"/>
          </w:tcPr>
          <w:p w14:paraId="746F0641" w14:textId="77777777" w:rsidR="008E7A10" w:rsidRDefault="008E7A10">
            <w:pPr>
              <w:rPr>
                <w:rFonts w:ascii="宋体"/>
              </w:rPr>
            </w:pPr>
          </w:p>
        </w:tc>
      </w:tr>
      <w:tr w:rsidR="008E7A10" w14:paraId="746F0645" w14:textId="77777777">
        <w:tc>
          <w:tcPr>
            <w:tcW w:w="0" w:type="auto"/>
            <w:gridSpan w:val="3"/>
            <w:shd w:val="clear" w:color="auto" w:fill="auto"/>
            <w:tcMar>
              <w:top w:w="40" w:type="dxa"/>
              <w:left w:w="20" w:type="dxa"/>
              <w:bottom w:w="40" w:type="dxa"/>
              <w:right w:w="20" w:type="dxa"/>
            </w:tcMar>
            <w:vAlign w:val="bottom"/>
          </w:tcPr>
          <w:p w14:paraId="746F0643" w14:textId="77777777" w:rsidR="008E7A10" w:rsidRDefault="00E047B2">
            <w:pPr>
              <w:textAlignment w:val="bottom"/>
            </w:pPr>
            <w:r>
              <w:rPr>
                <w:rFonts w:ascii="Arial" w:eastAsia="宋体" w:hAnsi="Arial" w:cs="Arial"/>
                <w:color w:val="000000"/>
                <w:sz w:val="17"/>
                <w:szCs w:val="17"/>
              </w:rPr>
              <w:t> </w:t>
            </w:r>
          </w:p>
        </w:tc>
        <w:tc>
          <w:tcPr>
            <w:tcW w:w="0" w:type="auto"/>
            <w:gridSpan w:val="12"/>
            <w:shd w:val="clear" w:color="auto" w:fill="auto"/>
            <w:tcMar>
              <w:top w:w="40" w:type="dxa"/>
              <w:left w:w="20" w:type="dxa"/>
              <w:bottom w:w="40" w:type="dxa"/>
              <w:right w:w="20" w:type="dxa"/>
            </w:tcMar>
            <w:vAlign w:val="bottom"/>
          </w:tcPr>
          <w:p w14:paraId="746F0644" w14:textId="77777777" w:rsidR="008E7A10" w:rsidRDefault="00E047B2">
            <w:pPr>
              <w:jc w:val="center"/>
              <w:textAlignment w:val="bottom"/>
            </w:pPr>
            <w:r>
              <w:rPr>
                <w:rFonts w:ascii="sans-serif" w:eastAsia="sans-serif" w:hAnsi="sans-serif" w:cs="sans-serif"/>
                <w:b/>
                <w:bCs/>
                <w:color w:val="000000"/>
                <w:sz w:val="17"/>
                <w:szCs w:val="17"/>
              </w:rPr>
              <w:t>DERIVATIVE ASSETS</w:t>
            </w:r>
          </w:p>
        </w:tc>
      </w:tr>
      <w:tr w:rsidR="008E7A10" w14:paraId="746F064B" w14:textId="77777777">
        <w:trPr>
          <w:trHeight w:val="240"/>
        </w:trPr>
        <w:tc>
          <w:tcPr>
            <w:tcW w:w="0" w:type="auto"/>
            <w:gridSpan w:val="3"/>
            <w:shd w:val="clear" w:color="auto" w:fill="auto"/>
            <w:tcMar>
              <w:top w:w="0" w:type="dxa"/>
              <w:left w:w="20" w:type="dxa"/>
              <w:bottom w:w="0" w:type="dxa"/>
              <w:right w:w="20" w:type="dxa"/>
            </w:tcMar>
          </w:tcPr>
          <w:p w14:paraId="746F0646" w14:textId="77777777" w:rsidR="008E7A10" w:rsidRDefault="008E7A10">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746F0647" w14:textId="77777777" w:rsidR="008E7A10" w:rsidRDefault="00E047B2">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48" w14:textId="77777777" w:rsidR="008E7A10" w:rsidRDefault="00E047B2">
            <w:pPr>
              <w:jc w:val="center"/>
              <w:textAlignment w:val="bottom"/>
            </w:pPr>
            <w:r>
              <w:rPr>
                <w:rFonts w:ascii="sans-serif" w:eastAsia="sans-serif" w:hAnsi="sans-serif" w:cs="sans-serif"/>
                <w:b/>
                <w:bCs/>
                <w:color w:val="000000"/>
                <w:sz w:val="17"/>
                <w:szCs w:val="17"/>
              </w:rPr>
              <w:t>NOVEMBER 30,</w:t>
            </w:r>
          </w:p>
        </w:tc>
        <w:tc>
          <w:tcPr>
            <w:tcW w:w="0" w:type="auto"/>
            <w:gridSpan w:val="3"/>
            <w:tcBorders>
              <w:top w:val="single" w:sz="8" w:space="0" w:color="E87722"/>
            </w:tcBorders>
            <w:shd w:val="clear" w:color="auto" w:fill="auto"/>
            <w:tcMar>
              <w:top w:w="0" w:type="dxa"/>
              <w:left w:w="20" w:type="dxa"/>
              <w:bottom w:w="0" w:type="dxa"/>
              <w:right w:w="20" w:type="dxa"/>
            </w:tcMar>
          </w:tcPr>
          <w:p w14:paraId="746F0649"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4A" w14:textId="77777777" w:rsidR="008E7A10" w:rsidRDefault="00E047B2">
            <w:pPr>
              <w:jc w:val="center"/>
              <w:textAlignment w:val="bottom"/>
            </w:pPr>
            <w:r>
              <w:rPr>
                <w:rFonts w:ascii="sans-serif" w:eastAsia="sans-serif" w:hAnsi="sans-serif" w:cs="sans-serif"/>
                <w:b/>
                <w:bCs/>
                <w:color w:val="000000"/>
                <w:sz w:val="17"/>
                <w:szCs w:val="17"/>
              </w:rPr>
              <w:t>MAY 31,</w:t>
            </w:r>
          </w:p>
        </w:tc>
      </w:tr>
      <w:tr w:rsidR="008E7A10" w14:paraId="746F0651" w14:textId="77777777">
        <w:trPr>
          <w:trHeight w:val="240"/>
        </w:trPr>
        <w:tc>
          <w:tcPr>
            <w:tcW w:w="0" w:type="auto"/>
            <w:gridSpan w:val="3"/>
            <w:shd w:val="clear" w:color="auto" w:fill="auto"/>
            <w:tcMar>
              <w:top w:w="40" w:type="dxa"/>
              <w:left w:w="20" w:type="dxa"/>
              <w:bottom w:w="40" w:type="dxa"/>
              <w:right w:w="20" w:type="dxa"/>
            </w:tcMar>
            <w:vAlign w:val="bottom"/>
          </w:tcPr>
          <w:p w14:paraId="746F064C"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746F064D" w14:textId="77777777" w:rsidR="008E7A10" w:rsidRDefault="008E7A10">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4E"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tcPr>
          <w:p w14:paraId="746F064F"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50" w14:textId="77777777" w:rsidR="008E7A10" w:rsidRDefault="00E047B2">
            <w:pPr>
              <w:jc w:val="center"/>
              <w:textAlignment w:val="bottom"/>
            </w:pPr>
            <w:r>
              <w:rPr>
                <w:rFonts w:ascii="sans-serif" w:eastAsia="sans-serif" w:hAnsi="sans-serif" w:cs="sans-serif"/>
                <w:b/>
                <w:bCs/>
                <w:color w:val="000000"/>
                <w:sz w:val="17"/>
                <w:szCs w:val="17"/>
              </w:rPr>
              <w:t>2020</w:t>
            </w:r>
          </w:p>
        </w:tc>
      </w:tr>
      <w:tr w:rsidR="008E7A10" w14:paraId="746F065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52" w14:textId="77777777" w:rsidR="008E7A10" w:rsidRDefault="00E047B2">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746F0653"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654"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55"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56" w14:textId="77777777" w:rsidR="008E7A10" w:rsidRDefault="008E7A10">
            <w:pPr>
              <w:rPr>
                <w:rFonts w:ascii="宋体"/>
              </w:rPr>
            </w:pPr>
          </w:p>
        </w:tc>
      </w:tr>
      <w:tr w:rsidR="008E7A10" w14:paraId="746F066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658"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659" w14:textId="77777777" w:rsidR="008E7A10" w:rsidRDefault="00E047B2">
            <w:pPr>
              <w:jc w:val="right"/>
              <w:textAlignment w:val="bottom"/>
            </w:pPr>
            <w:r>
              <w:rPr>
                <w:rFonts w:ascii="Arial" w:eastAsia="宋体" w:hAnsi="Arial" w:cs="Arial"/>
                <w:color w:val="000000"/>
                <w:sz w:val="17"/>
                <w:szCs w:val="17"/>
              </w:rPr>
              <w:t xml:space="preserve">Prepaid expenses and other </w:t>
            </w:r>
            <w:r>
              <w:rPr>
                <w:rFonts w:ascii="Arial" w:eastAsia="宋体" w:hAnsi="Arial" w:cs="Arial"/>
                <w:color w:val="000000"/>
                <w:sz w:val="17"/>
                <w:szCs w:val="17"/>
              </w:rPr>
              <w:t>current assets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65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65B"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65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65D"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65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65F" w14:textId="77777777" w:rsidR="008E7A10" w:rsidRDefault="00E047B2">
            <w:pPr>
              <w:jc w:val="right"/>
              <w:textAlignment w:val="bottom"/>
            </w:pPr>
            <w:r>
              <w:rPr>
                <w:rFonts w:ascii="Arial" w:eastAsia="宋体" w:hAnsi="Arial" w:cs="Arial"/>
                <w:color w:val="000000"/>
                <w:sz w:val="17"/>
                <w:szCs w:val="17"/>
              </w:rPr>
              <w:t>43 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660" w14:textId="77777777" w:rsidR="008E7A10" w:rsidRDefault="008E7A10">
            <w:pPr>
              <w:jc w:val="right"/>
              <w:rPr>
                <w:rFonts w:ascii="宋体"/>
              </w:rPr>
            </w:pPr>
          </w:p>
        </w:tc>
      </w:tr>
      <w:tr w:rsidR="008E7A10" w14:paraId="746F066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662"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663" w14:textId="77777777" w:rsidR="008E7A10" w:rsidRDefault="00E047B2">
            <w:pPr>
              <w:jc w:val="right"/>
              <w:textAlignment w:val="bottom"/>
            </w:pPr>
            <w:r>
              <w:rPr>
                <w:rFonts w:ascii="Arial" w:eastAsia="宋体" w:hAnsi="Arial" w:cs="Arial"/>
                <w:color w:val="000000"/>
                <w:sz w:val="17"/>
                <w:szCs w:val="17"/>
              </w:rPr>
              <w:t>Deferred income taxes and other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664"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66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666"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667"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668" w14:textId="77777777" w:rsidR="008E7A10" w:rsidRDefault="008E7A10">
            <w:pPr>
              <w:jc w:val="right"/>
              <w:rPr>
                <w:rFonts w:ascii="宋体"/>
              </w:rPr>
            </w:pPr>
          </w:p>
        </w:tc>
      </w:tr>
      <w:tr w:rsidR="008E7A10" w14:paraId="746F067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6A" w14:textId="77777777" w:rsidR="008E7A10" w:rsidRDefault="00E047B2">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746F066B"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66C" w14:textId="77777777" w:rsidR="008E7A10" w:rsidRDefault="00E047B2">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66D"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6E"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66F" w14:textId="77777777" w:rsidR="008E7A10" w:rsidRDefault="00E047B2">
            <w:pPr>
              <w:jc w:val="right"/>
              <w:textAlignment w:val="bottom"/>
            </w:pPr>
            <w:r>
              <w:rPr>
                <w:rFonts w:ascii="Arial" w:eastAsia="宋体" w:hAnsi="Arial" w:cs="Arial"/>
                <w:color w:val="000000"/>
                <w:sz w:val="17"/>
                <w:szCs w:val="17"/>
              </w:rPr>
              <w:t>44 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670" w14:textId="77777777" w:rsidR="008E7A10" w:rsidRDefault="008E7A10">
            <w:pPr>
              <w:jc w:val="right"/>
              <w:rPr>
                <w:rFonts w:ascii="宋体"/>
              </w:rPr>
            </w:pPr>
          </w:p>
        </w:tc>
      </w:tr>
      <w:tr w:rsidR="008E7A10" w14:paraId="746F067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72" w14:textId="77777777" w:rsidR="008E7A10" w:rsidRDefault="00E047B2">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746F0673"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674"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75"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76" w14:textId="77777777" w:rsidR="008E7A10" w:rsidRDefault="008E7A10">
            <w:pPr>
              <w:rPr>
                <w:rFonts w:ascii="宋体"/>
              </w:rPr>
            </w:pPr>
          </w:p>
        </w:tc>
      </w:tr>
      <w:tr w:rsidR="008E7A10" w14:paraId="746F067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678"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679" w14:textId="77777777" w:rsidR="008E7A10" w:rsidRDefault="00E047B2">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67A"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67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67C"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67D" w14:textId="77777777" w:rsidR="008E7A10" w:rsidRDefault="00E047B2">
            <w:pPr>
              <w:jc w:val="right"/>
              <w:textAlignment w:val="bottom"/>
            </w:pPr>
            <w:r>
              <w:rPr>
                <w:rFonts w:ascii="Arial" w:eastAsia="宋体" w:hAnsi="Arial" w:cs="Arial"/>
                <w:color w:val="000000"/>
                <w:sz w:val="17"/>
                <w:szCs w:val="17"/>
              </w:rPr>
              <w:t>48 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67E" w14:textId="77777777" w:rsidR="008E7A10" w:rsidRDefault="008E7A10">
            <w:pPr>
              <w:jc w:val="right"/>
              <w:rPr>
                <w:rFonts w:ascii="宋体"/>
              </w:rPr>
            </w:pPr>
          </w:p>
        </w:tc>
      </w:tr>
      <w:tr w:rsidR="008E7A10" w14:paraId="746F068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680" w14:textId="77777777" w:rsidR="008E7A10" w:rsidRDefault="00E047B2">
            <w:pPr>
              <w:textAlignment w:val="bottom"/>
            </w:pPr>
            <w:r>
              <w:rPr>
                <w:rFonts w:ascii="Arial" w:eastAsia="宋体" w:hAnsi="Arial" w:cs="Arial"/>
                <w:color w:val="000000"/>
                <w:sz w:val="17"/>
                <w:szCs w:val="17"/>
              </w:rPr>
              <w:t>Embedded derivatives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681" w14:textId="77777777" w:rsidR="008E7A10" w:rsidRDefault="00E047B2">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682"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683"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684"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685"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686" w14:textId="77777777" w:rsidR="008E7A10" w:rsidRDefault="008E7A10">
            <w:pPr>
              <w:jc w:val="right"/>
              <w:rPr>
                <w:rFonts w:ascii="宋体"/>
              </w:rPr>
            </w:pPr>
          </w:p>
        </w:tc>
      </w:tr>
      <w:tr w:rsidR="008E7A10" w14:paraId="746F068F"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688"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689" w14:textId="77777777" w:rsidR="008E7A10" w:rsidRDefault="00E047B2">
            <w:pPr>
              <w:jc w:val="right"/>
              <w:textAlignment w:val="bottom"/>
            </w:pPr>
            <w:r>
              <w:rPr>
                <w:rFonts w:ascii="Arial" w:eastAsia="宋体" w:hAnsi="Arial" w:cs="Arial"/>
                <w:color w:val="000000"/>
                <w:sz w:val="17"/>
                <w:szCs w:val="17"/>
              </w:rPr>
              <w:t>Deferred income taxes and other assets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68A"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68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68C"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68D"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68E" w14:textId="77777777" w:rsidR="008E7A10" w:rsidRDefault="008E7A10">
            <w:pPr>
              <w:jc w:val="right"/>
              <w:rPr>
                <w:rFonts w:ascii="宋体"/>
              </w:rPr>
            </w:pPr>
          </w:p>
        </w:tc>
      </w:tr>
      <w:tr w:rsidR="008E7A10" w14:paraId="746F0695" w14:textId="77777777">
        <w:trPr>
          <w:hidden/>
        </w:trPr>
        <w:tc>
          <w:tcPr>
            <w:tcW w:w="0" w:type="auto"/>
            <w:gridSpan w:val="3"/>
            <w:shd w:val="clear" w:color="auto" w:fill="auto"/>
          </w:tcPr>
          <w:p w14:paraId="746F0690" w14:textId="77777777" w:rsidR="008E7A10" w:rsidRDefault="008E7A10">
            <w:pPr>
              <w:rPr>
                <w:rFonts w:ascii="宋体"/>
                <w:vanish/>
              </w:rPr>
            </w:pPr>
          </w:p>
        </w:tc>
        <w:tc>
          <w:tcPr>
            <w:tcW w:w="0" w:type="auto"/>
            <w:gridSpan w:val="3"/>
            <w:shd w:val="clear" w:color="auto" w:fill="auto"/>
          </w:tcPr>
          <w:p w14:paraId="746F0691" w14:textId="77777777" w:rsidR="008E7A10" w:rsidRDefault="008E7A10">
            <w:pPr>
              <w:rPr>
                <w:rFonts w:ascii="宋体"/>
                <w:vanish/>
              </w:rPr>
            </w:pPr>
          </w:p>
        </w:tc>
        <w:tc>
          <w:tcPr>
            <w:tcW w:w="0" w:type="auto"/>
            <w:gridSpan w:val="3"/>
            <w:shd w:val="clear" w:color="auto" w:fill="auto"/>
          </w:tcPr>
          <w:p w14:paraId="746F0692" w14:textId="77777777" w:rsidR="008E7A10" w:rsidRDefault="008E7A10">
            <w:pPr>
              <w:rPr>
                <w:rFonts w:ascii="宋体"/>
                <w:vanish/>
              </w:rPr>
            </w:pPr>
          </w:p>
        </w:tc>
        <w:tc>
          <w:tcPr>
            <w:tcW w:w="0" w:type="auto"/>
            <w:gridSpan w:val="3"/>
            <w:shd w:val="clear" w:color="auto" w:fill="auto"/>
          </w:tcPr>
          <w:p w14:paraId="746F0693" w14:textId="77777777" w:rsidR="008E7A10" w:rsidRDefault="008E7A10">
            <w:pPr>
              <w:rPr>
                <w:rFonts w:ascii="宋体"/>
                <w:vanish/>
              </w:rPr>
            </w:pPr>
          </w:p>
        </w:tc>
        <w:tc>
          <w:tcPr>
            <w:tcW w:w="0" w:type="auto"/>
            <w:gridSpan w:val="3"/>
            <w:shd w:val="clear" w:color="auto" w:fill="auto"/>
          </w:tcPr>
          <w:p w14:paraId="746F0694" w14:textId="77777777" w:rsidR="008E7A10" w:rsidRDefault="008E7A10">
            <w:pPr>
              <w:rPr>
                <w:rFonts w:ascii="宋体"/>
                <w:vanish/>
              </w:rPr>
            </w:pPr>
          </w:p>
        </w:tc>
      </w:tr>
      <w:tr w:rsidR="008E7A10" w14:paraId="746F069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96" w14:textId="77777777" w:rsidR="008E7A10" w:rsidRDefault="00E047B2">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746F0697"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698"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699"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9A"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69B" w14:textId="77777777" w:rsidR="008E7A10" w:rsidRDefault="00E047B2">
            <w:pPr>
              <w:jc w:val="right"/>
              <w:textAlignment w:val="bottom"/>
            </w:pPr>
            <w:r>
              <w:rPr>
                <w:rFonts w:ascii="Arial" w:eastAsia="宋体" w:hAnsi="Arial" w:cs="Arial"/>
                <w:color w:val="000000"/>
                <w:sz w:val="17"/>
                <w:szCs w:val="17"/>
              </w:rPr>
              <w:t>51 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69C" w14:textId="77777777" w:rsidR="008E7A10" w:rsidRDefault="008E7A10">
            <w:pPr>
              <w:jc w:val="right"/>
              <w:rPr>
                <w:rFonts w:ascii="宋体"/>
              </w:rPr>
            </w:pPr>
          </w:p>
        </w:tc>
      </w:tr>
      <w:tr w:rsidR="008E7A10" w14:paraId="746F06A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9E" w14:textId="77777777" w:rsidR="008E7A10" w:rsidRDefault="00E047B2">
            <w:pPr>
              <w:textAlignment w:val="bottom"/>
            </w:pPr>
            <w:r>
              <w:rPr>
                <w:rFonts w:ascii="Arial" w:eastAsia="宋体" w:hAnsi="Arial" w:cs="Arial"/>
                <w:b/>
                <w:bCs/>
                <w:color w:val="000000"/>
                <w:sz w:val="17"/>
                <w:szCs w:val="17"/>
              </w:rPr>
              <w:t>TOTAL DERIVATIVE ASSETS</w:t>
            </w:r>
          </w:p>
        </w:tc>
        <w:tc>
          <w:tcPr>
            <w:tcW w:w="0" w:type="auto"/>
            <w:gridSpan w:val="3"/>
            <w:tcBorders>
              <w:top w:val="single" w:sz="8" w:space="0" w:color="E87722"/>
            </w:tcBorders>
            <w:shd w:val="clear" w:color="auto" w:fill="auto"/>
            <w:tcMar>
              <w:top w:w="0" w:type="dxa"/>
              <w:left w:w="20" w:type="dxa"/>
              <w:bottom w:w="0" w:type="dxa"/>
              <w:right w:w="20" w:type="dxa"/>
            </w:tcMar>
          </w:tcPr>
          <w:p w14:paraId="746F069F"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6A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6A1" w14:textId="77777777" w:rsidR="008E7A10" w:rsidRDefault="00E047B2">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6A2"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A3" w14:textId="77777777" w:rsidR="008E7A10" w:rsidRDefault="008E7A10">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6A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6A5" w14:textId="77777777" w:rsidR="008E7A10" w:rsidRDefault="00E047B2">
            <w:pPr>
              <w:jc w:val="right"/>
              <w:textAlignment w:val="bottom"/>
            </w:pPr>
            <w:r>
              <w:rPr>
                <w:rFonts w:ascii="Arial" w:eastAsia="宋体" w:hAnsi="Arial" w:cs="Arial"/>
                <w:b/>
                <w:bCs/>
                <w:color w:val="000000"/>
                <w:sz w:val="17"/>
                <w:szCs w:val="17"/>
              </w:rPr>
              <w:t>95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6A6" w14:textId="77777777" w:rsidR="008E7A10" w:rsidRDefault="008E7A10">
            <w:pPr>
              <w:jc w:val="right"/>
              <w:rPr>
                <w:rFonts w:ascii="宋体"/>
              </w:rPr>
            </w:pPr>
          </w:p>
        </w:tc>
      </w:tr>
      <w:tr w:rsidR="008E7A10" w14:paraId="746F06AD" w14:textId="77777777">
        <w:trPr>
          <w:trHeight w:val="240"/>
        </w:trPr>
        <w:tc>
          <w:tcPr>
            <w:tcW w:w="0" w:type="auto"/>
            <w:gridSpan w:val="3"/>
            <w:tcBorders>
              <w:top w:val="single" w:sz="8" w:space="0" w:color="E87722"/>
            </w:tcBorders>
            <w:shd w:val="clear" w:color="auto" w:fill="auto"/>
            <w:tcMar>
              <w:top w:w="0" w:type="dxa"/>
              <w:left w:w="20" w:type="dxa"/>
              <w:bottom w:w="0" w:type="dxa"/>
              <w:right w:w="20" w:type="dxa"/>
            </w:tcMar>
          </w:tcPr>
          <w:p w14:paraId="746F06A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A9"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AA"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A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AC" w14:textId="77777777" w:rsidR="008E7A10" w:rsidRDefault="008E7A10">
            <w:pPr>
              <w:rPr>
                <w:rFonts w:ascii="宋体"/>
              </w:rPr>
            </w:pPr>
          </w:p>
        </w:tc>
      </w:tr>
      <w:tr w:rsidR="008E7A10" w14:paraId="746F06B0" w14:textId="77777777">
        <w:tc>
          <w:tcPr>
            <w:tcW w:w="0" w:type="auto"/>
            <w:gridSpan w:val="3"/>
            <w:shd w:val="clear" w:color="auto" w:fill="auto"/>
            <w:tcMar>
              <w:top w:w="0" w:type="dxa"/>
              <w:left w:w="20" w:type="dxa"/>
              <w:bottom w:w="0" w:type="dxa"/>
              <w:right w:w="20" w:type="dxa"/>
            </w:tcMar>
          </w:tcPr>
          <w:p w14:paraId="746F06AE"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06AF" w14:textId="77777777" w:rsidR="008E7A10" w:rsidRDefault="00E047B2">
            <w:pPr>
              <w:jc w:val="center"/>
              <w:textAlignment w:val="bottom"/>
            </w:pPr>
            <w:r>
              <w:rPr>
                <w:rFonts w:ascii="sans-serif" w:eastAsia="sans-serif" w:hAnsi="sans-serif" w:cs="sans-serif"/>
                <w:b/>
                <w:bCs/>
                <w:color w:val="000000"/>
                <w:sz w:val="17"/>
                <w:szCs w:val="17"/>
              </w:rPr>
              <w:t>DERIVATIVE LIABILITIES</w:t>
            </w:r>
          </w:p>
        </w:tc>
      </w:tr>
      <w:tr w:rsidR="008E7A10" w14:paraId="746F06B6" w14:textId="77777777">
        <w:trPr>
          <w:trHeight w:val="240"/>
        </w:trPr>
        <w:tc>
          <w:tcPr>
            <w:tcW w:w="0" w:type="auto"/>
            <w:gridSpan w:val="3"/>
            <w:shd w:val="clear" w:color="auto" w:fill="auto"/>
            <w:tcMar>
              <w:top w:w="0" w:type="dxa"/>
              <w:left w:w="20" w:type="dxa"/>
              <w:bottom w:w="0" w:type="dxa"/>
              <w:right w:w="20" w:type="dxa"/>
            </w:tcMar>
          </w:tcPr>
          <w:p w14:paraId="746F06B1" w14:textId="77777777" w:rsidR="008E7A10" w:rsidRDefault="008E7A10">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746F06B2" w14:textId="77777777" w:rsidR="008E7A10" w:rsidRDefault="00E047B2">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B3" w14:textId="77777777" w:rsidR="008E7A10" w:rsidRDefault="00E047B2">
            <w:pPr>
              <w:jc w:val="center"/>
              <w:textAlignment w:val="bottom"/>
            </w:pPr>
            <w:r>
              <w:rPr>
                <w:rFonts w:ascii="sans-serif" w:eastAsia="sans-serif" w:hAnsi="sans-serif" w:cs="sans-serif"/>
                <w:b/>
                <w:bCs/>
                <w:color w:val="000000"/>
                <w:sz w:val="17"/>
                <w:szCs w:val="17"/>
              </w:rPr>
              <w:t>NOVEMBER 30,</w:t>
            </w:r>
          </w:p>
        </w:tc>
        <w:tc>
          <w:tcPr>
            <w:tcW w:w="0" w:type="auto"/>
            <w:gridSpan w:val="3"/>
            <w:tcBorders>
              <w:top w:val="single" w:sz="8" w:space="0" w:color="E87722"/>
            </w:tcBorders>
            <w:shd w:val="clear" w:color="auto" w:fill="auto"/>
            <w:tcMar>
              <w:top w:w="0" w:type="dxa"/>
              <w:left w:w="20" w:type="dxa"/>
              <w:bottom w:w="0" w:type="dxa"/>
              <w:right w:w="20" w:type="dxa"/>
            </w:tcMar>
          </w:tcPr>
          <w:p w14:paraId="746F06B4"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B5" w14:textId="77777777" w:rsidR="008E7A10" w:rsidRDefault="00E047B2">
            <w:pPr>
              <w:jc w:val="center"/>
              <w:textAlignment w:val="bottom"/>
            </w:pPr>
            <w:r>
              <w:rPr>
                <w:rFonts w:ascii="sans-serif" w:eastAsia="sans-serif" w:hAnsi="sans-serif" w:cs="sans-serif"/>
                <w:b/>
                <w:bCs/>
                <w:color w:val="000000"/>
                <w:sz w:val="17"/>
                <w:szCs w:val="17"/>
              </w:rPr>
              <w:t>MAY 31,</w:t>
            </w:r>
          </w:p>
        </w:tc>
      </w:tr>
      <w:tr w:rsidR="008E7A10" w14:paraId="746F06BC" w14:textId="77777777">
        <w:trPr>
          <w:trHeight w:val="240"/>
        </w:trPr>
        <w:tc>
          <w:tcPr>
            <w:tcW w:w="0" w:type="auto"/>
            <w:gridSpan w:val="3"/>
            <w:shd w:val="clear" w:color="auto" w:fill="auto"/>
            <w:tcMar>
              <w:top w:w="40" w:type="dxa"/>
              <w:left w:w="20" w:type="dxa"/>
              <w:bottom w:w="40" w:type="dxa"/>
              <w:right w:w="20" w:type="dxa"/>
            </w:tcMar>
            <w:vAlign w:val="bottom"/>
          </w:tcPr>
          <w:p w14:paraId="746F06B7"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746F06B8" w14:textId="77777777" w:rsidR="008E7A10" w:rsidRDefault="008E7A10">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B9"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tcPr>
          <w:p w14:paraId="746F06BA"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BB" w14:textId="77777777" w:rsidR="008E7A10" w:rsidRDefault="00E047B2">
            <w:pPr>
              <w:jc w:val="center"/>
              <w:textAlignment w:val="bottom"/>
            </w:pPr>
            <w:r>
              <w:rPr>
                <w:rFonts w:ascii="sans-serif" w:eastAsia="sans-serif" w:hAnsi="sans-serif" w:cs="sans-serif"/>
                <w:b/>
                <w:bCs/>
                <w:color w:val="000000"/>
                <w:sz w:val="17"/>
                <w:szCs w:val="17"/>
              </w:rPr>
              <w:t>2020</w:t>
            </w:r>
          </w:p>
        </w:tc>
      </w:tr>
      <w:tr w:rsidR="008E7A10" w14:paraId="746F06C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BD" w14:textId="77777777" w:rsidR="008E7A10" w:rsidRDefault="00E047B2">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746F06BE"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6B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C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C1" w14:textId="77777777" w:rsidR="008E7A10" w:rsidRDefault="008E7A10">
            <w:pPr>
              <w:rPr>
                <w:rFonts w:ascii="宋体"/>
              </w:rPr>
            </w:pPr>
          </w:p>
        </w:tc>
      </w:tr>
      <w:tr w:rsidR="008E7A10" w14:paraId="746F06C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6C3"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6C4" w14:textId="77777777" w:rsidR="008E7A10" w:rsidRDefault="00E047B2">
            <w:pPr>
              <w:jc w:val="right"/>
              <w:textAlignment w:val="bottom"/>
            </w:pPr>
            <w:r>
              <w:rPr>
                <w:rFonts w:ascii="Arial" w:eastAsia="宋体" w:hAnsi="Arial" w:cs="Arial"/>
                <w:color w:val="000000"/>
                <w:sz w:val="17"/>
                <w:szCs w:val="17"/>
              </w:rPr>
              <w:t>Accrued liabilities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6C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6C6" w14:textId="77777777" w:rsidR="008E7A10" w:rsidRDefault="00E047B2">
            <w:pPr>
              <w:jc w:val="right"/>
              <w:textAlignment w:val="bottom"/>
            </w:pPr>
            <w:r>
              <w:rPr>
                <w:rFonts w:ascii="Arial" w:eastAsia="宋体" w:hAnsi="Arial" w:cs="Arial"/>
                <w:color w:val="000000"/>
                <w:sz w:val="17"/>
                <w:szCs w:val="17"/>
              </w:rPr>
              <w:t>462 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6C7"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6C8"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6C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6CA" w14:textId="77777777" w:rsidR="008E7A10" w:rsidRDefault="00E047B2">
            <w:pPr>
              <w:jc w:val="right"/>
              <w:textAlignment w:val="bottom"/>
            </w:pPr>
            <w:r>
              <w:rPr>
                <w:rFonts w:ascii="Arial" w:eastAsia="宋体" w:hAnsi="Arial" w:cs="Arial"/>
                <w:color w:val="000000"/>
                <w:sz w:val="17"/>
                <w:szCs w:val="17"/>
              </w:rPr>
              <w:t>173 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6CB" w14:textId="77777777" w:rsidR="008E7A10" w:rsidRDefault="008E7A10">
            <w:pPr>
              <w:jc w:val="right"/>
              <w:rPr>
                <w:rFonts w:ascii="宋体"/>
              </w:rPr>
            </w:pPr>
          </w:p>
        </w:tc>
      </w:tr>
      <w:tr w:rsidR="008E7A10" w14:paraId="746F06D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6CD"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6CE" w14:textId="77777777" w:rsidR="008E7A10" w:rsidRDefault="00E047B2">
            <w:pPr>
              <w:jc w:val="right"/>
              <w:textAlignment w:val="bottom"/>
            </w:pPr>
            <w:r>
              <w:rPr>
                <w:rFonts w:ascii="Arial" w:eastAsia="宋体" w:hAnsi="Arial" w:cs="Arial"/>
                <w:color w:val="000000"/>
                <w:sz w:val="17"/>
                <w:szCs w:val="17"/>
              </w:rPr>
              <w:t>Deferred income taxes and other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6CF" w14:textId="77777777" w:rsidR="008E7A10" w:rsidRDefault="00E047B2">
            <w:pPr>
              <w:jc w:val="right"/>
              <w:textAlignment w:val="bottom"/>
            </w:pPr>
            <w:r>
              <w:rPr>
                <w:rFonts w:ascii="Arial" w:eastAsia="宋体" w:hAnsi="Arial" w:cs="Arial"/>
                <w:color w:val="000000"/>
                <w:sz w:val="17"/>
                <w:szCs w:val="17"/>
              </w:rPr>
              <w:t>99 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6D0"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6D1"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6D2"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6D3" w14:textId="77777777" w:rsidR="008E7A10" w:rsidRDefault="008E7A10">
            <w:pPr>
              <w:jc w:val="right"/>
              <w:rPr>
                <w:rFonts w:ascii="宋体"/>
              </w:rPr>
            </w:pPr>
          </w:p>
        </w:tc>
      </w:tr>
      <w:tr w:rsidR="008E7A10" w14:paraId="746F06D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D5" w14:textId="77777777" w:rsidR="008E7A10" w:rsidRDefault="00E047B2">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746F06D6"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6D7" w14:textId="77777777" w:rsidR="008E7A10" w:rsidRDefault="00E047B2">
            <w:pPr>
              <w:jc w:val="right"/>
              <w:textAlignment w:val="bottom"/>
            </w:pPr>
            <w:r>
              <w:rPr>
                <w:rFonts w:ascii="Arial" w:eastAsia="宋体" w:hAnsi="Arial" w:cs="Arial"/>
                <w:color w:val="000000"/>
                <w:sz w:val="17"/>
                <w:szCs w:val="17"/>
              </w:rPr>
              <w:t>561 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6D8"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D9"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6DA" w14:textId="77777777" w:rsidR="008E7A10" w:rsidRDefault="00E047B2">
            <w:pPr>
              <w:jc w:val="right"/>
              <w:textAlignment w:val="bottom"/>
            </w:pPr>
            <w:r>
              <w:rPr>
                <w:rFonts w:ascii="Arial" w:eastAsia="宋体" w:hAnsi="Arial" w:cs="Arial"/>
                <w:color w:val="000000"/>
                <w:sz w:val="17"/>
                <w:szCs w:val="17"/>
              </w:rPr>
              <w:t>190 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6DB" w14:textId="77777777" w:rsidR="008E7A10" w:rsidRDefault="008E7A10">
            <w:pPr>
              <w:jc w:val="right"/>
              <w:rPr>
                <w:rFonts w:ascii="宋体"/>
              </w:rPr>
            </w:pPr>
          </w:p>
        </w:tc>
      </w:tr>
      <w:tr w:rsidR="008E7A10" w14:paraId="746F06E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DD" w14:textId="77777777" w:rsidR="008E7A10" w:rsidRDefault="00E047B2">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746F06DE"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6D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E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6E1" w14:textId="77777777" w:rsidR="008E7A10" w:rsidRDefault="008E7A10">
            <w:pPr>
              <w:rPr>
                <w:rFonts w:ascii="宋体"/>
              </w:rPr>
            </w:pPr>
          </w:p>
        </w:tc>
      </w:tr>
      <w:tr w:rsidR="008E7A10" w14:paraId="746F06E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6E3"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6E4" w14:textId="77777777" w:rsidR="008E7A10" w:rsidRDefault="00E047B2">
            <w:pPr>
              <w:jc w:val="right"/>
              <w:textAlignment w:val="bottom"/>
            </w:pPr>
            <w:r>
              <w:rPr>
                <w:rFonts w:ascii="Arial" w:eastAsia="宋体" w:hAnsi="Arial" w:cs="Arial"/>
                <w:color w:val="000000"/>
                <w:sz w:val="17"/>
                <w:szCs w:val="17"/>
              </w:rPr>
              <w:t>Accrued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6E5" w14:textId="77777777" w:rsidR="008E7A10" w:rsidRDefault="00E047B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6E6"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6E7"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6E8" w14:textId="77777777" w:rsidR="008E7A10" w:rsidRDefault="00E047B2">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6E9" w14:textId="77777777" w:rsidR="008E7A10" w:rsidRDefault="008E7A10">
            <w:pPr>
              <w:jc w:val="right"/>
              <w:rPr>
                <w:rFonts w:ascii="宋体"/>
              </w:rPr>
            </w:pPr>
          </w:p>
        </w:tc>
      </w:tr>
      <w:tr w:rsidR="008E7A10" w14:paraId="746F06F2"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6EB" w14:textId="77777777" w:rsidR="008E7A10" w:rsidRDefault="00E047B2">
            <w:pPr>
              <w:textAlignment w:val="bottom"/>
            </w:pPr>
            <w:r>
              <w:rPr>
                <w:rFonts w:ascii="Arial" w:eastAsia="宋体" w:hAnsi="Arial" w:cs="Arial"/>
                <w:color w:val="000000"/>
                <w:sz w:val="17"/>
                <w:szCs w:val="17"/>
              </w:rPr>
              <w:t>Embedded derivatives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6EC" w14:textId="77777777" w:rsidR="008E7A10" w:rsidRDefault="00E047B2">
            <w:pPr>
              <w:jc w:val="right"/>
              <w:textAlignment w:val="bottom"/>
            </w:pPr>
            <w:r>
              <w:rPr>
                <w:rFonts w:ascii="Arial" w:eastAsia="宋体" w:hAnsi="Arial" w:cs="Arial"/>
                <w:color w:val="000000"/>
                <w:sz w:val="17"/>
                <w:szCs w:val="17"/>
              </w:rPr>
              <w:t>Accrued liabilities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6ED"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6EE"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6EF"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6F0"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6F1" w14:textId="77777777" w:rsidR="008E7A10" w:rsidRDefault="008E7A10">
            <w:pPr>
              <w:jc w:val="right"/>
              <w:rPr>
                <w:rFonts w:ascii="宋体"/>
              </w:rPr>
            </w:pPr>
          </w:p>
        </w:tc>
      </w:tr>
      <w:tr w:rsidR="008E7A10" w14:paraId="746F06F8" w14:textId="77777777">
        <w:trPr>
          <w:hidden/>
        </w:trPr>
        <w:tc>
          <w:tcPr>
            <w:tcW w:w="0" w:type="auto"/>
            <w:gridSpan w:val="3"/>
            <w:shd w:val="clear" w:color="auto" w:fill="auto"/>
          </w:tcPr>
          <w:p w14:paraId="746F06F3" w14:textId="77777777" w:rsidR="008E7A10" w:rsidRDefault="008E7A10">
            <w:pPr>
              <w:rPr>
                <w:rFonts w:ascii="宋体"/>
                <w:vanish/>
              </w:rPr>
            </w:pPr>
          </w:p>
        </w:tc>
        <w:tc>
          <w:tcPr>
            <w:tcW w:w="0" w:type="auto"/>
            <w:gridSpan w:val="3"/>
            <w:shd w:val="clear" w:color="auto" w:fill="auto"/>
          </w:tcPr>
          <w:p w14:paraId="746F06F4" w14:textId="77777777" w:rsidR="008E7A10" w:rsidRDefault="008E7A10">
            <w:pPr>
              <w:rPr>
                <w:rFonts w:ascii="宋体"/>
                <w:vanish/>
              </w:rPr>
            </w:pPr>
          </w:p>
        </w:tc>
        <w:tc>
          <w:tcPr>
            <w:tcW w:w="0" w:type="auto"/>
            <w:gridSpan w:val="3"/>
            <w:shd w:val="clear" w:color="auto" w:fill="auto"/>
          </w:tcPr>
          <w:p w14:paraId="746F06F5" w14:textId="77777777" w:rsidR="008E7A10" w:rsidRDefault="008E7A10">
            <w:pPr>
              <w:rPr>
                <w:rFonts w:ascii="宋体"/>
                <w:vanish/>
              </w:rPr>
            </w:pPr>
          </w:p>
        </w:tc>
        <w:tc>
          <w:tcPr>
            <w:tcW w:w="0" w:type="auto"/>
            <w:gridSpan w:val="3"/>
            <w:shd w:val="clear" w:color="auto" w:fill="auto"/>
          </w:tcPr>
          <w:p w14:paraId="746F06F6" w14:textId="77777777" w:rsidR="008E7A10" w:rsidRDefault="008E7A10">
            <w:pPr>
              <w:rPr>
                <w:rFonts w:ascii="宋体"/>
                <w:vanish/>
              </w:rPr>
            </w:pPr>
          </w:p>
        </w:tc>
        <w:tc>
          <w:tcPr>
            <w:tcW w:w="0" w:type="auto"/>
            <w:gridSpan w:val="3"/>
            <w:shd w:val="clear" w:color="auto" w:fill="auto"/>
          </w:tcPr>
          <w:p w14:paraId="746F06F7" w14:textId="77777777" w:rsidR="008E7A10" w:rsidRDefault="008E7A10">
            <w:pPr>
              <w:rPr>
                <w:rFonts w:ascii="宋体"/>
                <w:vanish/>
              </w:rPr>
            </w:pPr>
          </w:p>
        </w:tc>
      </w:tr>
      <w:tr w:rsidR="008E7A10" w14:paraId="746F06FE" w14:textId="77777777">
        <w:trPr>
          <w:hidden/>
        </w:trPr>
        <w:tc>
          <w:tcPr>
            <w:tcW w:w="0" w:type="auto"/>
            <w:gridSpan w:val="3"/>
            <w:shd w:val="clear" w:color="auto" w:fill="auto"/>
          </w:tcPr>
          <w:p w14:paraId="746F06F9" w14:textId="77777777" w:rsidR="008E7A10" w:rsidRDefault="008E7A10">
            <w:pPr>
              <w:rPr>
                <w:rFonts w:ascii="宋体"/>
                <w:vanish/>
              </w:rPr>
            </w:pPr>
          </w:p>
        </w:tc>
        <w:tc>
          <w:tcPr>
            <w:tcW w:w="0" w:type="auto"/>
            <w:gridSpan w:val="3"/>
            <w:shd w:val="clear" w:color="auto" w:fill="auto"/>
          </w:tcPr>
          <w:p w14:paraId="746F06FA" w14:textId="77777777" w:rsidR="008E7A10" w:rsidRDefault="008E7A10">
            <w:pPr>
              <w:rPr>
                <w:rFonts w:ascii="宋体"/>
                <w:vanish/>
              </w:rPr>
            </w:pPr>
          </w:p>
        </w:tc>
        <w:tc>
          <w:tcPr>
            <w:tcW w:w="0" w:type="auto"/>
            <w:gridSpan w:val="3"/>
            <w:shd w:val="clear" w:color="auto" w:fill="auto"/>
          </w:tcPr>
          <w:p w14:paraId="746F06FB" w14:textId="77777777" w:rsidR="008E7A10" w:rsidRDefault="008E7A10">
            <w:pPr>
              <w:rPr>
                <w:rFonts w:ascii="宋体"/>
                <w:vanish/>
              </w:rPr>
            </w:pPr>
          </w:p>
        </w:tc>
        <w:tc>
          <w:tcPr>
            <w:tcW w:w="0" w:type="auto"/>
            <w:gridSpan w:val="3"/>
            <w:shd w:val="clear" w:color="auto" w:fill="auto"/>
          </w:tcPr>
          <w:p w14:paraId="746F06FC" w14:textId="77777777" w:rsidR="008E7A10" w:rsidRDefault="008E7A10">
            <w:pPr>
              <w:rPr>
                <w:rFonts w:ascii="宋体"/>
                <w:vanish/>
              </w:rPr>
            </w:pPr>
          </w:p>
        </w:tc>
        <w:tc>
          <w:tcPr>
            <w:tcW w:w="0" w:type="auto"/>
            <w:gridSpan w:val="3"/>
            <w:shd w:val="clear" w:color="auto" w:fill="auto"/>
          </w:tcPr>
          <w:p w14:paraId="746F06FD" w14:textId="77777777" w:rsidR="008E7A10" w:rsidRDefault="008E7A10">
            <w:pPr>
              <w:rPr>
                <w:rFonts w:ascii="宋体"/>
                <w:vanish/>
              </w:rPr>
            </w:pPr>
          </w:p>
        </w:tc>
      </w:tr>
      <w:tr w:rsidR="008E7A10" w14:paraId="746F070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6FF" w14:textId="77777777" w:rsidR="008E7A10" w:rsidRDefault="00E047B2">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tcPr>
          <w:p w14:paraId="746F0700"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701" w14:textId="77777777" w:rsidR="008E7A10" w:rsidRDefault="00E047B2">
            <w:pPr>
              <w:jc w:val="right"/>
              <w:textAlignment w:val="bottom"/>
            </w:pPr>
            <w:r>
              <w:rPr>
                <w:rFonts w:ascii="Arial" w:eastAsia="宋体" w:hAnsi="Arial" w:cs="Arial"/>
                <w:color w:val="000000"/>
                <w:sz w:val="17"/>
                <w:szCs w:val="17"/>
              </w:rPr>
              <w:t>23 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702"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703"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704"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705" w14:textId="77777777" w:rsidR="008E7A10" w:rsidRDefault="008E7A10">
            <w:pPr>
              <w:jc w:val="right"/>
              <w:rPr>
                <w:rFonts w:ascii="宋体"/>
              </w:rPr>
            </w:pPr>
          </w:p>
        </w:tc>
      </w:tr>
      <w:tr w:rsidR="008E7A10" w14:paraId="746F071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707" w14:textId="77777777" w:rsidR="008E7A10" w:rsidRDefault="00E047B2">
            <w:pPr>
              <w:textAlignment w:val="bottom"/>
            </w:pPr>
            <w:r>
              <w:rPr>
                <w:rFonts w:ascii="Arial" w:eastAsia="宋体" w:hAnsi="Arial" w:cs="Arial"/>
                <w:b/>
                <w:bCs/>
                <w:color w:val="000000"/>
                <w:sz w:val="17"/>
                <w:szCs w:val="17"/>
              </w:rPr>
              <w:t>TOTAL DERIVATIVE LIABILITIES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708"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70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70A" w14:textId="77777777" w:rsidR="008E7A10" w:rsidRDefault="00E047B2">
            <w:pPr>
              <w:jc w:val="right"/>
              <w:textAlignment w:val="bottom"/>
            </w:pPr>
            <w:r>
              <w:rPr>
                <w:rFonts w:ascii="Arial" w:eastAsia="宋体" w:hAnsi="Arial" w:cs="Arial"/>
                <w:b/>
                <w:bCs/>
                <w:color w:val="000000"/>
                <w:sz w:val="17"/>
                <w:szCs w:val="17"/>
              </w:rPr>
              <w:t>584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70B"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70C" w14:textId="77777777" w:rsidR="008E7A10" w:rsidRDefault="008E7A10">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70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70E" w14:textId="77777777" w:rsidR="008E7A10" w:rsidRDefault="00E047B2">
            <w:pPr>
              <w:jc w:val="right"/>
              <w:textAlignment w:val="bottom"/>
            </w:pPr>
            <w:r>
              <w:rPr>
                <w:rFonts w:ascii="Arial" w:eastAsia="宋体" w:hAnsi="Arial" w:cs="Arial"/>
                <w:b/>
                <w:bCs/>
                <w:color w:val="000000"/>
                <w:sz w:val="17"/>
                <w:szCs w:val="17"/>
              </w:rPr>
              <w:t>207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70F" w14:textId="77777777" w:rsidR="008E7A10" w:rsidRDefault="008E7A10">
            <w:pPr>
              <w:jc w:val="right"/>
              <w:rPr>
                <w:rFonts w:ascii="宋体"/>
              </w:rPr>
            </w:pPr>
          </w:p>
        </w:tc>
      </w:tr>
    </w:tbl>
    <w:p w14:paraId="746F0711" w14:textId="77777777" w:rsidR="008E7A10" w:rsidRDefault="00E047B2">
      <w:pPr>
        <w:spacing w:before="120"/>
      </w:pPr>
      <w:r>
        <w:rPr>
          <w:rFonts w:ascii="Arial" w:eastAsia="宋体" w:hAnsi="Arial" w:cs="Arial"/>
          <w:color w:val="000000"/>
          <w:sz w:val="17"/>
          <w:szCs w:val="17"/>
        </w:rPr>
        <w:t xml:space="preserve">The following tables present the amounts in the Unaudited Condensed Consolidated Statements of Income in which the effects of cash flow hedges are recorded and the effects of cash flow hedge activity on these line items: </w:t>
      </w:r>
    </w:p>
    <w:tbl>
      <w:tblPr>
        <w:tblW w:w="4985" w:type="pct"/>
        <w:tblCellMar>
          <w:top w:w="15" w:type="dxa"/>
          <w:left w:w="15" w:type="dxa"/>
          <w:bottom w:w="15" w:type="dxa"/>
          <w:right w:w="15" w:type="dxa"/>
        </w:tblCellMar>
        <w:tblLook w:val="04A0" w:firstRow="1" w:lastRow="0" w:firstColumn="1" w:lastColumn="0" w:noHBand="0" w:noVBand="1"/>
      </w:tblPr>
      <w:tblGrid>
        <w:gridCol w:w="38"/>
        <w:gridCol w:w="3945"/>
        <w:gridCol w:w="37"/>
        <w:gridCol w:w="115"/>
        <w:gridCol w:w="905"/>
        <w:gridCol w:w="36"/>
        <w:gridCol w:w="110"/>
        <w:gridCol w:w="905"/>
        <w:gridCol w:w="36"/>
        <w:gridCol w:w="36"/>
        <w:gridCol w:w="36"/>
        <w:gridCol w:w="36"/>
        <w:gridCol w:w="115"/>
        <w:gridCol w:w="872"/>
        <w:gridCol w:w="36"/>
        <w:gridCol w:w="110"/>
        <w:gridCol w:w="907"/>
        <w:gridCol w:w="36"/>
      </w:tblGrid>
      <w:tr w:rsidR="008E7A10" w14:paraId="746F0724" w14:textId="77777777">
        <w:tc>
          <w:tcPr>
            <w:tcW w:w="50" w:type="pct"/>
            <w:shd w:val="clear" w:color="auto" w:fill="auto"/>
          </w:tcPr>
          <w:p w14:paraId="746F0712" w14:textId="77777777" w:rsidR="008E7A10" w:rsidRDefault="008E7A10">
            <w:pPr>
              <w:rPr>
                <w:rFonts w:ascii="宋体"/>
              </w:rPr>
            </w:pPr>
          </w:p>
        </w:tc>
        <w:tc>
          <w:tcPr>
            <w:tcW w:w="2398" w:type="pct"/>
            <w:shd w:val="clear" w:color="auto" w:fill="auto"/>
          </w:tcPr>
          <w:p w14:paraId="746F0713" w14:textId="77777777" w:rsidR="008E7A10" w:rsidRDefault="008E7A10">
            <w:pPr>
              <w:rPr>
                <w:rFonts w:ascii="宋体"/>
              </w:rPr>
            </w:pPr>
          </w:p>
        </w:tc>
        <w:tc>
          <w:tcPr>
            <w:tcW w:w="5" w:type="pct"/>
            <w:shd w:val="clear" w:color="auto" w:fill="auto"/>
          </w:tcPr>
          <w:p w14:paraId="746F0714" w14:textId="77777777" w:rsidR="008E7A10" w:rsidRDefault="008E7A10">
            <w:pPr>
              <w:rPr>
                <w:rFonts w:ascii="宋体"/>
              </w:rPr>
            </w:pPr>
          </w:p>
        </w:tc>
        <w:tc>
          <w:tcPr>
            <w:tcW w:w="50" w:type="pct"/>
            <w:shd w:val="clear" w:color="auto" w:fill="auto"/>
          </w:tcPr>
          <w:p w14:paraId="746F0715" w14:textId="77777777" w:rsidR="008E7A10" w:rsidRDefault="008E7A10">
            <w:pPr>
              <w:rPr>
                <w:rFonts w:ascii="宋体"/>
              </w:rPr>
            </w:pPr>
          </w:p>
        </w:tc>
        <w:tc>
          <w:tcPr>
            <w:tcW w:w="571" w:type="pct"/>
            <w:shd w:val="clear" w:color="auto" w:fill="auto"/>
          </w:tcPr>
          <w:p w14:paraId="746F0716" w14:textId="77777777" w:rsidR="008E7A10" w:rsidRDefault="008E7A10">
            <w:pPr>
              <w:rPr>
                <w:rFonts w:ascii="宋体"/>
              </w:rPr>
            </w:pPr>
          </w:p>
        </w:tc>
        <w:tc>
          <w:tcPr>
            <w:tcW w:w="5" w:type="pct"/>
            <w:shd w:val="clear" w:color="auto" w:fill="auto"/>
          </w:tcPr>
          <w:p w14:paraId="746F0717" w14:textId="77777777" w:rsidR="008E7A10" w:rsidRDefault="008E7A10">
            <w:pPr>
              <w:rPr>
                <w:rFonts w:ascii="宋体"/>
              </w:rPr>
            </w:pPr>
          </w:p>
        </w:tc>
        <w:tc>
          <w:tcPr>
            <w:tcW w:w="50" w:type="pct"/>
            <w:shd w:val="clear" w:color="auto" w:fill="auto"/>
          </w:tcPr>
          <w:p w14:paraId="746F0718" w14:textId="77777777" w:rsidR="008E7A10" w:rsidRDefault="008E7A10">
            <w:pPr>
              <w:rPr>
                <w:rFonts w:ascii="宋体"/>
              </w:rPr>
            </w:pPr>
          </w:p>
        </w:tc>
        <w:tc>
          <w:tcPr>
            <w:tcW w:w="571" w:type="pct"/>
            <w:shd w:val="clear" w:color="auto" w:fill="auto"/>
          </w:tcPr>
          <w:p w14:paraId="746F0719" w14:textId="77777777" w:rsidR="008E7A10" w:rsidRDefault="008E7A10">
            <w:pPr>
              <w:rPr>
                <w:rFonts w:ascii="宋体"/>
              </w:rPr>
            </w:pPr>
          </w:p>
        </w:tc>
        <w:tc>
          <w:tcPr>
            <w:tcW w:w="5" w:type="pct"/>
            <w:shd w:val="clear" w:color="auto" w:fill="auto"/>
          </w:tcPr>
          <w:p w14:paraId="746F071A" w14:textId="77777777" w:rsidR="008E7A10" w:rsidRDefault="008E7A10">
            <w:pPr>
              <w:rPr>
                <w:rFonts w:ascii="宋体"/>
              </w:rPr>
            </w:pPr>
          </w:p>
        </w:tc>
        <w:tc>
          <w:tcPr>
            <w:tcW w:w="5" w:type="pct"/>
            <w:shd w:val="clear" w:color="auto" w:fill="auto"/>
          </w:tcPr>
          <w:p w14:paraId="746F071B" w14:textId="77777777" w:rsidR="008E7A10" w:rsidRDefault="008E7A10">
            <w:pPr>
              <w:rPr>
                <w:rFonts w:ascii="宋体"/>
              </w:rPr>
            </w:pPr>
          </w:p>
        </w:tc>
        <w:tc>
          <w:tcPr>
            <w:tcW w:w="28" w:type="pct"/>
            <w:shd w:val="clear" w:color="auto" w:fill="auto"/>
          </w:tcPr>
          <w:p w14:paraId="746F071C" w14:textId="77777777" w:rsidR="008E7A10" w:rsidRDefault="008E7A10">
            <w:pPr>
              <w:rPr>
                <w:rFonts w:ascii="宋体"/>
              </w:rPr>
            </w:pPr>
          </w:p>
        </w:tc>
        <w:tc>
          <w:tcPr>
            <w:tcW w:w="5" w:type="pct"/>
            <w:shd w:val="clear" w:color="auto" w:fill="auto"/>
          </w:tcPr>
          <w:p w14:paraId="746F071D" w14:textId="77777777" w:rsidR="008E7A10" w:rsidRDefault="008E7A10">
            <w:pPr>
              <w:rPr>
                <w:rFonts w:ascii="宋体"/>
              </w:rPr>
            </w:pPr>
          </w:p>
        </w:tc>
        <w:tc>
          <w:tcPr>
            <w:tcW w:w="50" w:type="pct"/>
            <w:shd w:val="clear" w:color="auto" w:fill="auto"/>
          </w:tcPr>
          <w:p w14:paraId="746F071E" w14:textId="77777777" w:rsidR="008E7A10" w:rsidRDefault="008E7A10">
            <w:pPr>
              <w:rPr>
                <w:rFonts w:ascii="宋体"/>
              </w:rPr>
            </w:pPr>
          </w:p>
        </w:tc>
        <w:tc>
          <w:tcPr>
            <w:tcW w:w="571" w:type="pct"/>
            <w:shd w:val="clear" w:color="auto" w:fill="auto"/>
          </w:tcPr>
          <w:p w14:paraId="746F071F" w14:textId="77777777" w:rsidR="008E7A10" w:rsidRDefault="008E7A10">
            <w:pPr>
              <w:rPr>
                <w:rFonts w:ascii="宋体"/>
              </w:rPr>
            </w:pPr>
          </w:p>
        </w:tc>
        <w:tc>
          <w:tcPr>
            <w:tcW w:w="5" w:type="pct"/>
            <w:shd w:val="clear" w:color="auto" w:fill="auto"/>
          </w:tcPr>
          <w:p w14:paraId="746F0720" w14:textId="77777777" w:rsidR="008E7A10" w:rsidRDefault="008E7A10">
            <w:pPr>
              <w:rPr>
                <w:rFonts w:ascii="宋体"/>
              </w:rPr>
            </w:pPr>
          </w:p>
        </w:tc>
        <w:tc>
          <w:tcPr>
            <w:tcW w:w="50" w:type="pct"/>
            <w:shd w:val="clear" w:color="auto" w:fill="auto"/>
          </w:tcPr>
          <w:p w14:paraId="746F0721" w14:textId="77777777" w:rsidR="008E7A10" w:rsidRDefault="008E7A10">
            <w:pPr>
              <w:rPr>
                <w:rFonts w:ascii="宋体"/>
              </w:rPr>
            </w:pPr>
          </w:p>
        </w:tc>
        <w:tc>
          <w:tcPr>
            <w:tcW w:w="572" w:type="pct"/>
            <w:shd w:val="clear" w:color="auto" w:fill="auto"/>
          </w:tcPr>
          <w:p w14:paraId="746F0722" w14:textId="77777777" w:rsidR="008E7A10" w:rsidRDefault="008E7A10">
            <w:pPr>
              <w:rPr>
                <w:rFonts w:ascii="宋体"/>
              </w:rPr>
            </w:pPr>
          </w:p>
        </w:tc>
        <w:tc>
          <w:tcPr>
            <w:tcW w:w="5" w:type="pct"/>
            <w:shd w:val="clear" w:color="auto" w:fill="auto"/>
          </w:tcPr>
          <w:p w14:paraId="746F0723" w14:textId="77777777" w:rsidR="008E7A10" w:rsidRDefault="008E7A10">
            <w:pPr>
              <w:rPr>
                <w:rFonts w:ascii="宋体"/>
              </w:rPr>
            </w:pPr>
          </w:p>
        </w:tc>
      </w:tr>
      <w:tr w:rsidR="008E7A10" w14:paraId="746F0727" w14:textId="77777777">
        <w:tc>
          <w:tcPr>
            <w:tcW w:w="0" w:type="auto"/>
            <w:gridSpan w:val="3"/>
            <w:shd w:val="clear" w:color="auto" w:fill="auto"/>
            <w:tcMar>
              <w:top w:w="0" w:type="dxa"/>
              <w:left w:w="20" w:type="dxa"/>
              <w:bottom w:w="0" w:type="dxa"/>
              <w:right w:w="20" w:type="dxa"/>
            </w:tcMar>
          </w:tcPr>
          <w:p w14:paraId="746F0725" w14:textId="77777777" w:rsidR="008E7A10" w:rsidRDefault="008E7A10">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746F0726" w14:textId="77777777" w:rsidR="008E7A10" w:rsidRDefault="00E047B2">
            <w:pPr>
              <w:jc w:val="center"/>
              <w:textAlignment w:val="bottom"/>
            </w:pPr>
            <w:r>
              <w:rPr>
                <w:rFonts w:ascii="sans-serif" w:eastAsia="sans-serif" w:hAnsi="sans-serif" w:cs="sans-serif"/>
                <w:b/>
                <w:bCs/>
                <w:color w:val="000000"/>
                <w:sz w:val="17"/>
                <w:szCs w:val="17"/>
              </w:rPr>
              <w:t xml:space="preserve">THREE </w:t>
            </w:r>
            <w:r>
              <w:rPr>
                <w:rFonts w:ascii="sans-serif" w:eastAsia="sans-serif" w:hAnsi="sans-serif" w:cs="sans-serif"/>
                <w:b/>
                <w:bCs/>
                <w:color w:val="000000"/>
                <w:sz w:val="17"/>
                <w:szCs w:val="17"/>
              </w:rPr>
              <w:t>MONTHS ENDED NOVEMBER 30,</w:t>
            </w:r>
          </w:p>
        </w:tc>
      </w:tr>
      <w:tr w:rsidR="008E7A10" w14:paraId="746F072C" w14:textId="77777777">
        <w:tc>
          <w:tcPr>
            <w:tcW w:w="0" w:type="auto"/>
            <w:gridSpan w:val="3"/>
            <w:shd w:val="clear" w:color="auto" w:fill="auto"/>
            <w:tcMar>
              <w:top w:w="0" w:type="dxa"/>
              <w:left w:w="20" w:type="dxa"/>
              <w:bottom w:w="0" w:type="dxa"/>
              <w:right w:w="20" w:type="dxa"/>
            </w:tcMar>
          </w:tcPr>
          <w:p w14:paraId="746F0728"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729"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0" w:type="dxa"/>
              <w:left w:w="20" w:type="dxa"/>
              <w:bottom w:w="0" w:type="dxa"/>
              <w:right w:w="20" w:type="dxa"/>
            </w:tcMar>
          </w:tcPr>
          <w:p w14:paraId="746F072A"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72B" w14:textId="77777777" w:rsidR="008E7A10" w:rsidRDefault="00E047B2">
            <w:pPr>
              <w:jc w:val="center"/>
              <w:textAlignment w:val="bottom"/>
            </w:pPr>
            <w:r>
              <w:rPr>
                <w:rFonts w:ascii="sans-serif" w:eastAsia="sans-serif" w:hAnsi="sans-serif" w:cs="sans-serif"/>
                <w:b/>
                <w:bCs/>
                <w:color w:val="000000"/>
                <w:sz w:val="17"/>
                <w:szCs w:val="17"/>
              </w:rPr>
              <w:t>2019</w:t>
            </w:r>
          </w:p>
        </w:tc>
      </w:tr>
      <w:tr w:rsidR="008E7A10" w14:paraId="746F0733" w14:textId="77777777">
        <w:tc>
          <w:tcPr>
            <w:tcW w:w="0" w:type="auto"/>
            <w:gridSpan w:val="3"/>
            <w:shd w:val="clear" w:color="auto" w:fill="auto"/>
            <w:tcMar>
              <w:top w:w="40" w:type="dxa"/>
              <w:left w:w="20" w:type="dxa"/>
              <w:bottom w:w="40" w:type="dxa"/>
              <w:right w:w="20" w:type="dxa"/>
            </w:tcMar>
            <w:vAlign w:val="bottom"/>
          </w:tcPr>
          <w:p w14:paraId="746F072D"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2E" w14:textId="77777777" w:rsidR="008E7A10" w:rsidRDefault="00E047B2">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2F" w14:textId="77777777" w:rsidR="008E7A10" w:rsidRDefault="00E047B2">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tcPr>
          <w:p w14:paraId="746F0730"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31" w14:textId="77777777" w:rsidR="008E7A10" w:rsidRDefault="00E047B2">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32" w14:textId="77777777" w:rsidR="008E7A10" w:rsidRDefault="00E047B2">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8E7A10" w14:paraId="746F074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34" w14:textId="77777777" w:rsidR="008E7A10" w:rsidRDefault="00E047B2">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073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736" w14:textId="77777777" w:rsidR="008E7A10" w:rsidRDefault="00E047B2">
            <w:pPr>
              <w:jc w:val="right"/>
              <w:textAlignment w:val="bottom"/>
            </w:pPr>
            <w:r>
              <w:rPr>
                <w:rFonts w:ascii="Arial" w:eastAsia="宋体" w:hAnsi="Arial" w:cs="Arial"/>
                <w:color w:val="000000"/>
                <w:sz w:val="17"/>
                <w:szCs w:val="17"/>
              </w:rPr>
              <w:t>11,243 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737"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738" w14:textId="77777777" w:rsidR="008E7A10" w:rsidRDefault="00E047B2">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739" w14:textId="77777777" w:rsidR="008E7A10" w:rsidRDefault="00E047B2">
            <w:pPr>
              <w:jc w:val="right"/>
              <w:textAlignment w:val="bottom"/>
            </w:pPr>
            <w:r>
              <w:rPr>
                <w:rFonts w:ascii="Arial" w:eastAsia="宋体" w:hAnsi="Arial" w:cs="Arial"/>
                <w:color w:val="000000"/>
                <w:sz w:val="16"/>
                <w:szCs w:val="16"/>
              </w:rPr>
              <w:t>26 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73A"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73B" w14:textId="77777777" w:rsidR="008E7A10" w:rsidRDefault="008E7A10">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73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73D" w14:textId="77777777" w:rsidR="008E7A10" w:rsidRDefault="00E047B2">
            <w:pPr>
              <w:jc w:val="right"/>
              <w:textAlignment w:val="bottom"/>
            </w:pPr>
            <w:r>
              <w:rPr>
                <w:rFonts w:ascii="Arial" w:eastAsia="宋体" w:hAnsi="Arial" w:cs="Arial"/>
                <w:color w:val="000000"/>
                <w:sz w:val="17"/>
                <w:szCs w:val="17"/>
              </w:rPr>
              <w:t>10,326 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73E"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73F" w14:textId="77777777" w:rsidR="008E7A10" w:rsidRDefault="00E047B2">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740" w14:textId="77777777" w:rsidR="008E7A10" w:rsidRDefault="00E047B2">
            <w:pPr>
              <w:jc w:val="right"/>
              <w:textAlignment w:val="bottom"/>
            </w:pPr>
            <w:r>
              <w:rPr>
                <w:rFonts w:ascii="Arial" w:eastAsia="宋体" w:hAnsi="Arial" w:cs="Arial"/>
                <w:color w:val="000000"/>
                <w:sz w:val="16"/>
                <w:szCs w:val="16"/>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741" w14:textId="77777777" w:rsidR="008E7A10" w:rsidRDefault="008E7A10">
            <w:pPr>
              <w:jc w:val="right"/>
              <w:rPr>
                <w:rFonts w:ascii="宋体"/>
              </w:rPr>
            </w:pPr>
          </w:p>
        </w:tc>
      </w:tr>
      <w:tr w:rsidR="008E7A10" w14:paraId="746F074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743" w14:textId="77777777" w:rsidR="008E7A10" w:rsidRDefault="00E047B2">
            <w:pPr>
              <w:textAlignment w:val="bottom"/>
            </w:pPr>
            <w:r>
              <w:rPr>
                <w:rFonts w:ascii="Arial" w:eastAsia="宋体" w:hAnsi="Arial" w:cs="Arial"/>
                <w:color w:val="000000"/>
                <w:sz w:val="17"/>
                <w:szCs w:val="17"/>
              </w:rPr>
              <w:t>Cost of sales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44" w14:textId="77777777" w:rsidR="008E7A10" w:rsidRDefault="00E047B2">
            <w:pPr>
              <w:jc w:val="right"/>
              <w:textAlignment w:val="bottom"/>
            </w:pPr>
            <w:r>
              <w:rPr>
                <w:rFonts w:ascii="Arial" w:eastAsia="宋体" w:hAnsi="Arial" w:cs="Arial"/>
                <w:color w:val="000000"/>
                <w:sz w:val="17"/>
                <w:szCs w:val="17"/>
              </w:rPr>
              <w:t>6,396 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45"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46" w14:textId="77777777" w:rsidR="008E7A10" w:rsidRDefault="00E047B2">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47"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748"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49" w14:textId="77777777" w:rsidR="008E7A10" w:rsidRDefault="00E047B2">
            <w:pPr>
              <w:jc w:val="right"/>
              <w:textAlignment w:val="bottom"/>
            </w:pPr>
            <w:r>
              <w:rPr>
                <w:rFonts w:ascii="Arial" w:eastAsia="宋体" w:hAnsi="Arial" w:cs="Arial"/>
                <w:color w:val="000000"/>
                <w:sz w:val="17"/>
                <w:szCs w:val="17"/>
              </w:rPr>
              <w:t>5,782 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4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4B" w14:textId="77777777" w:rsidR="008E7A10" w:rsidRDefault="00E047B2">
            <w:pPr>
              <w:jc w:val="right"/>
              <w:textAlignment w:val="bottom"/>
            </w:pPr>
            <w:r>
              <w:rPr>
                <w:rFonts w:ascii="Arial" w:eastAsia="宋体" w:hAnsi="Arial" w:cs="Arial"/>
                <w:color w:val="000000"/>
                <w:sz w:val="17"/>
                <w:szCs w:val="17"/>
              </w:rPr>
              <w:t>102 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4C" w14:textId="77777777" w:rsidR="008E7A10" w:rsidRDefault="008E7A10">
            <w:pPr>
              <w:jc w:val="right"/>
              <w:rPr>
                <w:rFonts w:ascii="宋体"/>
              </w:rPr>
            </w:pPr>
          </w:p>
        </w:tc>
      </w:tr>
      <w:tr w:rsidR="008E7A10" w14:paraId="746F075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74E" w14:textId="77777777" w:rsidR="008E7A10" w:rsidRDefault="00E047B2">
            <w:pPr>
              <w:textAlignment w:val="bottom"/>
            </w:pPr>
            <w:r>
              <w:rPr>
                <w:rFonts w:ascii="Arial" w:eastAsia="宋体" w:hAnsi="Arial" w:cs="Arial"/>
                <w:color w:val="000000"/>
                <w:sz w:val="17"/>
                <w:szCs w:val="17"/>
              </w:rPr>
              <w:t>Demand creation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4F" w14:textId="77777777" w:rsidR="008E7A10" w:rsidRDefault="00E047B2">
            <w:pPr>
              <w:jc w:val="right"/>
              <w:textAlignment w:val="bottom"/>
            </w:pPr>
            <w:r>
              <w:rPr>
                <w:rFonts w:ascii="Arial" w:eastAsia="宋体" w:hAnsi="Arial" w:cs="Arial"/>
                <w:color w:val="000000"/>
                <w:sz w:val="17"/>
                <w:szCs w:val="17"/>
              </w:rPr>
              <w:t>729 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50"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51"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5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753"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54" w14:textId="77777777" w:rsidR="008E7A10" w:rsidRDefault="00E047B2">
            <w:pPr>
              <w:jc w:val="right"/>
              <w:textAlignment w:val="bottom"/>
            </w:pPr>
            <w:r>
              <w:rPr>
                <w:rFonts w:ascii="Arial" w:eastAsia="宋体" w:hAnsi="Arial" w:cs="Arial"/>
                <w:color w:val="000000"/>
                <w:sz w:val="17"/>
                <w:szCs w:val="17"/>
              </w:rPr>
              <w:t>881 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5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56"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57" w14:textId="77777777" w:rsidR="008E7A10" w:rsidRDefault="008E7A10">
            <w:pPr>
              <w:jc w:val="right"/>
              <w:rPr>
                <w:rFonts w:ascii="宋体"/>
              </w:rPr>
            </w:pPr>
          </w:p>
        </w:tc>
      </w:tr>
      <w:tr w:rsidR="008E7A10" w14:paraId="746F076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759" w14:textId="77777777" w:rsidR="008E7A10" w:rsidRDefault="00E047B2">
            <w:pPr>
              <w:textAlignment w:val="bottom"/>
            </w:pPr>
            <w:r>
              <w:rPr>
                <w:rFonts w:ascii="Arial" w:eastAsia="宋体" w:hAnsi="Arial" w:cs="Arial"/>
                <w:color w:val="000000"/>
                <w:sz w:val="17"/>
                <w:szCs w:val="17"/>
              </w:rPr>
              <w:t>Oth</w:t>
            </w:r>
            <w:r>
              <w:rPr>
                <w:rFonts w:ascii="Arial" w:eastAsia="宋体" w:hAnsi="Arial" w:cs="Arial"/>
                <w:color w:val="000000"/>
                <w:sz w:val="17"/>
                <w:szCs w:val="17"/>
              </w:rPr>
              <w:t>er (income) expense,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5A" w14:textId="77777777" w:rsidR="008E7A10" w:rsidRDefault="00E047B2">
            <w:pPr>
              <w:jc w:val="right"/>
              <w:textAlignment w:val="bottom"/>
            </w:pPr>
            <w:r>
              <w:rPr>
                <w:rFonts w:ascii="Arial" w:eastAsia="宋体" w:hAnsi="Arial" w:cs="Arial"/>
                <w:color w:val="000000"/>
                <w:sz w:val="17"/>
                <w:szCs w:val="17"/>
              </w:rPr>
              <w:t>54 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5B"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5C" w14:textId="77777777" w:rsidR="008E7A10" w:rsidRDefault="00E047B2">
            <w:pPr>
              <w:jc w:val="right"/>
              <w:textAlignment w:val="bottom"/>
            </w:pPr>
            <w:r>
              <w:rPr>
                <w:rFonts w:ascii="Arial" w:eastAsia="宋体" w:hAnsi="Arial" w:cs="Arial"/>
                <w:color w:val="000000"/>
                <w:sz w:val="17"/>
                <w:szCs w:val="17"/>
              </w:rPr>
              <w:t>(13)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5D"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75E"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5F" w14:textId="77777777" w:rsidR="008E7A10" w:rsidRDefault="00E047B2">
            <w:pPr>
              <w:jc w:val="right"/>
              <w:textAlignment w:val="bottom"/>
            </w:pPr>
            <w:r>
              <w:rPr>
                <w:rFonts w:ascii="Arial" w:eastAsia="宋体" w:hAnsi="Arial" w:cs="Arial"/>
                <w:color w:val="000000"/>
                <w:sz w:val="17"/>
                <w:szCs w:val="17"/>
              </w:rPr>
              <w:t>(41)</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6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61" w14:textId="77777777" w:rsidR="008E7A10" w:rsidRDefault="00E047B2">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62" w14:textId="77777777" w:rsidR="008E7A10" w:rsidRDefault="008E7A10">
            <w:pPr>
              <w:jc w:val="right"/>
              <w:rPr>
                <w:rFonts w:ascii="宋体"/>
              </w:rPr>
            </w:pPr>
          </w:p>
        </w:tc>
      </w:tr>
      <w:tr w:rsidR="008E7A10" w14:paraId="746F076E"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F0764" w14:textId="77777777" w:rsidR="008E7A10" w:rsidRDefault="00E047B2">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0765" w14:textId="77777777" w:rsidR="008E7A10" w:rsidRDefault="00E047B2">
            <w:pPr>
              <w:jc w:val="right"/>
              <w:textAlignment w:val="bottom"/>
            </w:pPr>
            <w:r>
              <w:rPr>
                <w:rFonts w:ascii="Arial" w:eastAsia="宋体" w:hAnsi="Arial" w:cs="Arial"/>
                <w:color w:val="000000"/>
                <w:sz w:val="17"/>
                <w:szCs w:val="17"/>
              </w:rPr>
              <w:t>70 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0766"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0767"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0768" w14:textId="77777777" w:rsidR="008E7A10" w:rsidRDefault="008E7A10">
            <w:pPr>
              <w:jc w:val="right"/>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F0769" w14:textId="77777777" w:rsidR="008E7A10" w:rsidRDefault="008E7A10">
            <w:pPr>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076A"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076B"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076C"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076D" w14:textId="77777777" w:rsidR="008E7A10" w:rsidRDefault="008E7A10">
            <w:pPr>
              <w:jc w:val="right"/>
              <w:rPr>
                <w:rFonts w:ascii="宋体"/>
              </w:rPr>
            </w:pPr>
          </w:p>
        </w:tc>
      </w:tr>
    </w:tbl>
    <w:p w14:paraId="746F076F" w14:textId="77777777" w:rsidR="008E7A10" w:rsidRDefault="00E047B2">
      <w:pPr>
        <w:spacing w:before="120" w:after="120"/>
        <w:jc w:val="right"/>
      </w:pPr>
      <w:r>
        <w:rPr>
          <w:rFonts w:ascii="Arial" w:eastAsia="宋体" w:hAnsi="Arial" w:cs="Arial"/>
          <w:color w:val="E87722"/>
          <w:sz w:val="17"/>
          <w:szCs w:val="17"/>
        </w:rPr>
        <w:t>13</w:t>
      </w:r>
    </w:p>
    <w:p w14:paraId="746F0770" w14:textId="77777777" w:rsidR="008E7A10" w:rsidRDefault="00E047B2">
      <w:r>
        <w:pict w14:anchorId="746F2015">
          <v:rect id="_x0000_i1039" style="width:415.3pt;height:1.5pt" o:hralign="center" o:hrstd="t" o:hr="t" fillcolor="#a0a0a0" stroked="f"/>
        </w:pict>
      </w:r>
    </w:p>
    <w:p w14:paraId="746F0771" w14:textId="77777777" w:rsidR="008E7A10" w:rsidRDefault="008E7A10"/>
    <w:p w14:paraId="746F0772" w14:textId="77777777" w:rsidR="008E7A10" w:rsidRDefault="00E047B2">
      <w:hyperlink r:id="rId84" w:anchor="i31a624617c6c41b38f8f700fa0df5bde_7" w:history="1">
        <w:r>
          <w:rPr>
            <w:rStyle w:val="a5"/>
            <w:rFonts w:ascii="sans-serif" w:eastAsia="sans-serif" w:hAnsi="sans-serif" w:cs="sans-serif"/>
            <w:sz w:val="17"/>
            <w:szCs w:val="17"/>
          </w:rPr>
          <w:t>Table of Contents</w:t>
        </w:r>
      </w:hyperlink>
    </w:p>
    <w:p w14:paraId="746F0773" w14:textId="77777777" w:rsidR="008E7A10" w:rsidRDefault="008E7A10"/>
    <w:tbl>
      <w:tblPr>
        <w:tblW w:w="4985" w:type="pct"/>
        <w:tblCellMar>
          <w:top w:w="15" w:type="dxa"/>
          <w:left w:w="15" w:type="dxa"/>
          <w:bottom w:w="15" w:type="dxa"/>
          <w:right w:w="15" w:type="dxa"/>
        </w:tblCellMar>
        <w:tblLook w:val="04A0" w:firstRow="1" w:lastRow="0" w:firstColumn="1" w:lastColumn="0" w:noHBand="0" w:noVBand="1"/>
      </w:tblPr>
      <w:tblGrid>
        <w:gridCol w:w="38"/>
        <w:gridCol w:w="3942"/>
        <w:gridCol w:w="37"/>
        <w:gridCol w:w="115"/>
        <w:gridCol w:w="903"/>
        <w:gridCol w:w="36"/>
        <w:gridCol w:w="116"/>
        <w:gridCol w:w="903"/>
        <w:gridCol w:w="36"/>
        <w:gridCol w:w="36"/>
        <w:gridCol w:w="36"/>
        <w:gridCol w:w="36"/>
        <w:gridCol w:w="115"/>
        <w:gridCol w:w="868"/>
        <w:gridCol w:w="36"/>
        <w:gridCol w:w="116"/>
        <w:gridCol w:w="906"/>
        <w:gridCol w:w="36"/>
      </w:tblGrid>
      <w:tr w:rsidR="008E7A10" w14:paraId="746F0786" w14:textId="77777777">
        <w:tc>
          <w:tcPr>
            <w:tcW w:w="50" w:type="pct"/>
            <w:shd w:val="clear" w:color="auto" w:fill="auto"/>
          </w:tcPr>
          <w:p w14:paraId="746F0774" w14:textId="77777777" w:rsidR="008E7A10" w:rsidRDefault="008E7A10">
            <w:pPr>
              <w:rPr>
                <w:rFonts w:ascii="宋体"/>
              </w:rPr>
            </w:pPr>
          </w:p>
        </w:tc>
        <w:tc>
          <w:tcPr>
            <w:tcW w:w="2398" w:type="pct"/>
            <w:shd w:val="clear" w:color="auto" w:fill="auto"/>
          </w:tcPr>
          <w:p w14:paraId="746F0775" w14:textId="77777777" w:rsidR="008E7A10" w:rsidRDefault="008E7A10">
            <w:pPr>
              <w:rPr>
                <w:rFonts w:ascii="宋体"/>
              </w:rPr>
            </w:pPr>
          </w:p>
        </w:tc>
        <w:tc>
          <w:tcPr>
            <w:tcW w:w="5" w:type="pct"/>
            <w:shd w:val="clear" w:color="auto" w:fill="auto"/>
          </w:tcPr>
          <w:p w14:paraId="746F0776" w14:textId="77777777" w:rsidR="008E7A10" w:rsidRDefault="008E7A10">
            <w:pPr>
              <w:rPr>
                <w:rFonts w:ascii="宋体"/>
              </w:rPr>
            </w:pPr>
          </w:p>
        </w:tc>
        <w:tc>
          <w:tcPr>
            <w:tcW w:w="50" w:type="pct"/>
            <w:shd w:val="clear" w:color="auto" w:fill="auto"/>
          </w:tcPr>
          <w:p w14:paraId="746F0777" w14:textId="77777777" w:rsidR="008E7A10" w:rsidRDefault="008E7A10">
            <w:pPr>
              <w:rPr>
                <w:rFonts w:ascii="宋体"/>
              </w:rPr>
            </w:pPr>
          </w:p>
        </w:tc>
        <w:tc>
          <w:tcPr>
            <w:tcW w:w="571" w:type="pct"/>
            <w:shd w:val="clear" w:color="auto" w:fill="auto"/>
          </w:tcPr>
          <w:p w14:paraId="746F0778" w14:textId="77777777" w:rsidR="008E7A10" w:rsidRDefault="008E7A10">
            <w:pPr>
              <w:rPr>
                <w:rFonts w:ascii="宋体"/>
              </w:rPr>
            </w:pPr>
          </w:p>
        </w:tc>
        <w:tc>
          <w:tcPr>
            <w:tcW w:w="5" w:type="pct"/>
            <w:shd w:val="clear" w:color="auto" w:fill="auto"/>
          </w:tcPr>
          <w:p w14:paraId="746F0779" w14:textId="77777777" w:rsidR="008E7A10" w:rsidRDefault="008E7A10">
            <w:pPr>
              <w:rPr>
                <w:rFonts w:ascii="宋体"/>
              </w:rPr>
            </w:pPr>
          </w:p>
        </w:tc>
        <w:tc>
          <w:tcPr>
            <w:tcW w:w="50" w:type="pct"/>
            <w:shd w:val="clear" w:color="auto" w:fill="auto"/>
          </w:tcPr>
          <w:p w14:paraId="746F077A" w14:textId="77777777" w:rsidR="008E7A10" w:rsidRDefault="008E7A10">
            <w:pPr>
              <w:rPr>
                <w:rFonts w:ascii="宋体"/>
              </w:rPr>
            </w:pPr>
          </w:p>
        </w:tc>
        <w:tc>
          <w:tcPr>
            <w:tcW w:w="571" w:type="pct"/>
            <w:shd w:val="clear" w:color="auto" w:fill="auto"/>
          </w:tcPr>
          <w:p w14:paraId="746F077B" w14:textId="77777777" w:rsidR="008E7A10" w:rsidRDefault="008E7A10">
            <w:pPr>
              <w:rPr>
                <w:rFonts w:ascii="宋体"/>
              </w:rPr>
            </w:pPr>
          </w:p>
        </w:tc>
        <w:tc>
          <w:tcPr>
            <w:tcW w:w="5" w:type="pct"/>
            <w:shd w:val="clear" w:color="auto" w:fill="auto"/>
          </w:tcPr>
          <w:p w14:paraId="746F077C" w14:textId="77777777" w:rsidR="008E7A10" w:rsidRDefault="008E7A10">
            <w:pPr>
              <w:rPr>
                <w:rFonts w:ascii="宋体"/>
              </w:rPr>
            </w:pPr>
          </w:p>
        </w:tc>
        <w:tc>
          <w:tcPr>
            <w:tcW w:w="5" w:type="pct"/>
            <w:shd w:val="clear" w:color="auto" w:fill="auto"/>
          </w:tcPr>
          <w:p w14:paraId="746F077D" w14:textId="77777777" w:rsidR="008E7A10" w:rsidRDefault="008E7A10">
            <w:pPr>
              <w:rPr>
                <w:rFonts w:ascii="宋体"/>
              </w:rPr>
            </w:pPr>
          </w:p>
        </w:tc>
        <w:tc>
          <w:tcPr>
            <w:tcW w:w="28" w:type="pct"/>
            <w:shd w:val="clear" w:color="auto" w:fill="auto"/>
          </w:tcPr>
          <w:p w14:paraId="746F077E" w14:textId="77777777" w:rsidR="008E7A10" w:rsidRDefault="008E7A10">
            <w:pPr>
              <w:rPr>
                <w:rFonts w:ascii="宋体"/>
              </w:rPr>
            </w:pPr>
          </w:p>
        </w:tc>
        <w:tc>
          <w:tcPr>
            <w:tcW w:w="5" w:type="pct"/>
            <w:shd w:val="clear" w:color="auto" w:fill="auto"/>
          </w:tcPr>
          <w:p w14:paraId="746F077F" w14:textId="77777777" w:rsidR="008E7A10" w:rsidRDefault="008E7A10">
            <w:pPr>
              <w:rPr>
                <w:rFonts w:ascii="宋体"/>
              </w:rPr>
            </w:pPr>
          </w:p>
        </w:tc>
        <w:tc>
          <w:tcPr>
            <w:tcW w:w="50" w:type="pct"/>
            <w:shd w:val="clear" w:color="auto" w:fill="auto"/>
          </w:tcPr>
          <w:p w14:paraId="746F0780" w14:textId="77777777" w:rsidR="008E7A10" w:rsidRDefault="008E7A10">
            <w:pPr>
              <w:rPr>
                <w:rFonts w:ascii="宋体"/>
              </w:rPr>
            </w:pPr>
          </w:p>
        </w:tc>
        <w:tc>
          <w:tcPr>
            <w:tcW w:w="571" w:type="pct"/>
            <w:shd w:val="clear" w:color="auto" w:fill="auto"/>
          </w:tcPr>
          <w:p w14:paraId="746F0781" w14:textId="77777777" w:rsidR="008E7A10" w:rsidRDefault="008E7A10">
            <w:pPr>
              <w:rPr>
                <w:rFonts w:ascii="宋体"/>
              </w:rPr>
            </w:pPr>
          </w:p>
        </w:tc>
        <w:tc>
          <w:tcPr>
            <w:tcW w:w="5" w:type="pct"/>
            <w:shd w:val="clear" w:color="auto" w:fill="auto"/>
          </w:tcPr>
          <w:p w14:paraId="746F0782" w14:textId="77777777" w:rsidR="008E7A10" w:rsidRDefault="008E7A10">
            <w:pPr>
              <w:rPr>
                <w:rFonts w:ascii="宋体"/>
              </w:rPr>
            </w:pPr>
          </w:p>
        </w:tc>
        <w:tc>
          <w:tcPr>
            <w:tcW w:w="50" w:type="pct"/>
            <w:shd w:val="clear" w:color="auto" w:fill="auto"/>
          </w:tcPr>
          <w:p w14:paraId="746F0783" w14:textId="77777777" w:rsidR="008E7A10" w:rsidRDefault="008E7A10">
            <w:pPr>
              <w:rPr>
                <w:rFonts w:ascii="宋体"/>
              </w:rPr>
            </w:pPr>
          </w:p>
        </w:tc>
        <w:tc>
          <w:tcPr>
            <w:tcW w:w="572" w:type="pct"/>
            <w:shd w:val="clear" w:color="auto" w:fill="auto"/>
          </w:tcPr>
          <w:p w14:paraId="746F0784" w14:textId="77777777" w:rsidR="008E7A10" w:rsidRDefault="008E7A10">
            <w:pPr>
              <w:rPr>
                <w:rFonts w:ascii="宋体"/>
              </w:rPr>
            </w:pPr>
          </w:p>
        </w:tc>
        <w:tc>
          <w:tcPr>
            <w:tcW w:w="5" w:type="pct"/>
            <w:shd w:val="clear" w:color="auto" w:fill="auto"/>
          </w:tcPr>
          <w:p w14:paraId="746F0785" w14:textId="77777777" w:rsidR="008E7A10" w:rsidRDefault="008E7A10">
            <w:pPr>
              <w:rPr>
                <w:rFonts w:ascii="宋体"/>
              </w:rPr>
            </w:pPr>
          </w:p>
        </w:tc>
      </w:tr>
      <w:tr w:rsidR="008E7A10" w14:paraId="746F0789" w14:textId="77777777">
        <w:tc>
          <w:tcPr>
            <w:tcW w:w="0" w:type="auto"/>
            <w:gridSpan w:val="3"/>
            <w:shd w:val="clear" w:color="auto" w:fill="auto"/>
            <w:tcMar>
              <w:top w:w="0" w:type="dxa"/>
              <w:left w:w="20" w:type="dxa"/>
              <w:bottom w:w="0" w:type="dxa"/>
              <w:right w:w="20" w:type="dxa"/>
            </w:tcMar>
          </w:tcPr>
          <w:p w14:paraId="746F0787" w14:textId="77777777" w:rsidR="008E7A10" w:rsidRDefault="008E7A10">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746F0788"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078E" w14:textId="77777777">
        <w:tc>
          <w:tcPr>
            <w:tcW w:w="0" w:type="auto"/>
            <w:gridSpan w:val="3"/>
            <w:shd w:val="clear" w:color="auto" w:fill="auto"/>
            <w:tcMar>
              <w:top w:w="0" w:type="dxa"/>
              <w:left w:w="20" w:type="dxa"/>
              <w:bottom w:w="0" w:type="dxa"/>
              <w:right w:w="20" w:type="dxa"/>
            </w:tcMar>
          </w:tcPr>
          <w:p w14:paraId="746F078A"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78B"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0" w:type="dxa"/>
              <w:left w:w="20" w:type="dxa"/>
              <w:bottom w:w="0" w:type="dxa"/>
              <w:right w:w="20" w:type="dxa"/>
            </w:tcMar>
          </w:tcPr>
          <w:p w14:paraId="746F078C"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78D" w14:textId="77777777" w:rsidR="008E7A10" w:rsidRDefault="00E047B2">
            <w:pPr>
              <w:jc w:val="center"/>
              <w:textAlignment w:val="bottom"/>
            </w:pPr>
            <w:r>
              <w:rPr>
                <w:rFonts w:ascii="sans-serif" w:eastAsia="sans-serif" w:hAnsi="sans-serif" w:cs="sans-serif"/>
                <w:b/>
                <w:bCs/>
                <w:color w:val="000000"/>
                <w:sz w:val="17"/>
                <w:szCs w:val="17"/>
              </w:rPr>
              <w:t>2019</w:t>
            </w:r>
          </w:p>
        </w:tc>
      </w:tr>
      <w:tr w:rsidR="008E7A10" w14:paraId="746F0795" w14:textId="77777777">
        <w:tc>
          <w:tcPr>
            <w:tcW w:w="0" w:type="auto"/>
            <w:gridSpan w:val="3"/>
            <w:shd w:val="clear" w:color="auto" w:fill="auto"/>
            <w:tcMar>
              <w:top w:w="40" w:type="dxa"/>
              <w:left w:w="20" w:type="dxa"/>
              <w:bottom w:w="40" w:type="dxa"/>
              <w:right w:w="20" w:type="dxa"/>
            </w:tcMar>
            <w:vAlign w:val="bottom"/>
          </w:tcPr>
          <w:p w14:paraId="746F078F"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90" w14:textId="77777777" w:rsidR="008E7A10" w:rsidRDefault="00E047B2">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91" w14:textId="77777777" w:rsidR="008E7A10" w:rsidRDefault="00E047B2">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tcPr>
          <w:p w14:paraId="746F0792"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93" w14:textId="77777777" w:rsidR="008E7A10" w:rsidRDefault="00E047B2">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94" w14:textId="77777777" w:rsidR="008E7A10" w:rsidRDefault="00E047B2">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8E7A10" w14:paraId="746F07A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96" w14:textId="77777777" w:rsidR="008E7A10" w:rsidRDefault="00E047B2">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079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798" w14:textId="77777777" w:rsidR="008E7A10" w:rsidRDefault="00E047B2">
            <w:pPr>
              <w:jc w:val="right"/>
              <w:textAlignment w:val="bottom"/>
            </w:pPr>
            <w:r>
              <w:rPr>
                <w:rFonts w:ascii="Arial" w:eastAsia="宋体" w:hAnsi="Arial" w:cs="Arial"/>
                <w:color w:val="000000"/>
                <w:sz w:val="17"/>
                <w:szCs w:val="17"/>
              </w:rPr>
              <w:t>21,837 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799"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79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79B"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79C"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79D" w14:textId="77777777" w:rsidR="008E7A10" w:rsidRDefault="008E7A10">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79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79F" w14:textId="77777777" w:rsidR="008E7A10" w:rsidRDefault="00E047B2">
            <w:pPr>
              <w:jc w:val="right"/>
              <w:textAlignment w:val="bottom"/>
            </w:pPr>
            <w:r>
              <w:rPr>
                <w:rFonts w:ascii="Arial" w:eastAsia="宋体" w:hAnsi="Arial" w:cs="Arial"/>
                <w:color w:val="000000"/>
                <w:sz w:val="17"/>
                <w:szCs w:val="17"/>
              </w:rPr>
              <w:t>20,986 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7A0"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7A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7A2"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7A3" w14:textId="77777777" w:rsidR="008E7A10" w:rsidRDefault="008E7A10">
            <w:pPr>
              <w:jc w:val="right"/>
              <w:rPr>
                <w:rFonts w:ascii="宋体"/>
              </w:rPr>
            </w:pPr>
          </w:p>
        </w:tc>
      </w:tr>
      <w:tr w:rsidR="008E7A10" w14:paraId="746F07A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7A5" w14:textId="77777777" w:rsidR="008E7A10" w:rsidRDefault="00E047B2">
            <w:pPr>
              <w:textAlignment w:val="bottom"/>
            </w:pPr>
            <w:r>
              <w:rPr>
                <w:rFonts w:ascii="Arial" w:eastAsia="宋体" w:hAnsi="Arial" w:cs="Arial"/>
                <w:color w:val="000000"/>
                <w:sz w:val="17"/>
                <w:szCs w:val="17"/>
              </w:rPr>
              <w:t>Cost of sales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A6" w14:textId="77777777" w:rsidR="008E7A10" w:rsidRDefault="00E047B2">
            <w:pPr>
              <w:jc w:val="right"/>
              <w:textAlignment w:val="bottom"/>
            </w:pPr>
            <w:r>
              <w:rPr>
                <w:rFonts w:ascii="Arial" w:eastAsia="宋体" w:hAnsi="Arial" w:cs="Arial"/>
                <w:color w:val="000000"/>
                <w:sz w:val="17"/>
                <w:szCs w:val="17"/>
              </w:rPr>
              <w:t>12,249 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A7"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A8" w14:textId="77777777" w:rsidR="008E7A10" w:rsidRDefault="00E047B2">
            <w:pPr>
              <w:jc w:val="right"/>
              <w:textAlignment w:val="bottom"/>
            </w:pPr>
            <w:r>
              <w:rPr>
                <w:rFonts w:ascii="Arial" w:eastAsia="宋体" w:hAnsi="Arial" w:cs="Arial"/>
                <w:color w:val="000000"/>
                <w:sz w:val="17"/>
                <w:szCs w:val="17"/>
              </w:rPr>
              <w:t>145 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A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7AA"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AB" w14:textId="77777777" w:rsidR="008E7A10" w:rsidRDefault="00E047B2">
            <w:pPr>
              <w:jc w:val="right"/>
              <w:textAlignment w:val="bottom"/>
            </w:pPr>
            <w:r>
              <w:rPr>
                <w:rFonts w:ascii="Arial" w:eastAsia="宋体" w:hAnsi="Arial" w:cs="Arial"/>
                <w:color w:val="000000"/>
                <w:sz w:val="17"/>
                <w:szCs w:val="17"/>
              </w:rPr>
              <w:t>11,571 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A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AD" w14:textId="77777777" w:rsidR="008E7A10" w:rsidRDefault="00E047B2">
            <w:pPr>
              <w:jc w:val="right"/>
              <w:textAlignment w:val="bottom"/>
            </w:pPr>
            <w:r>
              <w:rPr>
                <w:rFonts w:ascii="Arial" w:eastAsia="宋体" w:hAnsi="Arial" w:cs="Arial"/>
                <w:color w:val="000000"/>
                <w:sz w:val="17"/>
                <w:szCs w:val="17"/>
              </w:rPr>
              <w:t>177 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AE" w14:textId="77777777" w:rsidR="008E7A10" w:rsidRDefault="008E7A10">
            <w:pPr>
              <w:jc w:val="right"/>
              <w:rPr>
                <w:rFonts w:ascii="宋体"/>
              </w:rPr>
            </w:pPr>
          </w:p>
        </w:tc>
      </w:tr>
      <w:tr w:rsidR="008E7A10" w14:paraId="746F07B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7B0" w14:textId="77777777" w:rsidR="008E7A10" w:rsidRDefault="00E047B2">
            <w:pPr>
              <w:textAlignment w:val="bottom"/>
            </w:pPr>
            <w:r>
              <w:rPr>
                <w:rFonts w:ascii="Arial" w:eastAsia="宋体" w:hAnsi="Arial" w:cs="Arial"/>
                <w:color w:val="000000"/>
                <w:sz w:val="17"/>
                <w:szCs w:val="17"/>
              </w:rPr>
              <w:t>Demand creation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B1" w14:textId="77777777" w:rsidR="008E7A10" w:rsidRDefault="00E047B2">
            <w:pPr>
              <w:jc w:val="right"/>
              <w:textAlignment w:val="bottom"/>
            </w:pPr>
            <w:r>
              <w:rPr>
                <w:rFonts w:ascii="Arial" w:eastAsia="宋体" w:hAnsi="Arial" w:cs="Arial"/>
                <w:color w:val="000000"/>
                <w:sz w:val="17"/>
                <w:szCs w:val="17"/>
              </w:rPr>
              <w:t>1,406 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B2"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B3"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B4"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7B5"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B6" w14:textId="77777777" w:rsidR="008E7A10" w:rsidRDefault="00E047B2">
            <w:pPr>
              <w:jc w:val="right"/>
              <w:textAlignment w:val="bottom"/>
            </w:pPr>
            <w:r>
              <w:rPr>
                <w:rFonts w:ascii="Arial" w:eastAsia="宋体" w:hAnsi="Arial" w:cs="Arial"/>
                <w:color w:val="000000"/>
                <w:sz w:val="17"/>
                <w:szCs w:val="17"/>
              </w:rPr>
              <w:t>1,899 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B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B8"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B9" w14:textId="77777777" w:rsidR="008E7A10" w:rsidRDefault="008E7A10">
            <w:pPr>
              <w:jc w:val="right"/>
              <w:rPr>
                <w:rFonts w:ascii="宋体"/>
              </w:rPr>
            </w:pPr>
          </w:p>
        </w:tc>
      </w:tr>
      <w:tr w:rsidR="008E7A10" w14:paraId="746F07C5"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7BB" w14:textId="77777777" w:rsidR="008E7A10" w:rsidRDefault="00E047B2">
            <w:pPr>
              <w:textAlignment w:val="bottom"/>
            </w:pPr>
            <w:r>
              <w:rPr>
                <w:rFonts w:ascii="Arial" w:eastAsia="宋体" w:hAnsi="Arial" w:cs="Arial"/>
                <w:color w:val="000000"/>
                <w:sz w:val="17"/>
                <w:szCs w:val="17"/>
              </w:rPr>
              <w:t>Oth</w:t>
            </w:r>
            <w:r>
              <w:rPr>
                <w:rFonts w:ascii="Arial" w:eastAsia="宋体" w:hAnsi="Arial" w:cs="Arial"/>
                <w:color w:val="000000"/>
                <w:sz w:val="17"/>
                <w:szCs w:val="17"/>
              </w:rPr>
              <w:t>er (income) expense,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BC"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BD"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7BE" w14:textId="77777777" w:rsidR="008E7A10" w:rsidRDefault="00E047B2">
            <w:pPr>
              <w:jc w:val="right"/>
              <w:textAlignment w:val="bottom"/>
            </w:pPr>
            <w:r>
              <w:rPr>
                <w:rFonts w:ascii="Arial" w:eastAsia="宋体" w:hAnsi="Arial" w:cs="Arial"/>
                <w:color w:val="000000"/>
                <w:sz w:val="17"/>
                <w:szCs w:val="17"/>
              </w:rPr>
              <w:t>(5)</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7B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7C0"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C1" w14:textId="77777777" w:rsidR="008E7A10" w:rsidRDefault="00E047B2">
            <w:pPr>
              <w:jc w:val="right"/>
              <w:textAlignment w:val="bottom"/>
            </w:pPr>
            <w:r>
              <w:rPr>
                <w:rFonts w:ascii="Arial" w:eastAsia="宋体" w:hAnsi="Arial" w:cs="Arial"/>
                <w:color w:val="000000"/>
                <w:sz w:val="17"/>
                <w:szCs w:val="17"/>
              </w:rPr>
              <w:t>(74)</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C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7C3" w14:textId="77777777" w:rsidR="008E7A10" w:rsidRDefault="00E047B2">
            <w:pPr>
              <w:jc w:val="right"/>
              <w:textAlignment w:val="bottom"/>
            </w:pPr>
            <w:r>
              <w:rPr>
                <w:rFonts w:ascii="Arial" w:eastAsia="宋体" w:hAnsi="Arial" w:cs="Arial"/>
                <w:color w:val="000000"/>
                <w:sz w:val="17"/>
                <w:szCs w:val="17"/>
              </w:rPr>
              <w:t>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7C4" w14:textId="77777777" w:rsidR="008E7A10" w:rsidRDefault="008E7A10">
            <w:pPr>
              <w:jc w:val="right"/>
              <w:rPr>
                <w:rFonts w:ascii="宋体"/>
              </w:rPr>
            </w:pPr>
          </w:p>
        </w:tc>
      </w:tr>
      <w:tr w:rsidR="008E7A10" w14:paraId="746F07D0"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F07C6" w14:textId="77777777" w:rsidR="008E7A10" w:rsidRDefault="00E047B2">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07C7" w14:textId="77777777" w:rsidR="008E7A10" w:rsidRDefault="00E047B2">
            <w:pPr>
              <w:jc w:val="right"/>
              <w:textAlignment w:val="bottom"/>
            </w:pPr>
            <w:r>
              <w:rPr>
                <w:rFonts w:ascii="Arial" w:eastAsia="宋体" w:hAnsi="Arial" w:cs="Arial"/>
                <w:color w:val="000000"/>
                <w:sz w:val="17"/>
                <w:szCs w:val="17"/>
              </w:rPr>
              <w:t>135 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07C8"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07C9"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07CA" w14:textId="77777777" w:rsidR="008E7A10" w:rsidRDefault="008E7A10">
            <w:pPr>
              <w:jc w:val="right"/>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F07CB" w14:textId="77777777" w:rsidR="008E7A10" w:rsidRDefault="008E7A10">
            <w:pPr>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07CC" w14:textId="77777777" w:rsidR="008E7A10" w:rsidRDefault="00E047B2">
            <w:pPr>
              <w:jc w:val="right"/>
              <w:textAlignment w:val="bottom"/>
            </w:pPr>
            <w:r>
              <w:rPr>
                <w:rFonts w:ascii="Arial" w:eastAsia="宋体" w:hAnsi="Arial" w:cs="Arial"/>
                <w:color w:val="000000"/>
                <w:sz w:val="17"/>
                <w:szCs w:val="17"/>
              </w:rPr>
              <w:t>27 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07CD"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07CE"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07CF" w14:textId="77777777" w:rsidR="008E7A10" w:rsidRDefault="008E7A10">
            <w:pPr>
              <w:jc w:val="right"/>
              <w:rPr>
                <w:rFonts w:ascii="宋体"/>
              </w:rPr>
            </w:pPr>
          </w:p>
        </w:tc>
      </w:tr>
    </w:tbl>
    <w:p w14:paraId="746F07D1" w14:textId="77777777" w:rsidR="008E7A10" w:rsidRDefault="00E047B2">
      <w:pPr>
        <w:spacing w:before="120" w:after="120"/>
      </w:pPr>
      <w:r>
        <w:rPr>
          <w:rFonts w:ascii="Arial" w:eastAsia="宋体" w:hAnsi="Arial" w:cs="Arial"/>
          <w:color w:val="000000"/>
          <w:sz w:val="17"/>
          <w:szCs w:val="17"/>
        </w:rPr>
        <w:t>The following tables present the amounts affecting the 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2"/>
        <w:gridCol w:w="1978"/>
        <w:gridCol w:w="38"/>
        <w:gridCol w:w="116"/>
        <w:gridCol w:w="779"/>
        <w:gridCol w:w="37"/>
        <w:gridCol w:w="116"/>
        <w:gridCol w:w="779"/>
        <w:gridCol w:w="36"/>
        <w:gridCol w:w="36"/>
        <w:gridCol w:w="36"/>
        <w:gridCol w:w="36"/>
        <w:gridCol w:w="44"/>
        <w:gridCol w:w="2281"/>
        <w:gridCol w:w="37"/>
        <w:gridCol w:w="37"/>
        <w:gridCol w:w="37"/>
        <w:gridCol w:w="37"/>
        <w:gridCol w:w="115"/>
        <w:gridCol w:w="750"/>
        <w:gridCol w:w="36"/>
        <w:gridCol w:w="115"/>
        <w:gridCol w:w="782"/>
        <w:gridCol w:w="36"/>
      </w:tblGrid>
      <w:tr w:rsidR="008E7A10" w14:paraId="746F07EA" w14:textId="77777777">
        <w:tc>
          <w:tcPr>
            <w:tcW w:w="50" w:type="pct"/>
            <w:shd w:val="clear" w:color="auto" w:fill="auto"/>
          </w:tcPr>
          <w:p w14:paraId="746F07D2" w14:textId="77777777" w:rsidR="008E7A10" w:rsidRDefault="008E7A10">
            <w:pPr>
              <w:rPr>
                <w:rFonts w:ascii="宋体"/>
              </w:rPr>
            </w:pPr>
          </w:p>
        </w:tc>
        <w:tc>
          <w:tcPr>
            <w:tcW w:w="1210" w:type="pct"/>
            <w:shd w:val="clear" w:color="auto" w:fill="auto"/>
          </w:tcPr>
          <w:p w14:paraId="746F07D3" w14:textId="77777777" w:rsidR="008E7A10" w:rsidRDefault="008E7A10">
            <w:pPr>
              <w:rPr>
                <w:rFonts w:ascii="宋体"/>
              </w:rPr>
            </w:pPr>
          </w:p>
        </w:tc>
        <w:tc>
          <w:tcPr>
            <w:tcW w:w="5" w:type="pct"/>
            <w:shd w:val="clear" w:color="auto" w:fill="auto"/>
          </w:tcPr>
          <w:p w14:paraId="746F07D4" w14:textId="77777777" w:rsidR="008E7A10" w:rsidRDefault="008E7A10">
            <w:pPr>
              <w:rPr>
                <w:rFonts w:ascii="宋体"/>
              </w:rPr>
            </w:pPr>
          </w:p>
        </w:tc>
        <w:tc>
          <w:tcPr>
            <w:tcW w:w="50" w:type="pct"/>
            <w:shd w:val="clear" w:color="auto" w:fill="auto"/>
          </w:tcPr>
          <w:p w14:paraId="746F07D5" w14:textId="77777777" w:rsidR="008E7A10" w:rsidRDefault="008E7A10">
            <w:pPr>
              <w:rPr>
                <w:rFonts w:ascii="宋体"/>
              </w:rPr>
            </w:pPr>
          </w:p>
        </w:tc>
        <w:tc>
          <w:tcPr>
            <w:tcW w:w="492" w:type="pct"/>
            <w:shd w:val="clear" w:color="auto" w:fill="auto"/>
          </w:tcPr>
          <w:p w14:paraId="746F07D6" w14:textId="77777777" w:rsidR="008E7A10" w:rsidRDefault="008E7A10">
            <w:pPr>
              <w:rPr>
                <w:rFonts w:ascii="宋体"/>
              </w:rPr>
            </w:pPr>
          </w:p>
        </w:tc>
        <w:tc>
          <w:tcPr>
            <w:tcW w:w="5" w:type="pct"/>
            <w:shd w:val="clear" w:color="auto" w:fill="auto"/>
          </w:tcPr>
          <w:p w14:paraId="746F07D7" w14:textId="77777777" w:rsidR="008E7A10" w:rsidRDefault="008E7A10">
            <w:pPr>
              <w:rPr>
                <w:rFonts w:ascii="宋体"/>
              </w:rPr>
            </w:pPr>
          </w:p>
        </w:tc>
        <w:tc>
          <w:tcPr>
            <w:tcW w:w="50" w:type="pct"/>
            <w:shd w:val="clear" w:color="auto" w:fill="auto"/>
          </w:tcPr>
          <w:p w14:paraId="746F07D8" w14:textId="77777777" w:rsidR="008E7A10" w:rsidRDefault="008E7A10">
            <w:pPr>
              <w:rPr>
                <w:rFonts w:ascii="宋体"/>
              </w:rPr>
            </w:pPr>
          </w:p>
        </w:tc>
        <w:tc>
          <w:tcPr>
            <w:tcW w:w="492" w:type="pct"/>
            <w:shd w:val="clear" w:color="auto" w:fill="auto"/>
          </w:tcPr>
          <w:p w14:paraId="746F07D9" w14:textId="77777777" w:rsidR="008E7A10" w:rsidRDefault="008E7A10">
            <w:pPr>
              <w:rPr>
                <w:rFonts w:ascii="宋体"/>
              </w:rPr>
            </w:pPr>
          </w:p>
        </w:tc>
        <w:tc>
          <w:tcPr>
            <w:tcW w:w="5" w:type="pct"/>
            <w:shd w:val="clear" w:color="auto" w:fill="auto"/>
          </w:tcPr>
          <w:p w14:paraId="746F07DA" w14:textId="77777777" w:rsidR="008E7A10" w:rsidRDefault="008E7A10">
            <w:pPr>
              <w:rPr>
                <w:rFonts w:ascii="宋体"/>
              </w:rPr>
            </w:pPr>
          </w:p>
        </w:tc>
        <w:tc>
          <w:tcPr>
            <w:tcW w:w="5" w:type="pct"/>
            <w:shd w:val="clear" w:color="auto" w:fill="auto"/>
          </w:tcPr>
          <w:p w14:paraId="746F07DB" w14:textId="77777777" w:rsidR="008E7A10" w:rsidRDefault="008E7A10">
            <w:pPr>
              <w:rPr>
                <w:rFonts w:ascii="宋体"/>
              </w:rPr>
            </w:pPr>
          </w:p>
        </w:tc>
        <w:tc>
          <w:tcPr>
            <w:tcW w:w="28" w:type="pct"/>
            <w:shd w:val="clear" w:color="auto" w:fill="auto"/>
          </w:tcPr>
          <w:p w14:paraId="746F07DC" w14:textId="77777777" w:rsidR="008E7A10" w:rsidRDefault="008E7A10">
            <w:pPr>
              <w:rPr>
                <w:rFonts w:ascii="宋体"/>
              </w:rPr>
            </w:pPr>
          </w:p>
        </w:tc>
        <w:tc>
          <w:tcPr>
            <w:tcW w:w="5" w:type="pct"/>
            <w:shd w:val="clear" w:color="auto" w:fill="auto"/>
          </w:tcPr>
          <w:p w14:paraId="746F07DD" w14:textId="77777777" w:rsidR="008E7A10" w:rsidRDefault="008E7A10">
            <w:pPr>
              <w:rPr>
                <w:rFonts w:ascii="宋体"/>
              </w:rPr>
            </w:pPr>
          </w:p>
        </w:tc>
        <w:tc>
          <w:tcPr>
            <w:tcW w:w="50" w:type="pct"/>
            <w:shd w:val="clear" w:color="auto" w:fill="auto"/>
          </w:tcPr>
          <w:p w14:paraId="746F07DE" w14:textId="77777777" w:rsidR="008E7A10" w:rsidRDefault="008E7A10">
            <w:pPr>
              <w:rPr>
                <w:rFonts w:ascii="宋体"/>
              </w:rPr>
            </w:pPr>
          </w:p>
        </w:tc>
        <w:tc>
          <w:tcPr>
            <w:tcW w:w="1411" w:type="pct"/>
            <w:shd w:val="clear" w:color="auto" w:fill="auto"/>
          </w:tcPr>
          <w:p w14:paraId="746F07DF" w14:textId="77777777" w:rsidR="008E7A10" w:rsidRDefault="008E7A10">
            <w:pPr>
              <w:rPr>
                <w:rFonts w:ascii="宋体"/>
              </w:rPr>
            </w:pPr>
          </w:p>
        </w:tc>
        <w:tc>
          <w:tcPr>
            <w:tcW w:w="5" w:type="pct"/>
            <w:shd w:val="clear" w:color="auto" w:fill="auto"/>
          </w:tcPr>
          <w:p w14:paraId="746F07E0" w14:textId="77777777" w:rsidR="008E7A10" w:rsidRDefault="008E7A10">
            <w:pPr>
              <w:rPr>
                <w:rFonts w:ascii="宋体"/>
              </w:rPr>
            </w:pPr>
          </w:p>
        </w:tc>
        <w:tc>
          <w:tcPr>
            <w:tcW w:w="5" w:type="pct"/>
            <w:shd w:val="clear" w:color="auto" w:fill="auto"/>
          </w:tcPr>
          <w:p w14:paraId="746F07E1" w14:textId="77777777" w:rsidR="008E7A10" w:rsidRDefault="008E7A10">
            <w:pPr>
              <w:rPr>
                <w:rFonts w:ascii="宋体"/>
              </w:rPr>
            </w:pPr>
          </w:p>
        </w:tc>
        <w:tc>
          <w:tcPr>
            <w:tcW w:w="28" w:type="pct"/>
            <w:shd w:val="clear" w:color="auto" w:fill="auto"/>
          </w:tcPr>
          <w:p w14:paraId="746F07E2" w14:textId="77777777" w:rsidR="008E7A10" w:rsidRDefault="008E7A10">
            <w:pPr>
              <w:rPr>
                <w:rFonts w:ascii="宋体"/>
              </w:rPr>
            </w:pPr>
          </w:p>
        </w:tc>
        <w:tc>
          <w:tcPr>
            <w:tcW w:w="5" w:type="pct"/>
            <w:shd w:val="clear" w:color="auto" w:fill="auto"/>
          </w:tcPr>
          <w:p w14:paraId="746F07E3" w14:textId="77777777" w:rsidR="008E7A10" w:rsidRDefault="008E7A10">
            <w:pPr>
              <w:rPr>
                <w:rFonts w:ascii="宋体"/>
              </w:rPr>
            </w:pPr>
          </w:p>
        </w:tc>
        <w:tc>
          <w:tcPr>
            <w:tcW w:w="50" w:type="pct"/>
            <w:shd w:val="clear" w:color="auto" w:fill="auto"/>
          </w:tcPr>
          <w:p w14:paraId="746F07E4" w14:textId="77777777" w:rsidR="008E7A10" w:rsidRDefault="008E7A10">
            <w:pPr>
              <w:rPr>
                <w:rFonts w:ascii="宋体"/>
              </w:rPr>
            </w:pPr>
          </w:p>
        </w:tc>
        <w:tc>
          <w:tcPr>
            <w:tcW w:w="492" w:type="pct"/>
            <w:shd w:val="clear" w:color="auto" w:fill="auto"/>
          </w:tcPr>
          <w:p w14:paraId="746F07E5" w14:textId="77777777" w:rsidR="008E7A10" w:rsidRDefault="008E7A10">
            <w:pPr>
              <w:rPr>
                <w:rFonts w:ascii="宋体"/>
              </w:rPr>
            </w:pPr>
          </w:p>
        </w:tc>
        <w:tc>
          <w:tcPr>
            <w:tcW w:w="5" w:type="pct"/>
            <w:shd w:val="clear" w:color="auto" w:fill="auto"/>
          </w:tcPr>
          <w:p w14:paraId="746F07E6" w14:textId="77777777" w:rsidR="008E7A10" w:rsidRDefault="008E7A10">
            <w:pPr>
              <w:rPr>
                <w:rFonts w:ascii="宋体"/>
              </w:rPr>
            </w:pPr>
          </w:p>
        </w:tc>
        <w:tc>
          <w:tcPr>
            <w:tcW w:w="50" w:type="pct"/>
            <w:shd w:val="clear" w:color="auto" w:fill="auto"/>
          </w:tcPr>
          <w:p w14:paraId="746F07E7" w14:textId="77777777" w:rsidR="008E7A10" w:rsidRDefault="008E7A10">
            <w:pPr>
              <w:rPr>
                <w:rFonts w:ascii="宋体"/>
              </w:rPr>
            </w:pPr>
          </w:p>
        </w:tc>
        <w:tc>
          <w:tcPr>
            <w:tcW w:w="493" w:type="pct"/>
            <w:shd w:val="clear" w:color="auto" w:fill="auto"/>
          </w:tcPr>
          <w:p w14:paraId="746F07E8" w14:textId="77777777" w:rsidR="008E7A10" w:rsidRDefault="008E7A10">
            <w:pPr>
              <w:rPr>
                <w:rFonts w:ascii="宋体"/>
              </w:rPr>
            </w:pPr>
          </w:p>
        </w:tc>
        <w:tc>
          <w:tcPr>
            <w:tcW w:w="5" w:type="pct"/>
            <w:shd w:val="clear" w:color="auto" w:fill="auto"/>
          </w:tcPr>
          <w:p w14:paraId="746F07E9" w14:textId="77777777" w:rsidR="008E7A10" w:rsidRDefault="008E7A10">
            <w:pPr>
              <w:rPr>
                <w:rFonts w:ascii="宋体"/>
              </w:rPr>
            </w:pPr>
          </w:p>
        </w:tc>
      </w:tr>
      <w:tr w:rsidR="008E7A10" w14:paraId="746F07F3"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746F07EB" w14:textId="77777777" w:rsidR="008E7A10" w:rsidRDefault="008E7A10">
            <w:pPr>
              <w:textAlignment w:val="bottom"/>
            </w:pPr>
          </w:p>
          <w:p w14:paraId="746F07EC"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746F07ED" w14:textId="77777777" w:rsidR="008E7A10" w:rsidRDefault="00E047B2">
            <w:pPr>
              <w:jc w:val="center"/>
              <w:textAlignment w:val="bottom"/>
            </w:pPr>
            <w:r>
              <w:rPr>
                <w:rFonts w:ascii="sans-serif" w:eastAsia="sans-serif" w:hAnsi="sans-serif" w:cs="sans-serif"/>
                <w:b/>
                <w:bCs/>
                <w:color w:val="000000"/>
                <w:sz w:val="17"/>
                <w:szCs w:val="17"/>
              </w:rPr>
              <w:t xml:space="preserve">AMOUNT OF GAIN (LOSS) 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tcPr>
          <w:p w14:paraId="746F07EE" w14:textId="77777777" w:rsidR="008E7A10" w:rsidRDefault="008E7A10">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746F07EF" w14:textId="77777777" w:rsidR="008E7A10" w:rsidRDefault="00E047B2">
            <w:pPr>
              <w:jc w:val="center"/>
              <w:textAlignment w:val="bottom"/>
            </w:pPr>
            <w:r>
              <w:rPr>
                <w:rFonts w:ascii="sans-serif" w:eastAsia="sans-serif" w:hAnsi="sans-serif" w:cs="sans-serif"/>
                <w:b/>
                <w:bCs/>
                <w:color w:val="000000"/>
                <w:sz w:val="17"/>
                <w:szCs w:val="17"/>
              </w:rPr>
              <w:t xml:space="preserve">AMOUNT OF GAIN (LOSS) </w:t>
            </w:r>
          </w:p>
          <w:p w14:paraId="746F07F0" w14:textId="77777777" w:rsidR="008E7A10" w:rsidRDefault="00E047B2">
            <w:pPr>
              <w:jc w:val="center"/>
              <w:textAlignment w:val="bottom"/>
            </w:pPr>
            <w:r>
              <w:rPr>
                <w:rFonts w:ascii="sans-serif" w:eastAsia="sans-serif" w:hAnsi="sans-serif" w:cs="sans-serif"/>
                <w:b/>
                <w:bCs/>
                <w:color w:val="000000"/>
                <w:sz w:val="17"/>
                <w:szCs w:val="17"/>
              </w:rPr>
              <w:t xml:space="preserve">RECLASSIFIED FROM ACCUMULATED </w:t>
            </w:r>
          </w:p>
          <w:p w14:paraId="746F07F1" w14:textId="77777777" w:rsidR="008E7A10" w:rsidRDefault="00E047B2">
            <w:pPr>
              <w:jc w:val="center"/>
              <w:textAlignment w:val="bottom"/>
            </w:pPr>
            <w:r>
              <w:rPr>
                <w:rFonts w:ascii="sans-serif" w:eastAsia="sans-serif" w:hAnsi="sans-serif" w:cs="sans-serif"/>
                <w:b/>
                <w:bCs/>
                <w:color w:val="000000"/>
                <w:sz w:val="17"/>
                <w:szCs w:val="17"/>
              </w:rPr>
              <w:t xml:space="preserve">OTHER COMPREHENSIVE </w:t>
            </w:r>
          </w:p>
          <w:p w14:paraId="746F07F2" w14:textId="77777777" w:rsidR="008E7A10" w:rsidRDefault="00E047B2">
            <w:pPr>
              <w:jc w:val="center"/>
              <w:textAlignment w:val="bottom"/>
            </w:pPr>
            <w:r>
              <w:rPr>
                <w:rFonts w:ascii="sans-serif" w:eastAsia="sans-serif" w:hAnsi="sans-serif" w:cs="sans-serif"/>
                <w:b/>
                <w:bCs/>
                <w:color w:val="000000"/>
                <w:sz w:val="17"/>
                <w:szCs w:val="17"/>
              </w:rPr>
              <w:t>INCOME (LOSS) INTO INCOME</w:t>
            </w:r>
            <w:r>
              <w:rPr>
                <w:rFonts w:ascii="sans-serif" w:eastAsia="sans-serif" w:hAnsi="sans-serif" w:cs="sans-serif"/>
                <w:b/>
                <w:bCs/>
                <w:color w:val="000000"/>
                <w:sz w:val="11"/>
                <w:szCs w:val="11"/>
              </w:rPr>
              <w:t>(1</w:t>
            </w:r>
            <w:r>
              <w:rPr>
                <w:rFonts w:ascii="sans-serif" w:eastAsia="sans-serif" w:hAnsi="sans-serif" w:cs="sans-serif"/>
                <w:b/>
                <w:bCs/>
                <w:color w:val="000000"/>
                <w:sz w:val="11"/>
                <w:szCs w:val="11"/>
              </w:rPr>
              <w:t>)</w:t>
            </w:r>
          </w:p>
        </w:tc>
      </w:tr>
      <w:tr w:rsidR="008E7A10" w14:paraId="746F07FA" w14:textId="77777777">
        <w:trPr>
          <w:trHeight w:val="480"/>
        </w:trPr>
        <w:tc>
          <w:tcPr>
            <w:tcW w:w="0" w:type="auto"/>
            <w:gridSpan w:val="3"/>
            <w:vMerge/>
            <w:shd w:val="clear" w:color="auto" w:fill="auto"/>
            <w:tcMar>
              <w:top w:w="40" w:type="dxa"/>
              <w:left w:w="20" w:type="dxa"/>
              <w:bottom w:w="40" w:type="dxa"/>
              <w:right w:w="20" w:type="dxa"/>
            </w:tcMar>
            <w:vAlign w:val="bottom"/>
          </w:tcPr>
          <w:p w14:paraId="746F07F4"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7F5"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07F6" w14:textId="77777777" w:rsidR="008E7A10" w:rsidRDefault="008E7A10">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746F07F7" w14:textId="77777777" w:rsidR="008E7A10" w:rsidRDefault="00E047B2">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tcPr>
          <w:p w14:paraId="746F07F8"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7F9"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r>
      <w:tr w:rsidR="008E7A10" w14:paraId="746F0803" w14:textId="77777777">
        <w:trPr>
          <w:trHeight w:val="240"/>
        </w:trPr>
        <w:tc>
          <w:tcPr>
            <w:tcW w:w="0" w:type="auto"/>
            <w:gridSpan w:val="3"/>
            <w:vMerge/>
            <w:shd w:val="clear" w:color="auto" w:fill="auto"/>
            <w:tcMar>
              <w:top w:w="40" w:type="dxa"/>
              <w:left w:w="20" w:type="dxa"/>
              <w:bottom w:w="40" w:type="dxa"/>
              <w:right w:w="20" w:type="dxa"/>
            </w:tcMar>
            <w:vAlign w:val="bottom"/>
          </w:tcPr>
          <w:p w14:paraId="746F07FB"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FC"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7FD"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tcPr>
          <w:p w14:paraId="746F07FE" w14:textId="77777777" w:rsidR="008E7A10" w:rsidRDefault="008E7A10">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746F07FF" w14:textId="77777777" w:rsidR="008E7A10" w:rsidRDefault="008E7A10">
            <w:pPr>
              <w:jc w:val="right"/>
              <w:rPr>
                <w:rFonts w:ascii="宋体"/>
              </w:rPr>
            </w:pPr>
          </w:p>
        </w:tc>
        <w:tc>
          <w:tcPr>
            <w:tcW w:w="0" w:type="auto"/>
            <w:gridSpan w:val="3"/>
            <w:shd w:val="clear" w:color="auto" w:fill="auto"/>
            <w:tcMar>
              <w:top w:w="0" w:type="dxa"/>
              <w:left w:w="20" w:type="dxa"/>
              <w:bottom w:w="0" w:type="dxa"/>
              <w:right w:w="20" w:type="dxa"/>
            </w:tcMar>
          </w:tcPr>
          <w:p w14:paraId="746F0800"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801"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802" w14:textId="77777777" w:rsidR="008E7A10" w:rsidRDefault="00E047B2">
            <w:pPr>
              <w:jc w:val="center"/>
              <w:textAlignment w:val="bottom"/>
            </w:pPr>
            <w:r>
              <w:rPr>
                <w:rFonts w:ascii="sans-serif" w:eastAsia="sans-serif" w:hAnsi="sans-serif" w:cs="sans-serif"/>
                <w:b/>
                <w:bCs/>
                <w:color w:val="000000"/>
                <w:sz w:val="17"/>
                <w:szCs w:val="17"/>
              </w:rPr>
              <w:t>2019</w:t>
            </w:r>
          </w:p>
        </w:tc>
      </w:tr>
      <w:tr w:rsidR="008E7A10" w14:paraId="746F080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804" w14:textId="77777777" w:rsidR="008E7A10" w:rsidRDefault="00E047B2">
            <w:pP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top w:w="0" w:type="dxa"/>
              <w:left w:w="20" w:type="dxa"/>
              <w:bottom w:w="0" w:type="dxa"/>
              <w:right w:w="20" w:type="dxa"/>
            </w:tcMar>
          </w:tcPr>
          <w:p w14:paraId="746F0805"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806"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807"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80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809"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80A"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80B" w14:textId="77777777" w:rsidR="008E7A10" w:rsidRDefault="008E7A10">
            <w:pPr>
              <w:rPr>
                <w:rFonts w:ascii="宋体"/>
              </w:rPr>
            </w:pPr>
          </w:p>
        </w:tc>
      </w:tr>
      <w:tr w:rsidR="008E7A10" w14:paraId="746F081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0D" w14:textId="77777777" w:rsidR="008E7A10" w:rsidRDefault="00E047B2">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80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80F" w14:textId="77777777" w:rsidR="008E7A10" w:rsidRDefault="00E047B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10"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81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812" w14:textId="77777777" w:rsidR="008E7A10" w:rsidRDefault="00E047B2">
            <w:pPr>
              <w:jc w:val="right"/>
              <w:textAlignment w:val="bottom"/>
            </w:pPr>
            <w:r>
              <w:rPr>
                <w:rFonts w:ascii="Arial" w:eastAsia="宋体" w:hAnsi="Arial" w:cs="Arial"/>
                <w:color w:val="000000"/>
                <w:sz w:val="17"/>
                <w:szCs w:val="17"/>
              </w:rPr>
              <w:t>(83)</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13"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814"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15" w14:textId="77777777" w:rsidR="008E7A10" w:rsidRDefault="00E047B2">
            <w:pPr>
              <w:jc w:val="right"/>
              <w:textAlignment w:val="bottom"/>
            </w:pPr>
            <w:r>
              <w:rPr>
                <w:rFonts w:ascii="Arial" w:eastAsia="宋体" w:hAnsi="Arial" w:cs="Arial"/>
                <w:color w:val="000000"/>
                <w:sz w:val="17"/>
                <w:szCs w:val="17"/>
              </w:rPr>
              <w:t>Revenues</w:t>
            </w:r>
          </w:p>
        </w:tc>
        <w:tc>
          <w:tcPr>
            <w:tcW w:w="0" w:type="auto"/>
            <w:gridSpan w:val="3"/>
            <w:tcBorders>
              <w:top w:val="single" w:sz="8" w:space="0" w:color="808080"/>
            </w:tcBorders>
            <w:shd w:val="clear" w:color="auto" w:fill="auto"/>
            <w:tcMar>
              <w:top w:w="0" w:type="dxa"/>
              <w:left w:w="20" w:type="dxa"/>
              <w:bottom w:w="0" w:type="dxa"/>
              <w:right w:w="20" w:type="dxa"/>
            </w:tcMar>
          </w:tcPr>
          <w:p w14:paraId="746F0816"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81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818" w14:textId="77777777" w:rsidR="008E7A10" w:rsidRDefault="00E047B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19"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81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81B"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1C" w14:textId="77777777" w:rsidR="008E7A10" w:rsidRDefault="008E7A10">
            <w:pPr>
              <w:jc w:val="right"/>
              <w:rPr>
                <w:rFonts w:ascii="宋体"/>
              </w:rPr>
            </w:pPr>
          </w:p>
        </w:tc>
      </w:tr>
      <w:tr w:rsidR="008E7A10" w14:paraId="746F082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1E" w14:textId="77777777" w:rsidR="008E7A10" w:rsidRDefault="00E047B2">
            <w:pPr>
              <w:textAlignment w:val="bottom"/>
            </w:pPr>
            <w:r>
              <w:rPr>
                <w:rFonts w:ascii="Arial" w:eastAsia="宋体" w:hAnsi="Arial" w:cs="Arial"/>
                <w:color w:val="000000"/>
                <w:sz w:val="17"/>
                <w:szCs w:val="17"/>
              </w:rPr>
              <w:t>Foreign exchange forwards</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1F" w14:textId="77777777" w:rsidR="008E7A10" w:rsidRDefault="00E047B2">
            <w:pPr>
              <w:jc w:val="right"/>
              <w:textAlignment w:val="bottom"/>
            </w:pPr>
            <w:r>
              <w:rPr>
                <w:rFonts w:ascii="Arial" w:eastAsia="宋体" w:hAnsi="Arial" w:cs="Arial"/>
                <w:color w:val="000000"/>
                <w:sz w:val="17"/>
                <w:szCs w:val="17"/>
              </w:rPr>
              <w:t>(69)</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2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21" w14:textId="77777777" w:rsidR="008E7A10" w:rsidRDefault="00E047B2">
            <w:pPr>
              <w:jc w:val="right"/>
              <w:textAlignment w:val="bottom"/>
            </w:pPr>
            <w:r>
              <w:rPr>
                <w:rFonts w:ascii="Arial" w:eastAsia="宋体" w:hAnsi="Arial" w:cs="Arial"/>
                <w:color w:val="000000"/>
                <w:sz w:val="17"/>
                <w:szCs w:val="17"/>
              </w:rPr>
              <w:t>37 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2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823"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24" w14:textId="77777777" w:rsidR="008E7A10" w:rsidRDefault="00E047B2">
            <w:pPr>
              <w:jc w:val="right"/>
              <w:textAlignment w:val="bottom"/>
            </w:pPr>
            <w:r>
              <w:rPr>
                <w:rFonts w:ascii="Arial" w:eastAsia="宋体" w:hAnsi="Arial" w:cs="Arial"/>
                <w:color w:val="000000"/>
                <w:sz w:val="17"/>
                <w:szCs w:val="17"/>
              </w:rPr>
              <w:t>Cost of sales</w:t>
            </w:r>
          </w:p>
        </w:tc>
        <w:tc>
          <w:tcPr>
            <w:tcW w:w="0" w:type="auto"/>
            <w:gridSpan w:val="3"/>
            <w:tcBorders>
              <w:top w:val="single" w:sz="8" w:space="0" w:color="808080"/>
            </w:tcBorders>
            <w:shd w:val="clear" w:color="auto" w:fill="auto"/>
            <w:tcMar>
              <w:top w:w="0" w:type="dxa"/>
              <w:left w:w="20" w:type="dxa"/>
              <w:bottom w:w="0" w:type="dxa"/>
              <w:right w:w="20" w:type="dxa"/>
            </w:tcMar>
          </w:tcPr>
          <w:p w14:paraId="746F0825"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26" w14:textId="77777777" w:rsidR="008E7A10" w:rsidRDefault="00E047B2">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2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28" w14:textId="77777777" w:rsidR="008E7A10" w:rsidRDefault="00E047B2">
            <w:pPr>
              <w:jc w:val="right"/>
              <w:textAlignment w:val="bottom"/>
            </w:pPr>
            <w:r>
              <w:rPr>
                <w:rFonts w:ascii="Arial" w:eastAsia="宋体" w:hAnsi="Arial" w:cs="Arial"/>
                <w:color w:val="000000"/>
                <w:sz w:val="17"/>
                <w:szCs w:val="17"/>
              </w:rPr>
              <w:t>102 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29" w14:textId="77777777" w:rsidR="008E7A10" w:rsidRDefault="008E7A10">
            <w:pPr>
              <w:jc w:val="right"/>
              <w:rPr>
                <w:rFonts w:ascii="宋体"/>
              </w:rPr>
            </w:pPr>
          </w:p>
        </w:tc>
      </w:tr>
      <w:tr w:rsidR="008E7A10" w14:paraId="746F0837"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746F082B" w14:textId="77777777" w:rsidR="008E7A10" w:rsidRDefault="00E047B2">
            <w:pP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2C"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2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2E"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2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830"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31" w14:textId="77777777" w:rsidR="008E7A10" w:rsidRDefault="00E047B2">
            <w:pPr>
              <w:jc w:val="right"/>
              <w:textAlignment w:val="bottom"/>
            </w:pPr>
            <w:r>
              <w:rPr>
                <w:rFonts w:ascii="Arial" w:eastAsia="宋体" w:hAnsi="Arial" w:cs="Arial"/>
                <w:color w:val="000000"/>
                <w:sz w:val="17"/>
                <w:szCs w:val="17"/>
              </w:rPr>
              <w:t>Demand creation expense</w:t>
            </w:r>
          </w:p>
        </w:tc>
        <w:tc>
          <w:tcPr>
            <w:tcW w:w="0" w:type="auto"/>
            <w:gridSpan w:val="3"/>
            <w:tcBorders>
              <w:top w:val="single" w:sz="8" w:space="0" w:color="808080"/>
            </w:tcBorders>
            <w:shd w:val="clear" w:color="auto" w:fill="auto"/>
            <w:tcMar>
              <w:top w:w="0" w:type="dxa"/>
              <w:left w:w="20" w:type="dxa"/>
              <w:bottom w:w="0" w:type="dxa"/>
              <w:right w:w="20" w:type="dxa"/>
            </w:tcMar>
          </w:tcPr>
          <w:p w14:paraId="746F0832"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33"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3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35"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36" w14:textId="77777777" w:rsidR="008E7A10" w:rsidRDefault="008E7A10">
            <w:pPr>
              <w:jc w:val="right"/>
              <w:rPr>
                <w:rFonts w:ascii="宋体"/>
              </w:rPr>
            </w:pPr>
          </w:p>
        </w:tc>
      </w:tr>
      <w:tr w:rsidR="008E7A10" w14:paraId="746F084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38" w14:textId="77777777" w:rsidR="008E7A10" w:rsidRDefault="00E047B2">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39"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3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3B" w14:textId="77777777" w:rsidR="008E7A10" w:rsidRDefault="00E047B2">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3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83D"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3E" w14:textId="77777777" w:rsidR="008E7A10" w:rsidRDefault="00E047B2">
            <w:pPr>
              <w:jc w:val="right"/>
              <w:textAlignment w:val="bottom"/>
            </w:pPr>
            <w:r>
              <w:rPr>
                <w:rFonts w:ascii="Arial" w:eastAsia="宋体" w:hAnsi="Arial" w:cs="Arial"/>
                <w:color w:val="000000"/>
                <w:sz w:val="17"/>
                <w:szCs w:val="17"/>
              </w:rPr>
              <w:t>Other (income) expense, net</w:t>
            </w:r>
          </w:p>
        </w:tc>
        <w:tc>
          <w:tcPr>
            <w:tcW w:w="0" w:type="auto"/>
            <w:gridSpan w:val="3"/>
            <w:tcBorders>
              <w:top w:val="single" w:sz="8" w:space="0" w:color="808080"/>
            </w:tcBorders>
            <w:shd w:val="clear" w:color="auto" w:fill="auto"/>
            <w:tcMar>
              <w:top w:w="0" w:type="dxa"/>
              <w:left w:w="20" w:type="dxa"/>
              <w:bottom w:w="0" w:type="dxa"/>
              <w:right w:w="20" w:type="dxa"/>
            </w:tcMar>
          </w:tcPr>
          <w:p w14:paraId="746F083F"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40" w14:textId="77777777" w:rsidR="008E7A10" w:rsidRDefault="00E047B2">
            <w:pPr>
              <w:jc w:val="right"/>
              <w:textAlignment w:val="bottom"/>
            </w:pPr>
            <w:r>
              <w:rPr>
                <w:rFonts w:ascii="Arial" w:eastAsia="宋体" w:hAnsi="Arial" w:cs="Arial"/>
                <w:color w:val="000000"/>
                <w:sz w:val="17"/>
                <w:szCs w:val="17"/>
              </w:rPr>
              <w:t>(13)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4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42" w14:textId="77777777" w:rsidR="008E7A10" w:rsidRDefault="00E047B2">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43" w14:textId="77777777" w:rsidR="008E7A10" w:rsidRDefault="008E7A10">
            <w:pPr>
              <w:jc w:val="right"/>
              <w:rPr>
                <w:rFonts w:ascii="宋体"/>
              </w:rPr>
            </w:pPr>
          </w:p>
        </w:tc>
      </w:tr>
      <w:tr w:rsidR="008E7A10" w14:paraId="746F085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45" w14:textId="77777777" w:rsidR="008E7A10" w:rsidRDefault="00E047B2">
            <w:pPr>
              <w:textAlignment w:val="bottom"/>
            </w:pPr>
            <w:r>
              <w:rPr>
                <w:rFonts w:ascii="Arial" w:eastAsia="宋体" w:hAnsi="Arial" w:cs="Arial"/>
                <w:color w:val="000000"/>
                <w:sz w:val="17"/>
                <w:szCs w:val="17"/>
              </w:rPr>
              <w:t>Interest rate swaps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46"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4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4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4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84A"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4B" w14:textId="77777777" w:rsidR="008E7A10" w:rsidRDefault="00E047B2">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8" w:space="0" w:color="808080"/>
            </w:tcBorders>
            <w:shd w:val="clear" w:color="auto" w:fill="auto"/>
            <w:tcMar>
              <w:top w:w="0" w:type="dxa"/>
              <w:left w:w="20" w:type="dxa"/>
              <w:bottom w:w="0" w:type="dxa"/>
              <w:right w:w="20" w:type="dxa"/>
            </w:tcMar>
          </w:tcPr>
          <w:p w14:paraId="746F084C"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4D"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4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4F"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50" w14:textId="77777777" w:rsidR="008E7A10" w:rsidRDefault="008E7A10">
            <w:pPr>
              <w:jc w:val="right"/>
              <w:rPr>
                <w:rFonts w:ascii="宋体"/>
              </w:rPr>
            </w:pPr>
          </w:p>
        </w:tc>
      </w:tr>
      <w:tr w:rsidR="008E7A10" w14:paraId="746F086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852" w14:textId="77777777" w:rsidR="008E7A10" w:rsidRDefault="00E047B2">
            <w:pPr>
              <w:textAlignment w:val="bottom"/>
            </w:pPr>
            <w:r>
              <w:rPr>
                <w:rFonts w:ascii="Arial" w:eastAsia="宋体" w:hAnsi="Arial" w:cs="Arial"/>
                <w:b/>
                <w:bCs/>
                <w:color w:val="000000"/>
                <w:sz w:val="17"/>
                <w:szCs w:val="17"/>
              </w:rPr>
              <w:t xml:space="preserve">Total designated cash </w:t>
            </w:r>
            <w:r>
              <w:rPr>
                <w:rFonts w:ascii="Arial" w:eastAsia="宋体" w:hAnsi="Arial" w:cs="Arial"/>
                <w:b/>
                <w:bCs/>
                <w:color w:val="000000"/>
                <w:sz w:val="17"/>
                <w:szCs w:val="17"/>
              </w:rPr>
              <w:br/>
              <w:t>flow hedges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85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854" w14:textId="77777777" w:rsidR="008E7A10" w:rsidRDefault="00E047B2">
            <w:pPr>
              <w:jc w:val="right"/>
              <w:textAlignment w:val="bottom"/>
            </w:pPr>
            <w:r>
              <w:rPr>
                <w:rFonts w:ascii="Arial" w:eastAsia="宋体" w:hAnsi="Arial" w:cs="Arial"/>
                <w:b/>
                <w:bCs/>
                <w:color w:val="000000"/>
                <w:sz w:val="17"/>
                <w:szCs w:val="17"/>
              </w:rPr>
              <w:t>(60)</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855"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85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857" w14:textId="77777777" w:rsidR="008E7A10" w:rsidRDefault="00E047B2">
            <w:pPr>
              <w:jc w:val="right"/>
              <w:textAlignment w:val="bottom"/>
            </w:pPr>
            <w:r>
              <w:rPr>
                <w:rFonts w:ascii="Arial" w:eastAsia="宋体" w:hAnsi="Arial" w:cs="Arial"/>
                <w:b/>
                <w:bCs/>
                <w:color w:val="000000"/>
                <w:sz w:val="17"/>
                <w:szCs w:val="17"/>
              </w:rPr>
              <w:t>(19)</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858"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859" w14:textId="77777777" w:rsidR="008E7A10" w:rsidRDefault="008E7A10">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85A" w14:textId="77777777" w:rsidR="008E7A10" w:rsidRDefault="008E7A10">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85B"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85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85D" w14:textId="77777777" w:rsidR="008E7A10" w:rsidRDefault="00E047B2">
            <w:pPr>
              <w:jc w:val="right"/>
              <w:textAlignment w:val="bottom"/>
            </w:pPr>
            <w:r>
              <w:rPr>
                <w:rFonts w:ascii="Arial" w:eastAsia="宋体" w:hAnsi="Arial" w:cs="Arial"/>
                <w:b/>
                <w:bCs/>
                <w:color w:val="000000"/>
                <w:sz w:val="17"/>
                <w:szCs w:val="17"/>
              </w:rPr>
              <w:t>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85E"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85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860" w14:textId="77777777" w:rsidR="008E7A10" w:rsidRDefault="00E047B2">
            <w:pPr>
              <w:jc w:val="right"/>
              <w:textAlignment w:val="bottom"/>
            </w:pPr>
            <w:r>
              <w:rPr>
                <w:rFonts w:ascii="Arial" w:eastAsia="宋体" w:hAnsi="Arial" w:cs="Arial"/>
                <w:b/>
                <w:bCs/>
                <w:color w:val="000000"/>
                <w:sz w:val="17"/>
                <w:szCs w:val="17"/>
              </w:rPr>
              <w:t>130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861" w14:textId="77777777" w:rsidR="008E7A10" w:rsidRDefault="008E7A10">
            <w:pPr>
              <w:jc w:val="right"/>
              <w:rPr>
                <w:rFonts w:ascii="宋体"/>
              </w:rPr>
            </w:pPr>
          </w:p>
        </w:tc>
      </w:tr>
    </w:tbl>
    <w:p w14:paraId="746F0863" w14:textId="77777777" w:rsidR="008E7A10" w:rsidRDefault="00E047B2">
      <w:pPr>
        <w:spacing w:before="60" w:after="60"/>
        <w:ind w:hanging="360"/>
      </w:pPr>
      <w:r>
        <w:rPr>
          <w:rFonts w:ascii="Arial" w:eastAsia="宋体" w:hAnsi="Arial" w:cs="Arial"/>
          <w:i/>
          <w:iCs/>
          <w:color w:val="000000"/>
          <w:sz w:val="14"/>
          <w:szCs w:val="14"/>
        </w:rPr>
        <w:t>(1)For the three months ended November 30, 2020 and 2019, the amounts re</w:t>
      </w:r>
      <w:r>
        <w:rPr>
          <w:rFonts w:ascii="Arial" w:eastAsia="宋体" w:hAnsi="Arial" w:cs="Arial"/>
          <w:i/>
          <w:iCs/>
          <w:color w:val="000000"/>
          <w:sz w:val="14"/>
          <w:szCs w:val="14"/>
        </w:rPr>
        <w:t>corded in Other (income) expense, net as a result of the discontinuance of cash flow hedges because the forecasted transactions were no longer probable of occurring were immaterial.</w:t>
      </w:r>
    </w:p>
    <w:p w14:paraId="746F0864" w14:textId="77777777" w:rsidR="008E7A10" w:rsidRDefault="00E047B2">
      <w:pPr>
        <w:spacing w:before="60" w:after="60"/>
        <w:ind w:hanging="360"/>
      </w:pPr>
      <w:r>
        <w:rPr>
          <w:rFonts w:ascii="Arial" w:eastAsia="宋体" w:hAnsi="Arial" w:cs="Arial"/>
          <w:i/>
          <w:iCs/>
          <w:color w:val="000000"/>
          <w:sz w:val="14"/>
          <w:szCs w:val="14"/>
        </w:rPr>
        <w:t xml:space="preserve">(2)Gains and losses associated with terminated interest rate swaps, </w:t>
      </w:r>
      <w:r>
        <w:rPr>
          <w:rFonts w:ascii="Arial" w:eastAsia="宋体" w:hAnsi="Arial" w:cs="Arial"/>
          <w:i/>
          <w:iCs/>
          <w:color w:val="000000"/>
          <w:sz w:val="14"/>
          <w:szCs w:val="14"/>
        </w:rPr>
        <w:t>which were previously designated as cash flow hedges and recorded in Accumulated other comprehensive income (loss), will be released through Interest expense (income), net over the term of the issued debt.</w:t>
      </w:r>
    </w:p>
    <w:p w14:paraId="746F0865" w14:textId="77777777" w:rsidR="008E7A10" w:rsidRDefault="008E7A10">
      <w:pPr>
        <w:spacing w:before="120" w:after="120"/>
      </w:pPr>
    </w:p>
    <w:p w14:paraId="746F0866" w14:textId="77777777" w:rsidR="008E7A10" w:rsidRDefault="00E047B2">
      <w:pPr>
        <w:spacing w:before="120" w:after="120"/>
      </w:pPr>
      <w:r>
        <w:rPr>
          <w:rFonts w:ascii="Arial" w:eastAsia="宋体" w:hAnsi="Arial" w:cs="Arial"/>
          <w:color w:val="E87722"/>
          <w:sz w:val="17"/>
          <w:szCs w:val="17"/>
        </w:rPr>
        <w:t>14</w:t>
      </w:r>
      <w:r>
        <w:rPr>
          <w:rFonts w:ascii="sans-serif" w:eastAsia="sans-serif" w:hAnsi="sans-serif" w:cs="sans-serif"/>
          <w:color w:val="000000"/>
          <w:sz w:val="17"/>
          <w:szCs w:val="17"/>
        </w:rPr>
        <w:t xml:space="preserve"> </w:t>
      </w:r>
    </w:p>
    <w:p w14:paraId="746F0867" w14:textId="77777777" w:rsidR="008E7A10" w:rsidRDefault="00E047B2">
      <w:r>
        <w:pict w14:anchorId="746F2016">
          <v:rect id="_x0000_i1040" style="width:415.3pt;height:1.5pt" o:hralign="center" o:hrstd="t" o:hr="t" fillcolor="#a0a0a0" stroked="f"/>
        </w:pict>
      </w:r>
    </w:p>
    <w:p w14:paraId="746F0868" w14:textId="77777777" w:rsidR="008E7A10" w:rsidRDefault="008E7A10"/>
    <w:p w14:paraId="746F0869" w14:textId="77777777" w:rsidR="008E7A10" w:rsidRDefault="00E047B2">
      <w:hyperlink r:id="rId85" w:anchor="i31a624617c6c41b38f8f700fa0df5bde_7" w:history="1">
        <w:r>
          <w:rPr>
            <w:rStyle w:val="a5"/>
            <w:rFonts w:ascii="sans-serif" w:eastAsia="sans-serif" w:hAnsi="sans-serif" w:cs="sans-serif"/>
            <w:sz w:val="17"/>
            <w:szCs w:val="17"/>
          </w:rPr>
          <w:t>Table of Contents</w:t>
        </w:r>
      </w:hyperlink>
    </w:p>
    <w:p w14:paraId="746F086A" w14:textId="77777777" w:rsidR="008E7A10" w:rsidRDefault="008E7A10"/>
    <w:tbl>
      <w:tblPr>
        <w:tblW w:w="5000" w:type="pct"/>
        <w:tblCellMar>
          <w:top w:w="15" w:type="dxa"/>
          <w:left w:w="15" w:type="dxa"/>
          <w:bottom w:w="15" w:type="dxa"/>
          <w:right w:w="15" w:type="dxa"/>
        </w:tblCellMar>
        <w:tblLook w:val="04A0" w:firstRow="1" w:lastRow="0" w:firstColumn="1" w:lastColumn="0" w:noHBand="0" w:noVBand="1"/>
      </w:tblPr>
      <w:tblGrid>
        <w:gridCol w:w="42"/>
        <w:gridCol w:w="1978"/>
        <w:gridCol w:w="38"/>
        <w:gridCol w:w="116"/>
        <w:gridCol w:w="779"/>
        <w:gridCol w:w="37"/>
        <w:gridCol w:w="116"/>
        <w:gridCol w:w="779"/>
        <w:gridCol w:w="36"/>
        <w:gridCol w:w="36"/>
        <w:gridCol w:w="36"/>
        <w:gridCol w:w="36"/>
        <w:gridCol w:w="44"/>
        <w:gridCol w:w="2281"/>
        <w:gridCol w:w="37"/>
        <w:gridCol w:w="37"/>
        <w:gridCol w:w="37"/>
        <w:gridCol w:w="37"/>
        <w:gridCol w:w="115"/>
        <w:gridCol w:w="750"/>
        <w:gridCol w:w="36"/>
        <w:gridCol w:w="115"/>
        <w:gridCol w:w="782"/>
        <w:gridCol w:w="36"/>
      </w:tblGrid>
      <w:tr w:rsidR="008E7A10" w14:paraId="746F0883" w14:textId="77777777">
        <w:tc>
          <w:tcPr>
            <w:tcW w:w="50" w:type="pct"/>
            <w:shd w:val="clear" w:color="auto" w:fill="auto"/>
          </w:tcPr>
          <w:p w14:paraId="746F086B" w14:textId="77777777" w:rsidR="008E7A10" w:rsidRDefault="008E7A10">
            <w:pPr>
              <w:rPr>
                <w:rFonts w:ascii="宋体"/>
              </w:rPr>
            </w:pPr>
          </w:p>
        </w:tc>
        <w:tc>
          <w:tcPr>
            <w:tcW w:w="1210" w:type="pct"/>
            <w:shd w:val="clear" w:color="auto" w:fill="auto"/>
          </w:tcPr>
          <w:p w14:paraId="746F086C" w14:textId="77777777" w:rsidR="008E7A10" w:rsidRDefault="008E7A10">
            <w:pPr>
              <w:rPr>
                <w:rFonts w:ascii="宋体"/>
              </w:rPr>
            </w:pPr>
          </w:p>
        </w:tc>
        <w:tc>
          <w:tcPr>
            <w:tcW w:w="5" w:type="pct"/>
            <w:shd w:val="clear" w:color="auto" w:fill="auto"/>
          </w:tcPr>
          <w:p w14:paraId="746F086D" w14:textId="77777777" w:rsidR="008E7A10" w:rsidRDefault="008E7A10">
            <w:pPr>
              <w:rPr>
                <w:rFonts w:ascii="宋体"/>
              </w:rPr>
            </w:pPr>
          </w:p>
        </w:tc>
        <w:tc>
          <w:tcPr>
            <w:tcW w:w="50" w:type="pct"/>
            <w:shd w:val="clear" w:color="auto" w:fill="auto"/>
          </w:tcPr>
          <w:p w14:paraId="746F086E" w14:textId="77777777" w:rsidR="008E7A10" w:rsidRDefault="008E7A10">
            <w:pPr>
              <w:rPr>
                <w:rFonts w:ascii="宋体"/>
              </w:rPr>
            </w:pPr>
          </w:p>
        </w:tc>
        <w:tc>
          <w:tcPr>
            <w:tcW w:w="492" w:type="pct"/>
            <w:shd w:val="clear" w:color="auto" w:fill="auto"/>
          </w:tcPr>
          <w:p w14:paraId="746F086F" w14:textId="77777777" w:rsidR="008E7A10" w:rsidRDefault="008E7A10">
            <w:pPr>
              <w:rPr>
                <w:rFonts w:ascii="宋体"/>
              </w:rPr>
            </w:pPr>
          </w:p>
        </w:tc>
        <w:tc>
          <w:tcPr>
            <w:tcW w:w="5" w:type="pct"/>
            <w:shd w:val="clear" w:color="auto" w:fill="auto"/>
          </w:tcPr>
          <w:p w14:paraId="746F0870" w14:textId="77777777" w:rsidR="008E7A10" w:rsidRDefault="008E7A10">
            <w:pPr>
              <w:rPr>
                <w:rFonts w:ascii="宋体"/>
              </w:rPr>
            </w:pPr>
          </w:p>
        </w:tc>
        <w:tc>
          <w:tcPr>
            <w:tcW w:w="50" w:type="pct"/>
            <w:shd w:val="clear" w:color="auto" w:fill="auto"/>
          </w:tcPr>
          <w:p w14:paraId="746F0871" w14:textId="77777777" w:rsidR="008E7A10" w:rsidRDefault="008E7A10">
            <w:pPr>
              <w:rPr>
                <w:rFonts w:ascii="宋体"/>
              </w:rPr>
            </w:pPr>
          </w:p>
        </w:tc>
        <w:tc>
          <w:tcPr>
            <w:tcW w:w="492" w:type="pct"/>
            <w:shd w:val="clear" w:color="auto" w:fill="auto"/>
          </w:tcPr>
          <w:p w14:paraId="746F0872" w14:textId="77777777" w:rsidR="008E7A10" w:rsidRDefault="008E7A10">
            <w:pPr>
              <w:rPr>
                <w:rFonts w:ascii="宋体"/>
              </w:rPr>
            </w:pPr>
          </w:p>
        </w:tc>
        <w:tc>
          <w:tcPr>
            <w:tcW w:w="5" w:type="pct"/>
            <w:shd w:val="clear" w:color="auto" w:fill="auto"/>
          </w:tcPr>
          <w:p w14:paraId="746F0873" w14:textId="77777777" w:rsidR="008E7A10" w:rsidRDefault="008E7A10">
            <w:pPr>
              <w:rPr>
                <w:rFonts w:ascii="宋体"/>
              </w:rPr>
            </w:pPr>
          </w:p>
        </w:tc>
        <w:tc>
          <w:tcPr>
            <w:tcW w:w="5" w:type="pct"/>
            <w:shd w:val="clear" w:color="auto" w:fill="auto"/>
          </w:tcPr>
          <w:p w14:paraId="746F0874" w14:textId="77777777" w:rsidR="008E7A10" w:rsidRDefault="008E7A10">
            <w:pPr>
              <w:rPr>
                <w:rFonts w:ascii="宋体"/>
              </w:rPr>
            </w:pPr>
          </w:p>
        </w:tc>
        <w:tc>
          <w:tcPr>
            <w:tcW w:w="28" w:type="pct"/>
            <w:shd w:val="clear" w:color="auto" w:fill="auto"/>
          </w:tcPr>
          <w:p w14:paraId="746F0875" w14:textId="77777777" w:rsidR="008E7A10" w:rsidRDefault="008E7A10">
            <w:pPr>
              <w:rPr>
                <w:rFonts w:ascii="宋体"/>
              </w:rPr>
            </w:pPr>
          </w:p>
        </w:tc>
        <w:tc>
          <w:tcPr>
            <w:tcW w:w="5" w:type="pct"/>
            <w:shd w:val="clear" w:color="auto" w:fill="auto"/>
          </w:tcPr>
          <w:p w14:paraId="746F0876" w14:textId="77777777" w:rsidR="008E7A10" w:rsidRDefault="008E7A10">
            <w:pPr>
              <w:rPr>
                <w:rFonts w:ascii="宋体"/>
              </w:rPr>
            </w:pPr>
          </w:p>
        </w:tc>
        <w:tc>
          <w:tcPr>
            <w:tcW w:w="50" w:type="pct"/>
            <w:shd w:val="clear" w:color="auto" w:fill="auto"/>
          </w:tcPr>
          <w:p w14:paraId="746F0877" w14:textId="77777777" w:rsidR="008E7A10" w:rsidRDefault="008E7A10">
            <w:pPr>
              <w:rPr>
                <w:rFonts w:ascii="宋体"/>
              </w:rPr>
            </w:pPr>
          </w:p>
        </w:tc>
        <w:tc>
          <w:tcPr>
            <w:tcW w:w="1411" w:type="pct"/>
            <w:shd w:val="clear" w:color="auto" w:fill="auto"/>
          </w:tcPr>
          <w:p w14:paraId="746F0878" w14:textId="77777777" w:rsidR="008E7A10" w:rsidRDefault="008E7A10">
            <w:pPr>
              <w:rPr>
                <w:rFonts w:ascii="宋体"/>
              </w:rPr>
            </w:pPr>
          </w:p>
        </w:tc>
        <w:tc>
          <w:tcPr>
            <w:tcW w:w="5" w:type="pct"/>
            <w:shd w:val="clear" w:color="auto" w:fill="auto"/>
          </w:tcPr>
          <w:p w14:paraId="746F0879" w14:textId="77777777" w:rsidR="008E7A10" w:rsidRDefault="008E7A10">
            <w:pPr>
              <w:rPr>
                <w:rFonts w:ascii="宋体"/>
              </w:rPr>
            </w:pPr>
          </w:p>
        </w:tc>
        <w:tc>
          <w:tcPr>
            <w:tcW w:w="5" w:type="pct"/>
            <w:shd w:val="clear" w:color="auto" w:fill="auto"/>
          </w:tcPr>
          <w:p w14:paraId="746F087A" w14:textId="77777777" w:rsidR="008E7A10" w:rsidRDefault="008E7A10">
            <w:pPr>
              <w:rPr>
                <w:rFonts w:ascii="宋体"/>
              </w:rPr>
            </w:pPr>
          </w:p>
        </w:tc>
        <w:tc>
          <w:tcPr>
            <w:tcW w:w="28" w:type="pct"/>
            <w:shd w:val="clear" w:color="auto" w:fill="auto"/>
          </w:tcPr>
          <w:p w14:paraId="746F087B" w14:textId="77777777" w:rsidR="008E7A10" w:rsidRDefault="008E7A10">
            <w:pPr>
              <w:rPr>
                <w:rFonts w:ascii="宋体"/>
              </w:rPr>
            </w:pPr>
          </w:p>
        </w:tc>
        <w:tc>
          <w:tcPr>
            <w:tcW w:w="5" w:type="pct"/>
            <w:shd w:val="clear" w:color="auto" w:fill="auto"/>
          </w:tcPr>
          <w:p w14:paraId="746F087C" w14:textId="77777777" w:rsidR="008E7A10" w:rsidRDefault="008E7A10">
            <w:pPr>
              <w:rPr>
                <w:rFonts w:ascii="宋体"/>
              </w:rPr>
            </w:pPr>
          </w:p>
        </w:tc>
        <w:tc>
          <w:tcPr>
            <w:tcW w:w="50" w:type="pct"/>
            <w:shd w:val="clear" w:color="auto" w:fill="auto"/>
          </w:tcPr>
          <w:p w14:paraId="746F087D" w14:textId="77777777" w:rsidR="008E7A10" w:rsidRDefault="008E7A10">
            <w:pPr>
              <w:rPr>
                <w:rFonts w:ascii="宋体"/>
              </w:rPr>
            </w:pPr>
          </w:p>
        </w:tc>
        <w:tc>
          <w:tcPr>
            <w:tcW w:w="492" w:type="pct"/>
            <w:shd w:val="clear" w:color="auto" w:fill="auto"/>
          </w:tcPr>
          <w:p w14:paraId="746F087E" w14:textId="77777777" w:rsidR="008E7A10" w:rsidRDefault="008E7A10">
            <w:pPr>
              <w:rPr>
                <w:rFonts w:ascii="宋体"/>
              </w:rPr>
            </w:pPr>
          </w:p>
        </w:tc>
        <w:tc>
          <w:tcPr>
            <w:tcW w:w="5" w:type="pct"/>
            <w:shd w:val="clear" w:color="auto" w:fill="auto"/>
          </w:tcPr>
          <w:p w14:paraId="746F087F" w14:textId="77777777" w:rsidR="008E7A10" w:rsidRDefault="008E7A10">
            <w:pPr>
              <w:rPr>
                <w:rFonts w:ascii="宋体"/>
              </w:rPr>
            </w:pPr>
          </w:p>
        </w:tc>
        <w:tc>
          <w:tcPr>
            <w:tcW w:w="50" w:type="pct"/>
            <w:shd w:val="clear" w:color="auto" w:fill="auto"/>
          </w:tcPr>
          <w:p w14:paraId="746F0880" w14:textId="77777777" w:rsidR="008E7A10" w:rsidRDefault="008E7A10">
            <w:pPr>
              <w:rPr>
                <w:rFonts w:ascii="宋体"/>
              </w:rPr>
            </w:pPr>
          </w:p>
        </w:tc>
        <w:tc>
          <w:tcPr>
            <w:tcW w:w="493" w:type="pct"/>
            <w:shd w:val="clear" w:color="auto" w:fill="auto"/>
          </w:tcPr>
          <w:p w14:paraId="746F0881" w14:textId="77777777" w:rsidR="008E7A10" w:rsidRDefault="008E7A10">
            <w:pPr>
              <w:rPr>
                <w:rFonts w:ascii="宋体"/>
              </w:rPr>
            </w:pPr>
          </w:p>
        </w:tc>
        <w:tc>
          <w:tcPr>
            <w:tcW w:w="5" w:type="pct"/>
            <w:shd w:val="clear" w:color="auto" w:fill="auto"/>
          </w:tcPr>
          <w:p w14:paraId="746F0882" w14:textId="77777777" w:rsidR="008E7A10" w:rsidRDefault="008E7A10">
            <w:pPr>
              <w:rPr>
                <w:rFonts w:ascii="宋体"/>
              </w:rPr>
            </w:pPr>
          </w:p>
        </w:tc>
      </w:tr>
      <w:tr w:rsidR="008E7A10" w14:paraId="746F088C"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746F0884" w14:textId="77777777" w:rsidR="008E7A10" w:rsidRDefault="008E7A10">
            <w:pPr>
              <w:textAlignment w:val="bottom"/>
            </w:pPr>
          </w:p>
          <w:p w14:paraId="746F0885"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746F0886" w14:textId="77777777" w:rsidR="008E7A10" w:rsidRDefault="00E047B2">
            <w:pPr>
              <w:jc w:val="center"/>
              <w:textAlignment w:val="bottom"/>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tcPr>
          <w:p w14:paraId="746F0887" w14:textId="77777777" w:rsidR="008E7A10" w:rsidRDefault="008E7A10">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746F0888" w14:textId="77777777" w:rsidR="008E7A10" w:rsidRDefault="00E047B2">
            <w:pPr>
              <w:jc w:val="center"/>
              <w:textAlignment w:val="bottom"/>
            </w:pPr>
            <w:r>
              <w:rPr>
                <w:rFonts w:ascii="sans-serif" w:eastAsia="sans-serif" w:hAnsi="sans-serif" w:cs="sans-serif"/>
                <w:b/>
                <w:bCs/>
                <w:color w:val="000000"/>
                <w:sz w:val="17"/>
                <w:szCs w:val="17"/>
              </w:rPr>
              <w:t xml:space="preserve">AMOUNT OF GAIN (LOSS) </w:t>
            </w:r>
          </w:p>
          <w:p w14:paraId="746F0889" w14:textId="77777777" w:rsidR="008E7A10" w:rsidRDefault="00E047B2">
            <w:pPr>
              <w:jc w:val="center"/>
              <w:textAlignment w:val="bottom"/>
            </w:pPr>
            <w:r>
              <w:rPr>
                <w:rFonts w:ascii="sans-serif" w:eastAsia="sans-serif" w:hAnsi="sans-serif" w:cs="sans-serif"/>
                <w:b/>
                <w:bCs/>
                <w:color w:val="000000"/>
                <w:sz w:val="17"/>
                <w:szCs w:val="17"/>
              </w:rPr>
              <w:t xml:space="preserve">RECLASSIFIED FROM ACCUMULATED </w:t>
            </w:r>
          </w:p>
          <w:p w14:paraId="746F088A" w14:textId="77777777" w:rsidR="008E7A10" w:rsidRDefault="00E047B2">
            <w:pPr>
              <w:jc w:val="center"/>
              <w:textAlignment w:val="bottom"/>
            </w:pPr>
            <w:r>
              <w:rPr>
                <w:rFonts w:ascii="sans-serif" w:eastAsia="sans-serif" w:hAnsi="sans-serif" w:cs="sans-serif"/>
                <w:b/>
                <w:bCs/>
                <w:color w:val="000000"/>
                <w:sz w:val="17"/>
                <w:szCs w:val="17"/>
              </w:rPr>
              <w:t xml:space="preserve">OTHER COMPREHENSIVE </w:t>
            </w:r>
          </w:p>
          <w:p w14:paraId="746F088B" w14:textId="77777777" w:rsidR="008E7A10" w:rsidRDefault="00E047B2">
            <w:pPr>
              <w:jc w:val="center"/>
              <w:textAlignment w:val="bottom"/>
            </w:pPr>
            <w:r>
              <w:rPr>
                <w:rFonts w:ascii="sans-serif" w:eastAsia="sans-serif" w:hAnsi="sans-serif" w:cs="sans-serif"/>
                <w:b/>
                <w:bCs/>
                <w:color w:val="000000"/>
                <w:sz w:val="17"/>
                <w:szCs w:val="17"/>
              </w:rPr>
              <w:t>INCOME (LOSS) INTO INCOME</w:t>
            </w:r>
            <w:r>
              <w:rPr>
                <w:rFonts w:ascii="sans-serif" w:eastAsia="sans-serif" w:hAnsi="sans-serif" w:cs="sans-serif"/>
                <w:b/>
                <w:bCs/>
                <w:color w:val="000000"/>
                <w:sz w:val="11"/>
                <w:szCs w:val="11"/>
              </w:rPr>
              <w:t>(</w:t>
            </w:r>
            <w:r>
              <w:rPr>
                <w:rFonts w:ascii="sans-serif" w:eastAsia="sans-serif" w:hAnsi="sans-serif" w:cs="sans-serif"/>
                <w:b/>
                <w:bCs/>
                <w:color w:val="000000"/>
                <w:sz w:val="11"/>
                <w:szCs w:val="11"/>
              </w:rPr>
              <w:t>1)</w:t>
            </w:r>
          </w:p>
        </w:tc>
      </w:tr>
      <w:tr w:rsidR="008E7A10" w14:paraId="746F0893" w14:textId="77777777">
        <w:trPr>
          <w:trHeight w:val="480"/>
        </w:trPr>
        <w:tc>
          <w:tcPr>
            <w:tcW w:w="0" w:type="auto"/>
            <w:gridSpan w:val="3"/>
            <w:vMerge/>
            <w:shd w:val="clear" w:color="auto" w:fill="auto"/>
            <w:tcMar>
              <w:top w:w="40" w:type="dxa"/>
              <w:left w:w="20" w:type="dxa"/>
              <w:bottom w:w="40" w:type="dxa"/>
              <w:right w:w="20" w:type="dxa"/>
            </w:tcMar>
            <w:vAlign w:val="bottom"/>
          </w:tcPr>
          <w:p w14:paraId="746F088D"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88E" w14:textId="77777777" w:rsidR="008E7A10" w:rsidRDefault="00E047B2">
            <w:pPr>
              <w:jc w:val="center"/>
              <w:textAlignment w:val="bottom"/>
            </w:pPr>
            <w:r>
              <w:rPr>
                <w:rFonts w:ascii="sans-serif" w:eastAsia="sans-serif" w:hAnsi="sans-serif" w:cs="sans-serif"/>
                <w:b/>
                <w:bCs/>
                <w:color w:val="000000"/>
                <w:sz w:val="17"/>
                <w:szCs w:val="17"/>
              </w:rPr>
              <w:t>SIX MONTHS ENDED</w:t>
            </w:r>
            <w:r>
              <w:rPr>
                <w:rFonts w:ascii="sans-serif" w:eastAsia="sans-serif" w:hAnsi="sans-serif" w:cs="sans-serif"/>
                <w:b/>
                <w:bCs/>
                <w:color w:val="000000"/>
                <w:sz w:val="17"/>
                <w:szCs w:val="17"/>
              </w:rPr>
              <w:br/>
              <w:t>NOVEMBER 30,</w:t>
            </w:r>
          </w:p>
        </w:tc>
        <w:tc>
          <w:tcPr>
            <w:tcW w:w="0" w:type="auto"/>
            <w:gridSpan w:val="3"/>
            <w:shd w:val="clear" w:color="auto" w:fill="auto"/>
            <w:tcMar>
              <w:top w:w="0" w:type="dxa"/>
              <w:left w:w="20" w:type="dxa"/>
              <w:bottom w:w="0" w:type="dxa"/>
              <w:right w:w="20" w:type="dxa"/>
            </w:tcMar>
          </w:tcPr>
          <w:p w14:paraId="746F088F" w14:textId="77777777" w:rsidR="008E7A10" w:rsidRDefault="008E7A10">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746F0890" w14:textId="77777777" w:rsidR="008E7A10" w:rsidRDefault="00E047B2">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tcPr>
          <w:p w14:paraId="746F0891"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892" w14:textId="77777777" w:rsidR="008E7A10" w:rsidRDefault="00E047B2">
            <w:pPr>
              <w:jc w:val="center"/>
              <w:textAlignment w:val="bottom"/>
            </w:pPr>
            <w:r>
              <w:rPr>
                <w:rFonts w:ascii="sans-serif" w:eastAsia="sans-serif" w:hAnsi="sans-serif" w:cs="sans-serif"/>
                <w:b/>
                <w:bCs/>
                <w:color w:val="000000"/>
                <w:sz w:val="17"/>
                <w:szCs w:val="17"/>
              </w:rPr>
              <w:t>SIX MONTHS ENDED</w:t>
            </w:r>
            <w:r>
              <w:rPr>
                <w:rFonts w:ascii="sans-serif" w:eastAsia="sans-serif" w:hAnsi="sans-serif" w:cs="sans-serif"/>
                <w:b/>
                <w:bCs/>
                <w:color w:val="000000"/>
                <w:sz w:val="17"/>
                <w:szCs w:val="17"/>
              </w:rPr>
              <w:br/>
              <w:t>NOVEMBER 30,</w:t>
            </w:r>
          </w:p>
        </w:tc>
      </w:tr>
      <w:tr w:rsidR="008E7A10" w14:paraId="746F089C" w14:textId="77777777">
        <w:trPr>
          <w:trHeight w:val="240"/>
        </w:trPr>
        <w:tc>
          <w:tcPr>
            <w:tcW w:w="0" w:type="auto"/>
            <w:gridSpan w:val="3"/>
            <w:vMerge/>
            <w:shd w:val="clear" w:color="auto" w:fill="auto"/>
            <w:tcMar>
              <w:top w:w="40" w:type="dxa"/>
              <w:left w:w="20" w:type="dxa"/>
              <w:bottom w:w="40" w:type="dxa"/>
              <w:right w:w="20" w:type="dxa"/>
            </w:tcMar>
            <w:vAlign w:val="bottom"/>
          </w:tcPr>
          <w:p w14:paraId="746F0894"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895"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896"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tcPr>
          <w:p w14:paraId="746F0897" w14:textId="77777777" w:rsidR="008E7A10" w:rsidRDefault="008E7A10">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746F0898" w14:textId="77777777" w:rsidR="008E7A10" w:rsidRDefault="008E7A10">
            <w:pPr>
              <w:jc w:val="right"/>
              <w:rPr>
                <w:rFonts w:ascii="宋体"/>
              </w:rPr>
            </w:pPr>
          </w:p>
        </w:tc>
        <w:tc>
          <w:tcPr>
            <w:tcW w:w="0" w:type="auto"/>
            <w:gridSpan w:val="3"/>
            <w:shd w:val="clear" w:color="auto" w:fill="auto"/>
            <w:tcMar>
              <w:top w:w="0" w:type="dxa"/>
              <w:left w:w="20" w:type="dxa"/>
              <w:bottom w:w="0" w:type="dxa"/>
              <w:right w:w="20" w:type="dxa"/>
            </w:tcMar>
          </w:tcPr>
          <w:p w14:paraId="746F0899"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89A"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89B" w14:textId="77777777" w:rsidR="008E7A10" w:rsidRDefault="00E047B2">
            <w:pPr>
              <w:jc w:val="center"/>
              <w:textAlignment w:val="bottom"/>
            </w:pPr>
            <w:r>
              <w:rPr>
                <w:rFonts w:ascii="sans-serif" w:eastAsia="sans-serif" w:hAnsi="sans-serif" w:cs="sans-serif"/>
                <w:b/>
                <w:bCs/>
                <w:color w:val="000000"/>
                <w:sz w:val="17"/>
                <w:szCs w:val="17"/>
              </w:rPr>
              <w:t>2019</w:t>
            </w:r>
          </w:p>
        </w:tc>
      </w:tr>
      <w:tr w:rsidR="008E7A10" w14:paraId="746F08A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89D" w14:textId="77777777" w:rsidR="008E7A10" w:rsidRDefault="00E047B2">
            <w:pP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top w:w="0" w:type="dxa"/>
              <w:left w:w="20" w:type="dxa"/>
              <w:bottom w:w="0" w:type="dxa"/>
              <w:right w:w="20" w:type="dxa"/>
            </w:tcMar>
          </w:tcPr>
          <w:p w14:paraId="746F089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89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8A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8A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8A2"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8A3"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8A4" w14:textId="77777777" w:rsidR="008E7A10" w:rsidRDefault="008E7A10">
            <w:pPr>
              <w:rPr>
                <w:rFonts w:ascii="宋体"/>
              </w:rPr>
            </w:pPr>
          </w:p>
        </w:tc>
      </w:tr>
      <w:tr w:rsidR="008E7A10" w14:paraId="746F08B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A6" w14:textId="77777777" w:rsidR="008E7A10" w:rsidRDefault="00E047B2">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8A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8A8" w14:textId="77777777" w:rsidR="008E7A10" w:rsidRDefault="00E047B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A9"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8A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8AB" w14:textId="77777777" w:rsidR="008E7A10" w:rsidRDefault="00E047B2">
            <w:pPr>
              <w:jc w:val="right"/>
              <w:textAlignment w:val="bottom"/>
            </w:pPr>
            <w:r>
              <w:rPr>
                <w:rFonts w:ascii="Arial" w:eastAsia="宋体" w:hAnsi="Arial" w:cs="Arial"/>
                <w:color w:val="000000"/>
                <w:sz w:val="17"/>
                <w:szCs w:val="17"/>
              </w:rPr>
              <w:t>(62)</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A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8AD"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AE" w14:textId="77777777" w:rsidR="008E7A10" w:rsidRDefault="00E047B2">
            <w:pPr>
              <w:jc w:val="right"/>
              <w:textAlignment w:val="bottom"/>
            </w:pPr>
            <w:r>
              <w:rPr>
                <w:rFonts w:ascii="Arial" w:eastAsia="宋体" w:hAnsi="Arial" w:cs="Arial"/>
                <w:color w:val="000000"/>
                <w:sz w:val="17"/>
                <w:szCs w:val="17"/>
              </w:rPr>
              <w:t>Revenues</w:t>
            </w:r>
          </w:p>
        </w:tc>
        <w:tc>
          <w:tcPr>
            <w:tcW w:w="0" w:type="auto"/>
            <w:gridSpan w:val="3"/>
            <w:tcBorders>
              <w:top w:val="single" w:sz="8" w:space="0" w:color="808080"/>
            </w:tcBorders>
            <w:shd w:val="clear" w:color="auto" w:fill="auto"/>
            <w:tcMar>
              <w:top w:w="0" w:type="dxa"/>
              <w:left w:w="20" w:type="dxa"/>
              <w:bottom w:w="0" w:type="dxa"/>
              <w:right w:w="20" w:type="dxa"/>
            </w:tcMar>
          </w:tcPr>
          <w:p w14:paraId="746F08AF"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8B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8B1"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B2"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8B3"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8B4"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B5" w14:textId="77777777" w:rsidR="008E7A10" w:rsidRDefault="008E7A10">
            <w:pPr>
              <w:jc w:val="right"/>
              <w:rPr>
                <w:rFonts w:ascii="宋体"/>
              </w:rPr>
            </w:pPr>
          </w:p>
        </w:tc>
      </w:tr>
      <w:tr w:rsidR="008E7A10" w14:paraId="746F08C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B7" w14:textId="77777777" w:rsidR="008E7A10" w:rsidRDefault="00E047B2">
            <w:pPr>
              <w:textAlignment w:val="bottom"/>
            </w:pPr>
            <w:r>
              <w:rPr>
                <w:rFonts w:ascii="Arial" w:eastAsia="宋体" w:hAnsi="Arial" w:cs="Arial"/>
                <w:color w:val="000000"/>
                <w:sz w:val="17"/>
                <w:szCs w:val="17"/>
              </w:rPr>
              <w:t>Foreign exchange forwards</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B8" w14:textId="77777777" w:rsidR="008E7A10" w:rsidRDefault="00E047B2">
            <w:pPr>
              <w:jc w:val="right"/>
              <w:textAlignment w:val="bottom"/>
            </w:pPr>
            <w:r>
              <w:rPr>
                <w:rFonts w:ascii="Arial" w:eastAsia="宋体" w:hAnsi="Arial" w:cs="Arial"/>
                <w:color w:val="000000"/>
                <w:sz w:val="17"/>
                <w:szCs w:val="17"/>
              </w:rPr>
              <w:t>(440)</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B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BA" w14:textId="77777777" w:rsidR="008E7A10" w:rsidRDefault="00E047B2">
            <w:pPr>
              <w:jc w:val="right"/>
              <w:textAlignment w:val="bottom"/>
            </w:pPr>
            <w:r>
              <w:rPr>
                <w:rFonts w:ascii="Arial" w:eastAsia="宋体" w:hAnsi="Arial" w:cs="Arial"/>
                <w:color w:val="000000"/>
                <w:sz w:val="17"/>
                <w:szCs w:val="17"/>
              </w:rPr>
              <w:t>146 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B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8BC"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BD" w14:textId="77777777" w:rsidR="008E7A10" w:rsidRDefault="00E047B2">
            <w:pPr>
              <w:jc w:val="right"/>
              <w:textAlignment w:val="bottom"/>
            </w:pPr>
            <w:r>
              <w:rPr>
                <w:rFonts w:ascii="Arial" w:eastAsia="宋体" w:hAnsi="Arial" w:cs="Arial"/>
                <w:color w:val="000000"/>
                <w:sz w:val="17"/>
                <w:szCs w:val="17"/>
              </w:rPr>
              <w:t>Cost of sales</w:t>
            </w:r>
          </w:p>
        </w:tc>
        <w:tc>
          <w:tcPr>
            <w:tcW w:w="0" w:type="auto"/>
            <w:gridSpan w:val="3"/>
            <w:tcBorders>
              <w:top w:val="single" w:sz="8" w:space="0" w:color="808080"/>
            </w:tcBorders>
            <w:shd w:val="clear" w:color="auto" w:fill="auto"/>
            <w:tcMar>
              <w:top w:w="0" w:type="dxa"/>
              <w:left w:w="20" w:type="dxa"/>
              <w:bottom w:w="0" w:type="dxa"/>
              <w:right w:w="20" w:type="dxa"/>
            </w:tcMar>
          </w:tcPr>
          <w:p w14:paraId="746F08BE"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BF" w14:textId="77777777" w:rsidR="008E7A10" w:rsidRDefault="00E047B2">
            <w:pPr>
              <w:jc w:val="right"/>
              <w:textAlignment w:val="bottom"/>
            </w:pPr>
            <w:r>
              <w:rPr>
                <w:rFonts w:ascii="Arial" w:eastAsia="宋体" w:hAnsi="Arial" w:cs="Arial"/>
                <w:color w:val="000000"/>
                <w:sz w:val="17"/>
                <w:szCs w:val="17"/>
              </w:rPr>
              <w:t>145 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C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C1" w14:textId="77777777" w:rsidR="008E7A10" w:rsidRDefault="00E047B2">
            <w:pPr>
              <w:jc w:val="right"/>
              <w:textAlignment w:val="bottom"/>
            </w:pPr>
            <w:r>
              <w:rPr>
                <w:rFonts w:ascii="Arial" w:eastAsia="宋体" w:hAnsi="Arial" w:cs="Arial"/>
                <w:color w:val="000000"/>
                <w:sz w:val="17"/>
                <w:szCs w:val="17"/>
              </w:rPr>
              <w:t>177 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C2" w14:textId="77777777" w:rsidR="008E7A10" w:rsidRDefault="008E7A10">
            <w:pPr>
              <w:jc w:val="right"/>
              <w:rPr>
                <w:rFonts w:ascii="宋体"/>
              </w:rPr>
            </w:pPr>
          </w:p>
        </w:tc>
      </w:tr>
      <w:tr w:rsidR="008E7A10" w14:paraId="746F08D0"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746F08C4" w14:textId="77777777" w:rsidR="008E7A10" w:rsidRDefault="00E047B2">
            <w:pP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C5"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C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C7"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C8"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8C9"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CA" w14:textId="77777777" w:rsidR="008E7A10" w:rsidRDefault="00E047B2">
            <w:pPr>
              <w:jc w:val="right"/>
              <w:textAlignment w:val="bottom"/>
            </w:pPr>
            <w:r>
              <w:rPr>
                <w:rFonts w:ascii="Arial" w:eastAsia="宋体" w:hAnsi="Arial" w:cs="Arial"/>
                <w:color w:val="000000"/>
                <w:sz w:val="17"/>
                <w:szCs w:val="17"/>
              </w:rPr>
              <w:t>Demand creation expense</w:t>
            </w:r>
          </w:p>
        </w:tc>
        <w:tc>
          <w:tcPr>
            <w:tcW w:w="0" w:type="auto"/>
            <w:gridSpan w:val="3"/>
            <w:tcBorders>
              <w:top w:val="single" w:sz="8" w:space="0" w:color="808080"/>
            </w:tcBorders>
            <w:shd w:val="clear" w:color="auto" w:fill="auto"/>
            <w:tcMar>
              <w:top w:w="0" w:type="dxa"/>
              <w:left w:w="20" w:type="dxa"/>
              <w:bottom w:w="0" w:type="dxa"/>
              <w:right w:w="20" w:type="dxa"/>
            </w:tcMar>
          </w:tcPr>
          <w:p w14:paraId="746F08CB"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CC"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C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CE"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CF" w14:textId="77777777" w:rsidR="008E7A10" w:rsidRDefault="008E7A10">
            <w:pPr>
              <w:jc w:val="right"/>
              <w:rPr>
                <w:rFonts w:ascii="宋体"/>
              </w:rPr>
            </w:pPr>
          </w:p>
        </w:tc>
      </w:tr>
      <w:tr w:rsidR="008E7A10" w14:paraId="746F08D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D1" w14:textId="77777777" w:rsidR="008E7A10" w:rsidRDefault="00E047B2">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D2" w14:textId="77777777" w:rsidR="008E7A10" w:rsidRDefault="00E047B2">
            <w:pPr>
              <w:jc w:val="right"/>
              <w:textAlignment w:val="bottom"/>
            </w:pPr>
            <w:r>
              <w:rPr>
                <w:rFonts w:ascii="Arial" w:eastAsia="宋体" w:hAnsi="Arial" w:cs="Arial"/>
                <w:color w:val="000000"/>
                <w:sz w:val="17"/>
                <w:szCs w:val="17"/>
              </w:rPr>
              <w:t>(159)</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D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D4" w14:textId="77777777" w:rsidR="008E7A10" w:rsidRDefault="00E047B2">
            <w:pPr>
              <w:jc w:val="right"/>
              <w:textAlignment w:val="bottom"/>
            </w:pPr>
            <w:r>
              <w:rPr>
                <w:rFonts w:ascii="Arial" w:eastAsia="宋体" w:hAnsi="Arial" w:cs="Arial"/>
                <w:color w:val="000000"/>
                <w:sz w:val="17"/>
                <w:szCs w:val="17"/>
              </w:rPr>
              <w:t>60 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D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8D6"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D7" w14:textId="77777777" w:rsidR="008E7A10" w:rsidRDefault="00E047B2">
            <w:pPr>
              <w:jc w:val="right"/>
              <w:textAlignment w:val="bottom"/>
            </w:pPr>
            <w:r>
              <w:rPr>
                <w:rFonts w:ascii="Arial" w:eastAsia="宋体" w:hAnsi="Arial" w:cs="Arial"/>
                <w:color w:val="000000"/>
                <w:sz w:val="17"/>
                <w:szCs w:val="17"/>
              </w:rPr>
              <w:t>Other (income) expense, net</w:t>
            </w:r>
          </w:p>
        </w:tc>
        <w:tc>
          <w:tcPr>
            <w:tcW w:w="0" w:type="auto"/>
            <w:gridSpan w:val="3"/>
            <w:tcBorders>
              <w:top w:val="single" w:sz="8" w:space="0" w:color="808080"/>
            </w:tcBorders>
            <w:shd w:val="clear" w:color="auto" w:fill="auto"/>
            <w:tcMar>
              <w:top w:w="0" w:type="dxa"/>
              <w:left w:w="20" w:type="dxa"/>
              <w:bottom w:w="0" w:type="dxa"/>
              <w:right w:w="20" w:type="dxa"/>
            </w:tcMar>
          </w:tcPr>
          <w:p w14:paraId="746F08D8"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D9" w14:textId="77777777" w:rsidR="008E7A10" w:rsidRDefault="00E047B2">
            <w:pPr>
              <w:jc w:val="right"/>
              <w:textAlignment w:val="bottom"/>
            </w:pPr>
            <w:r>
              <w:rPr>
                <w:rFonts w:ascii="Arial" w:eastAsia="宋体" w:hAnsi="Arial" w:cs="Arial"/>
                <w:color w:val="000000"/>
                <w:sz w:val="17"/>
                <w:szCs w:val="17"/>
              </w:rPr>
              <w:t>(5)</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D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DB" w14:textId="77777777" w:rsidR="008E7A10" w:rsidRDefault="00E047B2">
            <w:pPr>
              <w:jc w:val="right"/>
              <w:textAlignment w:val="bottom"/>
            </w:pPr>
            <w:r>
              <w:rPr>
                <w:rFonts w:ascii="Arial" w:eastAsia="宋体" w:hAnsi="Arial" w:cs="Arial"/>
                <w:color w:val="000000"/>
                <w:sz w:val="17"/>
                <w:szCs w:val="17"/>
              </w:rPr>
              <w:t>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DC" w14:textId="77777777" w:rsidR="008E7A10" w:rsidRDefault="008E7A10">
            <w:pPr>
              <w:jc w:val="right"/>
              <w:rPr>
                <w:rFonts w:ascii="宋体"/>
              </w:rPr>
            </w:pPr>
          </w:p>
        </w:tc>
      </w:tr>
      <w:tr w:rsidR="008E7A10" w14:paraId="746F08E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DE" w14:textId="77777777" w:rsidR="008E7A10" w:rsidRDefault="00E047B2">
            <w:pPr>
              <w:textAlignment w:val="bottom"/>
            </w:pPr>
            <w:r>
              <w:rPr>
                <w:rFonts w:ascii="Arial" w:eastAsia="宋体" w:hAnsi="Arial" w:cs="Arial"/>
                <w:color w:val="000000"/>
                <w:sz w:val="17"/>
                <w:szCs w:val="17"/>
              </w:rPr>
              <w:t>Interest rate swaps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D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E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E1"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E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8E3"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8E4" w14:textId="77777777" w:rsidR="008E7A10" w:rsidRDefault="00E047B2">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8" w:space="0" w:color="808080"/>
            </w:tcBorders>
            <w:shd w:val="clear" w:color="auto" w:fill="auto"/>
            <w:tcMar>
              <w:top w:w="0" w:type="dxa"/>
              <w:left w:w="20" w:type="dxa"/>
              <w:bottom w:w="0" w:type="dxa"/>
              <w:right w:w="20" w:type="dxa"/>
            </w:tcMar>
          </w:tcPr>
          <w:p w14:paraId="746F08E5"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8E6"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8E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8E8"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746F08E9" w14:textId="77777777" w:rsidR="008E7A10" w:rsidRDefault="008E7A10">
            <w:pPr>
              <w:jc w:val="right"/>
              <w:rPr>
                <w:rFonts w:ascii="宋体"/>
              </w:rPr>
            </w:pPr>
          </w:p>
        </w:tc>
      </w:tr>
      <w:tr w:rsidR="008E7A10" w14:paraId="746F08F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8EB" w14:textId="77777777" w:rsidR="008E7A10" w:rsidRDefault="00E047B2">
            <w:pPr>
              <w:textAlignment w:val="bottom"/>
            </w:pPr>
            <w:r>
              <w:rPr>
                <w:rFonts w:ascii="Arial" w:eastAsia="宋体" w:hAnsi="Arial" w:cs="Arial"/>
                <w:b/>
                <w:bCs/>
                <w:color w:val="000000"/>
                <w:sz w:val="17"/>
                <w:szCs w:val="17"/>
              </w:rPr>
              <w:t xml:space="preserve">Total designated cash </w:t>
            </w:r>
            <w:r>
              <w:rPr>
                <w:rFonts w:ascii="Arial" w:eastAsia="宋体" w:hAnsi="Arial" w:cs="Arial"/>
                <w:b/>
                <w:bCs/>
                <w:color w:val="000000"/>
                <w:sz w:val="17"/>
                <w:szCs w:val="17"/>
              </w:rPr>
              <w:br/>
              <w:t>flow hedges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8E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8ED" w14:textId="77777777" w:rsidR="008E7A10" w:rsidRDefault="00E047B2">
            <w:pPr>
              <w:jc w:val="right"/>
              <w:textAlignment w:val="bottom"/>
            </w:pPr>
            <w:r>
              <w:rPr>
                <w:rFonts w:ascii="Arial" w:eastAsia="宋体" w:hAnsi="Arial" w:cs="Arial"/>
                <w:b/>
                <w:bCs/>
                <w:color w:val="000000"/>
                <w:sz w:val="17"/>
                <w:szCs w:val="17"/>
              </w:rPr>
              <w:t>(590)</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8EE"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8E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8F0" w14:textId="77777777" w:rsidR="008E7A10" w:rsidRDefault="00E047B2">
            <w:pPr>
              <w:jc w:val="right"/>
              <w:textAlignment w:val="bottom"/>
            </w:pPr>
            <w:r>
              <w:rPr>
                <w:rFonts w:ascii="Arial" w:eastAsia="宋体" w:hAnsi="Arial" w:cs="Arial"/>
                <w:b/>
                <w:bCs/>
                <w:color w:val="000000"/>
                <w:sz w:val="17"/>
                <w:szCs w:val="17"/>
              </w:rPr>
              <w:t>144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8F1"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8F2" w14:textId="77777777" w:rsidR="008E7A10" w:rsidRDefault="008E7A10">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8F3" w14:textId="77777777" w:rsidR="008E7A10" w:rsidRDefault="008E7A10">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08F4"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8F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8F6" w14:textId="77777777" w:rsidR="008E7A10" w:rsidRDefault="00E047B2">
            <w:pPr>
              <w:jc w:val="right"/>
              <w:textAlignment w:val="bottom"/>
            </w:pPr>
            <w:r>
              <w:rPr>
                <w:rFonts w:ascii="Arial" w:eastAsia="宋体" w:hAnsi="Arial" w:cs="Arial"/>
                <w:b/>
                <w:bCs/>
                <w:color w:val="000000"/>
                <w:sz w:val="17"/>
                <w:szCs w:val="17"/>
              </w:rPr>
              <w:t>178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8F7"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8F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8F9" w14:textId="77777777" w:rsidR="008E7A10" w:rsidRDefault="00E047B2">
            <w:pPr>
              <w:jc w:val="right"/>
              <w:textAlignment w:val="bottom"/>
            </w:pPr>
            <w:r>
              <w:rPr>
                <w:rFonts w:ascii="Arial" w:eastAsia="宋体" w:hAnsi="Arial" w:cs="Arial"/>
                <w:b/>
                <w:bCs/>
                <w:color w:val="000000"/>
                <w:sz w:val="17"/>
                <w:szCs w:val="17"/>
              </w:rPr>
              <w:t>257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8FA" w14:textId="77777777" w:rsidR="008E7A10" w:rsidRDefault="008E7A10">
            <w:pPr>
              <w:jc w:val="right"/>
              <w:rPr>
                <w:rFonts w:ascii="宋体"/>
              </w:rPr>
            </w:pPr>
          </w:p>
        </w:tc>
      </w:tr>
    </w:tbl>
    <w:p w14:paraId="746F08FC" w14:textId="77777777" w:rsidR="008E7A10" w:rsidRDefault="00E047B2">
      <w:pPr>
        <w:spacing w:before="60" w:after="60"/>
        <w:ind w:hanging="360"/>
      </w:pPr>
      <w:r>
        <w:rPr>
          <w:rFonts w:ascii="Arial" w:eastAsia="宋体" w:hAnsi="Arial" w:cs="Arial"/>
          <w:i/>
          <w:iCs/>
          <w:color w:val="000000"/>
          <w:sz w:val="14"/>
          <w:szCs w:val="14"/>
        </w:rPr>
        <w:t>(1)For the six months ended November 30, 2020 and 2019, the amounts re</w:t>
      </w:r>
      <w:r>
        <w:rPr>
          <w:rFonts w:ascii="Arial" w:eastAsia="宋体" w:hAnsi="Arial" w:cs="Arial"/>
          <w:i/>
          <w:iCs/>
          <w:color w:val="000000"/>
          <w:sz w:val="14"/>
          <w:szCs w:val="14"/>
        </w:rPr>
        <w:t>corded in Other (income) expense, net as a result of the discontinuance of cash flow hedges because the forecasted transactions were no longer probable of occurring were immaterial.</w:t>
      </w:r>
    </w:p>
    <w:p w14:paraId="746F08FD" w14:textId="77777777" w:rsidR="008E7A10" w:rsidRDefault="00E047B2">
      <w:pPr>
        <w:spacing w:before="60" w:after="60"/>
        <w:ind w:hanging="360"/>
      </w:pPr>
      <w:r>
        <w:rPr>
          <w:rFonts w:ascii="Arial" w:eastAsia="宋体" w:hAnsi="Arial" w:cs="Arial"/>
          <w:i/>
          <w:iCs/>
          <w:color w:val="000000"/>
          <w:sz w:val="14"/>
          <w:szCs w:val="14"/>
        </w:rPr>
        <w:t xml:space="preserve">(2)Gains and losses associated with terminated interest rate swaps, </w:t>
      </w:r>
      <w:r>
        <w:rPr>
          <w:rFonts w:ascii="Arial" w:eastAsia="宋体" w:hAnsi="Arial" w:cs="Arial"/>
          <w:i/>
          <w:iCs/>
          <w:color w:val="000000"/>
          <w:sz w:val="14"/>
          <w:szCs w:val="14"/>
        </w:rPr>
        <w:t>which were previously designated as cash flow hedges and recorded in Accumulated other comprehensive income (loss), will be released through Interest expense (income), net over the term of the issued debt.</w:t>
      </w:r>
    </w:p>
    <w:tbl>
      <w:tblPr>
        <w:tblW w:w="5000" w:type="pct"/>
        <w:tblCellMar>
          <w:top w:w="15" w:type="dxa"/>
          <w:left w:w="15" w:type="dxa"/>
          <w:bottom w:w="15" w:type="dxa"/>
          <w:right w:w="15" w:type="dxa"/>
        </w:tblCellMar>
        <w:tblLook w:val="04A0" w:firstRow="1" w:lastRow="0" w:firstColumn="1" w:lastColumn="0" w:noHBand="0" w:noVBand="1"/>
      </w:tblPr>
      <w:tblGrid>
        <w:gridCol w:w="44"/>
        <w:gridCol w:w="2790"/>
        <w:gridCol w:w="37"/>
        <w:gridCol w:w="115"/>
        <w:gridCol w:w="718"/>
        <w:gridCol w:w="36"/>
        <w:gridCol w:w="115"/>
        <w:gridCol w:w="718"/>
        <w:gridCol w:w="36"/>
        <w:gridCol w:w="36"/>
        <w:gridCol w:w="36"/>
        <w:gridCol w:w="36"/>
        <w:gridCol w:w="115"/>
        <w:gridCol w:w="691"/>
        <w:gridCol w:w="36"/>
        <w:gridCol w:w="115"/>
        <w:gridCol w:w="719"/>
        <w:gridCol w:w="36"/>
        <w:gridCol w:w="45"/>
        <w:gridCol w:w="1826"/>
        <w:gridCol w:w="36"/>
      </w:tblGrid>
      <w:tr w:rsidR="008E7A10" w14:paraId="746F0913" w14:textId="77777777">
        <w:tc>
          <w:tcPr>
            <w:tcW w:w="50" w:type="pct"/>
            <w:shd w:val="clear" w:color="auto" w:fill="auto"/>
          </w:tcPr>
          <w:p w14:paraId="746F08FE" w14:textId="77777777" w:rsidR="008E7A10" w:rsidRDefault="008E7A10">
            <w:pPr>
              <w:rPr>
                <w:rFonts w:ascii="宋体"/>
              </w:rPr>
            </w:pPr>
          </w:p>
        </w:tc>
        <w:tc>
          <w:tcPr>
            <w:tcW w:w="1696" w:type="pct"/>
            <w:shd w:val="clear" w:color="auto" w:fill="auto"/>
          </w:tcPr>
          <w:p w14:paraId="746F08FF" w14:textId="77777777" w:rsidR="008E7A10" w:rsidRDefault="008E7A10">
            <w:pPr>
              <w:rPr>
                <w:rFonts w:ascii="宋体"/>
              </w:rPr>
            </w:pPr>
          </w:p>
        </w:tc>
        <w:tc>
          <w:tcPr>
            <w:tcW w:w="5" w:type="pct"/>
            <w:shd w:val="clear" w:color="auto" w:fill="auto"/>
          </w:tcPr>
          <w:p w14:paraId="746F0900" w14:textId="77777777" w:rsidR="008E7A10" w:rsidRDefault="008E7A10">
            <w:pPr>
              <w:rPr>
                <w:rFonts w:ascii="宋体"/>
              </w:rPr>
            </w:pPr>
          </w:p>
        </w:tc>
        <w:tc>
          <w:tcPr>
            <w:tcW w:w="50" w:type="pct"/>
            <w:shd w:val="clear" w:color="auto" w:fill="auto"/>
          </w:tcPr>
          <w:p w14:paraId="746F0901" w14:textId="77777777" w:rsidR="008E7A10" w:rsidRDefault="008E7A10">
            <w:pPr>
              <w:rPr>
                <w:rFonts w:ascii="宋体"/>
              </w:rPr>
            </w:pPr>
          </w:p>
        </w:tc>
        <w:tc>
          <w:tcPr>
            <w:tcW w:w="454" w:type="pct"/>
            <w:shd w:val="clear" w:color="auto" w:fill="auto"/>
          </w:tcPr>
          <w:p w14:paraId="746F0902" w14:textId="77777777" w:rsidR="008E7A10" w:rsidRDefault="008E7A10">
            <w:pPr>
              <w:rPr>
                <w:rFonts w:ascii="宋体"/>
              </w:rPr>
            </w:pPr>
          </w:p>
        </w:tc>
        <w:tc>
          <w:tcPr>
            <w:tcW w:w="5" w:type="pct"/>
            <w:shd w:val="clear" w:color="auto" w:fill="auto"/>
          </w:tcPr>
          <w:p w14:paraId="746F0903" w14:textId="77777777" w:rsidR="008E7A10" w:rsidRDefault="008E7A10">
            <w:pPr>
              <w:rPr>
                <w:rFonts w:ascii="宋体"/>
              </w:rPr>
            </w:pPr>
          </w:p>
        </w:tc>
        <w:tc>
          <w:tcPr>
            <w:tcW w:w="50" w:type="pct"/>
            <w:shd w:val="clear" w:color="auto" w:fill="auto"/>
          </w:tcPr>
          <w:p w14:paraId="746F0904" w14:textId="77777777" w:rsidR="008E7A10" w:rsidRDefault="008E7A10">
            <w:pPr>
              <w:rPr>
                <w:rFonts w:ascii="宋体"/>
              </w:rPr>
            </w:pPr>
          </w:p>
        </w:tc>
        <w:tc>
          <w:tcPr>
            <w:tcW w:w="454" w:type="pct"/>
            <w:shd w:val="clear" w:color="auto" w:fill="auto"/>
          </w:tcPr>
          <w:p w14:paraId="746F0905" w14:textId="77777777" w:rsidR="008E7A10" w:rsidRDefault="008E7A10">
            <w:pPr>
              <w:rPr>
                <w:rFonts w:ascii="宋体"/>
              </w:rPr>
            </w:pPr>
          </w:p>
        </w:tc>
        <w:tc>
          <w:tcPr>
            <w:tcW w:w="5" w:type="pct"/>
            <w:shd w:val="clear" w:color="auto" w:fill="auto"/>
          </w:tcPr>
          <w:p w14:paraId="746F0906" w14:textId="77777777" w:rsidR="008E7A10" w:rsidRDefault="008E7A10">
            <w:pPr>
              <w:rPr>
                <w:rFonts w:ascii="宋体"/>
              </w:rPr>
            </w:pPr>
          </w:p>
        </w:tc>
        <w:tc>
          <w:tcPr>
            <w:tcW w:w="5" w:type="pct"/>
            <w:shd w:val="clear" w:color="auto" w:fill="auto"/>
          </w:tcPr>
          <w:p w14:paraId="746F0907" w14:textId="77777777" w:rsidR="008E7A10" w:rsidRDefault="008E7A10">
            <w:pPr>
              <w:rPr>
                <w:rFonts w:ascii="宋体"/>
              </w:rPr>
            </w:pPr>
          </w:p>
        </w:tc>
        <w:tc>
          <w:tcPr>
            <w:tcW w:w="28" w:type="pct"/>
            <w:shd w:val="clear" w:color="auto" w:fill="auto"/>
          </w:tcPr>
          <w:p w14:paraId="746F0908" w14:textId="77777777" w:rsidR="008E7A10" w:rsidRDefault="008E7A10">
            <w:pPr>
              <w:rPr>
                <w:rFonts w:ascii="宋体"/>
              </w:rPr>
            </w:pPr>
          </w:p>
        </w:tc>
        <w:tc>
          <w:tcPr>
            <w:tcW w:w="5" w:type="pct"/>
            <w:shd w:val="clear" w:color="auto" w:fill="auto"/>
          </w:tcPr>
          <w:p w14:paraId="746F0909" w14:textId="77777777" w:rsidR="008E7A10" w:rsidRDefault="008E7A10">
            <w:pPr>
              <w:rPr>
                <w:rFonts w:ascii="宋体"/>
              </w:rPr>
            </w:pPr>
          </w:p>
        </w:tc>
        <w:tc>
          <w:tcPr>
            <w:tcW w:w="50" w:type="pct"/>
            <w:shd w:val="clear" w:color="auto" w:fill="auto"/>
          </w:tcPr>
          <w:p w14:paraId="746F090A" w14:textId="77777777" w:rsidR="008E7A10" w:rsidRDefault="008E7A10">
            <w:pPr>
              <w:rPr>
                <w:rFonts w:ascii="宋体"/>
              </w:rPr>
            </w:pPr>
          </w:p>
        </w:tc>
        <w:tc>
          <w:tcPr>
            <w:tcW w:w="454" w:type="pct"/>
            <w:shd w:val="clear" w:color="auto" w:fill="auto"/>
          </w:tcPr>
          <w:p w14:paraId="746F090B" w14:textId="77777777" w:rsidR="008E7A10" w:rsidRDefault="008E7A10">
            <w:pPr>
              <w:rPr>
                <w:rFonts w:ascii="宋体"/>
              </w:rPr>
            </w:pPr>
          </w:p>
        </w:tc>
        <w:tc>
          <w:tcPr>
            <w:tcW w:w="5" w:type="pct"/>
            <w:shd w:val="clear" w:color="auto" w:fill="auto"/>
          </w:tcPr>
          <w:p w14:paraId="746F090C" w14:textId="77777777" w:rsidR="008E7A10" w:rsidRDefault="008E7A10">
            <w:pPr>
              <w:rPr>
                <w:rFonts w:ascii="宋体"/>
              </w:rPr>
            </w:pPr>
          </w:p>
        </w:tc>
        <w:tc>
          <w:tcPr>
            <w:tcW w:w="50" w:type="pct"/>
            <w:shd w:val="clear" w:color="auto" w:fill="auto"/>
          </w:tcPr>
          <w:p w14:paraId="746F090D" w14:textId="77777777" w:rsidR="008E7A10" w:rsidRDefault="008E7A10">
            <w:pPr>
              <w:rPr>
                <w:rFonts w:ascii="宋体"/>
              </w:rPr>
            </w:pPr>
          </w:p>
        </w:tc>
        <w:tc>
          <w:tcPr>
            <w:tcW w:w="454" w:type="pct"/>
            <w:shd w:val="clear" w:color="auto" w:fill="auto"/>
          </w:tcPr>
          <w:p w14:paraId="746F090E" w14:textId="77777777" w:rsidR="008E7A10" w:rsidRDefault="008E7A10">
            <w:pPr>
              <w:rPr>
                <w:rFonts w:ascii="宋体"/>
              </w:rPr>
            </w:pPr>
          </w:p>
        </w:tc>
        <w:tc>
          <w:tcPr>
            <w:tcW w:w="5" w:type="pct"/>
            <w:shd w:val="clear" w:color="auto" w:fill="auto"/>
          </w:tcPr>
          <w:p w14:paraId="746F090F" w14:textId="77777777" w:rsidR="008E7A10" w:rsidRDefault="008E7A10">
            <w:pPr>
              <w:rPr>
                <w:rFonts w:ascii="宋体"/>
              </w:rPr>
            </w:pPr>
          </w:p>
        </w:tc>
        <w:tc>
          <w:tcPr>
            <w:tcW w:w="50" w:type="pct"/>
            <w:shd w:val="clear" w:color="auto" w:fill="auto"/>
          </w:tcPr>
          <w:p w14:paraId="746F0910" w14:textId="77777777" w:rsidR="008E7A10" w:rsidRDefault="008E7A10">
            <w:pPr>
              <w:rPr>
                <w:rFonts w:ascii="宋体"/>
              </w:rPr>
            </w:pPr>
          </w:p>
        </w:tc>
        <w:tc>
          <w:tcPr>
            <w:tcW w:w="1117" w:type="pct"/>
            <w:shd w:val="clear" w:color="auto" w:fill="auto"/>
          </w:tcPr>
          <w:p w14:paraId="746F0911" w14:textId="77777777" w:rsidR="008E7A10" w:rsidRDefault="008E7A10">
            <w:pPr>
              <w:rPr>
                <w:rFonts w:ascii="宋体"/>
              </w:rPr>
            </w:pPr>
          </w:p>
        </w:tc>
        <w:tc>
          <w:tcPr>
            <w:tcW w:w="5" w:type="pct"/>
            <w:shd w:val="clear" w:color="auto" w:fill="auto"/>
          </w:tcPr>
          <w:p w14:paraId="746F0912" w14:textId="77777777" w:rsidR="008E7A10" w:rsidRDefault="008E7A10">
            <w:pPr>
              <w:rPr>
                <w:rFonts w:ascii="宋体"/>
              </w:rPr>
            </w:pPr>
          </w:p>
        </w:tc>
      </w:tr>
      <w:tr w:rsidR="008E7A10" w14:paraId="746F0917" w14:textId="77777777">
        <w:trPr>
          <w:trHeight w:val="420"/>
        </w:trPr>
        <w:tc>
          <w:tcPr>
            <w:tcW w:w="0" w:type="auto"/>
            <w:gridSpan w:val="3"/>
            <w:shd w:val="clear" w:color="auto" w:fill="auto"/>
            <w:tcMar>
              <w:top w:w="0" w:type="dxa"/>
              <w:left w:w="20" w:type="dxa"/>
              <w:bottom w:w="0" w:type="dxa"/>
              <w:right w:w="20" w:type="dxa"/>
            </w:tcMar>
          </w:tcPr>
          <w:p w14:paraId="746F0914" w14:textId="77777777" w:rsidR="008E7A10" w:rsidRDefault="008E7A10">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746F0915" w14:textId="77777777" w:rsidR="008E7A10" w:rsidRDefault="00E047B2">
            <w:pPr>
              <w:jc w:val="center"/>
              <w:textAlignment w:val="bottom"/>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t>GAIN (LOSS) RECOGNIZED</w:t>
            </w:r>
            <w:r>
              <w:rPr>
                <w:rFonts w:ascii="Arial" w:eastAsia="宋体" w:hAnsi="Arial" w:cs="Arial"/>
                <w:color w:val="000000"/>
                <w:sz w:val="17"/>
                <w:szCs w:val="17"/>
              </w:rPr>
              <w:t xml:space="preserve"> </w:t>
            </w:r>
            <w:r>
              <w:rPr>
                <w:rFonts w:ascii="sans-serif" w:eastAsia="sans-serif" w:hAnsi="sans-serif" w:cs="sans-serif"/>
                <w:b/>
                <w:bCs/>
                <w:color w:val="000000"/>
                <w:sz w:val="17"/>
                <w:szCs w:val="17"/>
              </w:rPr>
              <w:br/>
              <w:t>IN INCOME ON DERIVATIVES</w:t>
            </w:r>
          </w:p>
        </w:tc>
        <w:tc>
          <w:tcPr>
            <w:tcW w:w="0" w:type="auto"/>
            <w:gridSpan w:val="3"/>
            <w:vMerge w:val="restart"/>
            <w:shd w:val="clear" w:color="auto" w:fill="auto"/>
            <w:tcMar>
              <w:top w:w="40" w:type="dxa"/>
              <w:left w:w="20" w:type="dxa"/>
              <w:bottom w:w="40" w:type="dxa"/>
              <w:right w:w="20" w:type="dxa"/>
            </w:tcMar>
            <w:vAlign w:val="bottom"/>
          </w:tcPr>
          <w:p w14:paraId="746F0916" w14:textId="77777777" w:rsidR="008E7A10" w:rsidRDefault="00E047B2">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RECOGNIZED IN INCOME</w:t>
            </w:r>
            <w:r>
              <w:rPr>
                <w:rFonts w:ascii="sans-serif" w:eastAsia="sans-serif" w:hAnsi="sans-serif" w:cs="sans-serif"/>
                <w:b/>
                <w:bCs/>
                <w:color w:val="000000"/>
                <w:sz w:val="17"/>
                <w:szCs w:val="17"/>
              </w:rPr>
              <w:br/>
              <w:t>ON DERIVATIVES</w:t>
            </w:r>
          </w:p>
        </w:tc>
      </w:tr>
      <w:tr w:rsidR="008E7A10" w14:paraId="746F091D" w14:textId="77777777">
        <w:trPr>
          <w:trHeight w:val="420"/>
        </w:trPr>
        <w:tc>
          <w:tcPr>
            <w:tcW w:w="0" w:type="auto"/>
            <w:gridSpan w:val="3"/>
            <w:shd w:val="clear" w:color="auto" w:fill="auto"/>
            <w:tcMar>
              <w:top w:w="0" w:type="dxa"/>
              <w:left w:w="20" w:type="dxa"/>
              <w:bottom w:w="0" w:type="dxa"/>
              <w:right w:w="20" w:type="dxa"/>
            </w:tcMar>
          </w:tcPr>
          <w:p w14:paraId="746F0918"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919"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tcBorders>
              <w:top w:val="single" w:sz="8" w:space="0" w:color="E87722"/>
            </w:tcBorders>
            <w:shd w:val="clear" w:color="auto" w:fill="auto"/>
            <w:tcMar>
              <w:top w:w="0" w:type="dxa"/>
              <w:left w:w="20" w:type="dxa"/>
              <w:bottom w:w="0" w:type="dxa"/>
              <w:right w:w="20" w:type="dxa"/>
            </w:tcMar>
          </w:tcPr>
          <w:p w14:paraId="746F091A"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91B"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c>
          <w:tcPr>
            <w:tcW w:w="0" w:type="auto"/>
            <w:gridSpan w:val="3"/>
            <w:vMerge/>
            <w:shd w:val="clear" w:color="auto" w:fill="auto"/>
            <w:tcMar>
              <w:top w:w="40" w:type="dxa"/>
              <w:left w:w="20" w:type="dxa"/>
              <w:bottom w:w="40" w:type="dxa"/>
              <w:right w:w="20" w:type="dxa"/>
            </w:tcMar>
            <w:vAlign w:val="bottom"/>
          </w:tcPr>
          <w:p w14:paraId="746F091C" w14:textId="77777777" w:rsidR="008E7A10" w:rsidRDefault="008E7A10">
            <w:pPr>
              <w:jc w:val="right"/>
              <w:rPr>
                <w:rFonts w:ascii="宋体"/>
              </w:rPr>
            </w:pPr>
          </w:p>
        </w:tc>
      </w:tr>
      <w:tr w:rsidR="008E7A10" w14:paraId="746F0925" w14:textId="77777777">
        <w:trPr>
          <w:trHeight w:val="240"/>
        </w:trPr>
        <w:tc>
          <w:tcPr>
            <w:tcW w:w="0" w:type="auto"/>
            <w:gridSpan w:val="3"/>
            <w:shd w:val="clear" w:color="auto" w:fill="auto"/>
            <w:tcMar>
              <w:top w:w="40" w:type="dxa"/>
              <w:left w:w="20" w:type="dxa"/>
              <w:bottom w:w="40" w:type="dxa"/>
              <w:right w:w="20" w:type="dxa"/>
            </w:tcMar>
            <w:vAlign w:val="bottom"/>
          </w:tcPr>
          <w:p w14:paraId="746F091E"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91F"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920"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tcPr>
          <w:p w14:paraId="746F0921"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922"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923"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vMerge/>
            <w:shd w:val="clear" w:color="auto" w:fill="auto"/>
            <w:tcMar>
              <w:top w:w="40" w:type="dxa"/>
              <w:left w:w="20" w:type="dxa"/>
              <w:bottom w:w="40" w:type="dxa"/>
              <w:right w:w="20" w:type="dxa"/>
            </w:tcMar>
            <w:vAlign w:val="bottom"/>
          </w:tcPr>
          <w:p w14:paraId="746F0924" w14:textId="77777777" w:rsidR="008E7A10" w:rsidRDefault="008E7A10">
            <w:pPr>
              <w:jc w:val="right"/>
              <w:rPr>
                <w:rFonts w:ascii="宋体"/>
              </w:rPr>
            </w:pPr>
          </w:p>
        </w:tc>
      </w:tr>
      <w:tr w:rsidR="008E7A10" w14:paraId="746F092D" w14:textId="77777777">
        <w:trPr>
          <w:hidden/>
        </w:trPr>
        <w:tc>
          <w:tcPr>
            <w:tcW w:w="0" w:type="auto"/>
            <w:gridSpan w:val="3"/>
            <w:shd w:val="clear" w:color="auto" w:fill="auto"/>
          </w:tcPr>
          <w:p w14:paraId="746F0926" w14:textId="77777777" w:rsidR="008E7A10" w:rsidRDefault="008E7A10">
            <w:pPr>
              <w:rPr>
                <w:rFonts w:ascii="宋体"/>
                <w:vanish/>
              </w:rPr>
            </w:pPr>
          </w:p>
        </w:tc>
        <w:tc>
          <w:tcPr>
            <w:tcW w:w="0" w:type="auto"/>
            <w:gridSpan w:val="3"/>
            <w:shd w:val="clear" w:color="auto" w:fill="auto"/>
          </w:tcPr>
          <w:p w14:paraId="746F0927" w14:textId="77777777" w:rsidR="008E7A10" w:rsidRDefault="008E7A10">
            <w:pPr>
              <w:rPr>
                <w:rFonts w:ascii="宋体"/>
                <w:vanish/>
              </w:rPr>
            </w:pPr>
          </w:p>
        </w:tc>
        <w:tc>
          <w:tcPr>
            <w:tcW w:w="0" w:type="auto"/>
            <w:gridSpan w:val="3"/>
            <w:shd w:val="clear" w:color="auto" w:fill="auto"/>
          </w:tcPr>
          <w:p w14:paraId="746F0928" w14:textId="77777777" w:rsidR="008E7A10" w:rsidRDefault="008E7A10">
            <w:pPr>
              <w:rPr>
                <w:rFonts w:ascii="宋体"/>
                <w:vanish/>
              </w:rPr>
            </w:pPr>
          </w:p>
        </w:tc>
        <w:tc>
          <w:tcPr>
            <w:tcW w:w="0" w:type="auto"/>
            <w:gridSpan w:val="3"/>
            <w:shd w:val="clear" w:color="auto" w:fill="auto"/>
          </w:tcPr>
          <w:p w14:paraId="746F0929" w14:textId="77777777" w:rsidR="008E7A10" w:rsidRDefault="008E7A10">
            <w:pPr>
              <w:rPr>
                <w:rFonts w:ascii="宋体"/>
                <w:vanish/>
              </w:rPr>
            </w:pPr>
          </w:p>
        </w:tc>
        <w:tc>
          <w:tcPr>
            <w:tcW w:w="0" w:type="auto"/>
            <w:gridSpan w:val="3"/>
            <w:shd w:val="clear" w:color="auto" w:fill="auto"/>
          </w:tcPr>
          <w:p w14:paraId="746F092A" w14:textId="77777777" w:rsidR="008E7A10" w:rsidRDefault="008E7A10">
            <w:pPr>
              <w:rPr>
                <w:rFonts w:ascii="宋体"/>
                <w:vanish/>
              </w:rPr>
            </w:pPr>
          </w:p>
        </w:tc>
        <w:tc>
          <w:tcPr>
            <w:tcW w:w="0" w:type="auto"/>
            <w:gridSpan w:val="3"/>
            <w:shd w:val="clear" w:color="auto" w:fill="auto"/>
          </w:tcPr>
          <w:p w14:paraId="746F092B" w14:textId="77777777" w:rsidR="008E7A10" w:rsidRDefault="008E7A10">
            <w:pPr>
              <w:rPr>
                <w:rFonts w:ascii="宋体"/>
                <w:vanish/>
              </w:rPr>
            </w:pPr>
          </w:p>
        </w:tc>
        <w:tc>
          <w:tcPr>
            <w:tcW w:w="0" w:type="auto"/>
            <w:gridSpan w:val="3"/>
            <w:shd w:val="clear" w:color="auto" w:fill="auto"/>
          </w:tcPr>
          <w:p w14:paraId="746F092C" w14:textId="77777777" w:rsidR="008E7A10" w:rsidRDefault="008E7A10">
            <w:pPr>
              <w:rPr>
                <w:rFonts w:ascii="宋体"/>
                <w:vanish/>
              </w:rPr>
            </w:pPr>
          </w:p>
        </w:tc>
      </w:tr>
      <w:tr w:rsidR="008E7A10" w14:paraId="746F0935" w14:textId="77777777">
        <w:trPr>
          <w:hidden/>
        </w:trPr>
        <w:tc>
          <w:tcPr>
            <w:tcW w:w="0" w:type="auto"/>
            <w:gridSpan w:val="3"/>
            <w:shd w:val="clear" w:color="auto" w:fill="auto"/>
          </w:tcPr>
          <w:p w14:paraId="746F092E" w14:textId="77777777" w:rsidR="008E7A10" w:rsidRDefault="008E7A10">
            <w:pPr>
              <w:rPr>
                <w:rFonts w:ascii="宋体"/>
                <w:vanish/>
              </w:rPr>
            </w:pPr>
          </w:p>
        </w:tc>
        <w:tc>
          <w:tcPr>
            <w:tcW w:w="0" w:type="auto"/>
            <w:gridSpan w:val="3"/>
            <w:shd w:val="clear" w:color="auto" w:fill="auto"/>
          </w:tcPr>
          <w:p w14:paraId="746F092F" w14:textId="77777777" w:rsidR="008E7A10" w:rsidRDefault="008E7A10">
            <w:pPr>
              <w:rPr>
                <w:rFonts w:ascii="宋体"/>
                <w:vanish/>
              </w:rPr>
            </w:pPr>
          </w:p>
        </w:tc>
        <w:tc>
          <w:tcPr>
            <w:tcW w:w="0" w:type="auto"/>
            <w:gridSpan w:val="3"/>
            <w:shd w:val="clear" w:color="auto" w:fill="auto"/>
          </w:tcPr>
          <w:p w14:paraId="746F0930" w14:textId="77777777" w:rsidR="008E7A10" w:rsidRDefault="008E7A10">
            <w:pPr>
              <w:rPr>
                <w:rFonts w:ascii="宋体"/>
                <w:vanish/>
              </w:rPr>
            </w:pPr>
          </w:p>
        </w:tc>
        <w:tc>
          <w:tcPr>
            <w:tcW w:w="0" w:type="auto"/>
            <w:gridSpan w:val="3"/>
            <w:shd w:val="clear" w:color="auto" w:fill="auto"/>
          </w:tcPr>
          <w:p w14:paraId="746F0931" w14:textId="77777777" w:rsidR="008E7A10" w:rsidRDefault="008E7A10">
            <w:pPr>
              <w:rPr>
                <w:rFonts w:ascii="宋体"/>
                <w:vanish/>
              </w:rPr>
            </w:pPr>
          </w:p>
        </w:tc>
        <w:tc>
          <w:tcPr>
            <w:tcW w:w="0" w:type="auto"/>
            <w:gridSpan w:val="3"/>
            <w:shd w:val="clear" w:color="auto" w:fill="auto"/>
          </w:tcPr>
          <w:p w14:paraId="746F0932" w14:textId="77777777" w:rsidR="008E7A10" w:rsidRDefault="008E7A10">
            <w:pPr>
              <w:rPr>
                <w:rFonts w:ascii="宋体"/>
                <w:vanish/>
              </w:rPr>
            </w:pPr>
          </w:p>
        </w:tc>
        <w:tc>
          <w:tcPr>
            <w:tcW w:w="0" w:type="auto"/>
            <w:gridSpan w:val="3"/>
            <w:shd w:val="clear" w:color="auto" w:fill="auto"/>
          </w:tcPr>
          <w:p w14:paraId="746F0933" w14:textId="77777777" w:rsidR="008E7A10" w:rsidRDefault="008E7A10">
            <w:pPr>
              <w:rPr>
                <w:rFonts w:ascii="宋体"/>
                <w:vanish/>
              </w:rPr>
            </w:pPr>
          </w:p>
        </w:tc>
        <w:tc>
          <w:tcPr>
            <w:tcW w:w="0" w:type="auto"/>
            <w:gridSpan w:val="3"/>
            <w:shd w:val="clear" w:color="auto" w:fill="auto"/>
          </w:tcPr>
          <w:p w14:paraId="746F0934" w14:textId="77777777" w:rsidR="008E7A10" w:rsidRDefault="008E7A10">
            <w:pPr>
              <w:rPr>
                <w:rFonts w:ascii="宋体"/>
                <w:vanish/>
              </w:rPr>
            </w:pPr>
          </w:p>
        </w:tc>
      </w:tr>
      <w:tr w:rsidR="008E7A10" w14:paraId="746F093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936" w14:textId="77777777" w:rsidR="008E7A10" w:rsidRDefault="00E047B2">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FFF1E7"/>
            <w:tcMar>
              <w:top w:w="0" w:type="dxa"/>
              <w:left w:w="20" w:type="dxa"/>
              <w:bottom w:w="0" w:type="dxa"/>
              <w:right w:w="20" w:type="dxa"/>
            </w:tcMar>
          </w:tcPr>
          <w:p w14:paraId="746F0937"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93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939"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93A"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93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93C" w14:textId="77777777" w:rsidR="008E7A10" w:rsidRDefault="008E7A10">
            <w:pPr>
              <w:rPr>
                <w:rFonts w:ascii="宋体"/>
              </w:rPr>
            </w:pPr>
          </w:p>
        </w:tc>
      </w:tr>
      <w:tr w:rsidR="008E7A10" w14:paraId="746F094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93E"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93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940" w14:textId="77777777" w:rsidR="008E7A10" w:rsidRDefault="00E047B2">
            <w:pPr>
              <w:jc w:val="right"/>
              <w:textAlignment w:val="bottom"/>
            </w:pPr>
            <w:r>
              <w:rPr>
                <w:rFonts w:ascii="Arial" w:eastAsia="宋体" w:hAnsi="Arial" w:cs="Arial"/>
                <w:color w:val="000000"/>
                <w:sz w:val="17"/>
                <w:szCs w:val="17"/>
              </w:rPr>
              <w:t>(49)</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41"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94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943" w14:textId="77777777" w:rsidR="008E7A10" w:rsidRDefault="00E047B2">
            <w:pPr>
              <w:jc w:val="right"/>
              <w:textAlignment w:val="bottom"/>
            </w:pPr>
            <w:r>
              <w:rPr>
                <w:rFonts w:ascii="Arial" w:eastAsia="宋体" w:hAnsi="Arial" w:cs="Arial"/>
                <w:color w:val="000000"/>
                <w:sz w:val="17"/>
                <w:szCs w:val="17"/>
              </w:rPr>
              <w:t>(21)</w:t>
            </w:r>
          </w:p>
        </w:tc>
        <w:tc>
          <w:tcPr>
            <w:tcW w:w="0" w:type="auto"/>
            <w:tcBorders>
              <w:top w:val="single" w:sz="8" w:space="0" w:color="808080"/>
            </w:tcBorders>
            <w:shd w:val="clear" w:color="auto" w:fill="auto"/>
            <w:tcMar>
              <w:top w:w="40" w:type="dxa"/>
              <w:left w:w="0" w:type="dxa"/>
              <w:bottom w:w="40" w:type="dxa"/>
              <w:right w:w="20" w:type="dxa"/>
            </w:tcMar>
            <w:vAlign w:val="bottom"/>
          </w:tcPr>
          <w:p w14:paraId="746F0944"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945"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94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947" w14:textId="77777777" w:rsidR="008E7A10" w:rsidRDefault="00E047B2">
            <w:pPr>
              <w:jc w:val="right"/>
              <w:textAlignment w:val="bottom"/>
            </w:pPr>
            <w:r>
              <w:rPr>
                <w:rFonts w:ascii="Arial" w:eastAsia="宋体" w:hAnsi="Arial" w:cs="Arial"/>
                <w:color w:val="000000"/>
                <w:sz w:val="17"/>
                <w:szCs w:val="17"/>
              </w:rPr>
              <w:t>(87)</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48"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94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94A" w14:textId="77777777" w:rsidR="008E7A10" w:rsidRDefault="00E047B2">
            <w:pPr>
              <w:jc w:val="right"/>
              <w:textAlignment w:val="bottom"/>
            </w:pPr>
            <w:r>
              <w:rPr>
                <w:rFonts w:ascii="Arial" w:eastAsia="宋体" w:hAnsi="Arial" w:cs="Arial"/>
                <w:color w:val="000000"/>
                <w:sz w:val="17"/>
                <w:szCs w:val="17"/>
              </w:rPr>
              <w:t>(21)</w:t>
            </w:r>
          </w:p>
        </w:tc>
        <w:tc>
          <w:tcPr>
            <w:tcW w:w="0" w:type="auto"/>
            <w:tcBorders>
              <w:top w:val="single" w:sz="8" w:space="0" w:color="808080"/>
            </w:tcBorders>
            <w:shd w:val="clear" w:color="auto" w:fill="auto"/>
            <w:tcMar>
              <w:top w:w="40" w:type="dxa"/>
              <w:left w:w="0" w:type="dxa"/>
              <w:bottom w:w="40" w:type="dxa"/>
              <w:right w:w="20" w:type="dxa"/>
            </w:tcMar>
            <w:vAlign w:val="bottom"/>
          </w:tcPr>
          <w:p w14:paraId="746F094B" w14:textId="77777777" w:rsidR="008E7A10" w:rsidRDefault="008E7A10">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94C" w14:textId="77777777" w:rsidR="008E7A10" w:rsidRDefault="00E047B2">
            <w:pPr>
              <w:jc w:val="right"/>
              <w:textAlignment w:val="bottom"/>
            </w:pPr>
            <w:r>
              <w:rPr>
                <w:rFonts w:ascii="Arial" w:eastAsia="宋体" w:hAnsi="Arial" w:cs="Arial"/>
                <w:color w:val="000000"/>
                <w:sz w:val="17"/>
                <w:szCs w:val="17"/>
              </w:rPr>
              <w:t>Other (income) expense, net</w:t>
            </w:r>
          </w:p>
        </w:tc>
      </w:tr>
      <w:tr w:rsidR="008E7A10" w14:paraId="746F0959" w14:textId="77777777">
        <w:tc>
          <w:tcPr>
            <w:tcW w:w="0" w:type="auto"/>
            <w:gridSpan w:val="3"/>
            <w:tcBorders>
              <w:top w:val="single" w:sz="8" w:space="0" w:color="808080"/>
              <w:bottom w:val="single" w:sz="8" w:space="0" w:color="E87722"/>
            </w:tcBorders>
            <w:shd w:val="clear" w:color="auto" w:fill="auto"/>
            <w:tcMar>
              <w:top w:w="40" w:type="dxa"/>
              <w:left w:w="155" w:type="dxa"/>
              <w:bottom w:w="40" w:type="dxa"/>
              <w:right w:w="20" w:type="dxa"/>
            </w:tcMar>
            <w:vAlign w:val="bottom"/>
          </w:tcPr>
          <w:p w14:paraId="746F094E" w14:textId="77777777" w:rsidR="008E7A10" w:rsidRDefault="00E047B2">
            <w:pPr>
              <w:textAlignment w:val="bottom"/>
            </w:pPr>
            <w:r>
              <w:rPr>
                <w:rFonts w:ascii="Arial" w:eastAsia="宋体" w:hAnsi="Arial" w:cs="Arial"/>
                <w:color w:val="000000"/>
                <w:sz w:val="17"/>
                <w:szCs w:val="17"/>
              </w:rPr>
              <w:t>Embedded derivatives</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094F" w14:textId="77777777" w:rsidR="008E7A10" w:rsidRDefault="00E047B2">
            <w:pPr>
              <w:jc w:val="right"/>
              <w:textAlignment w:val="bottom"/>
            </w:pPr>
            <w:r>
              <w:rPr>
                <w:rFonts w:ascii="Arial" w:eastAsia="宋体" w:hAnsi="Arial" w:cs="Arial"/>
                <w:color w:val="000000"/>
                <w:sz w:val="17"/>
                <w:szCs w:val="17"/>
              </w:rPr>
              <w:t>(9)</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0950"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0951" w14:textId="77777777" w:rsidR="008E7A10" w:rsidRDefault="00E047B2">
            <w:pPr>
              <w:jc w:val="right"/>
              <w:textAlignment w:val="bottom"/>
            </w:pPr>
            <w:r>
              <w:rPr>
                <w:rFonts w:ascii="Arial" w:eastAsia="宋体" w:hAnsi="Arial" w:cs="Arial"/>
                <w:color w:val="000000"/>
                <w:sz w:val="17"/>
                <w:szCs w:val="17"/>
              </w:rPr>
              <w:t>(4)</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0952" w14:textId="77777777" w:rsidR="008E7A10" w:rsidRDefault="008E7A10">
            <w:pPr>
              <w:jc w:val="right"/>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F0953" w14:textId="77777777" w:rsidR="008E7A10" w:rsidRDefault="008E7A10">
            <w:pPr>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0954" w14:textId="77777777" w:rsidR="008E7A10" w:rsidRDefault="00E047B2">
            <w:pPr>
              <w:jc w:val="right"/>
              <w:textAlignment w:val="bottom"/>
            </w:pPr>
            <w:r>
              <w:rPr>
                <w:rFonts w:ascii="Arial" w:eastAsia="宋体" w:hAnsi="Arial" w:cs="Arial"/>
                <w:color w:val="000000"/>
                <w:sz w:val="17"/>
                <w:szCs w:val="17"/>
              </w:rPr>
              <w:t>(13)</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0955"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0956" w14:textId="77777777" w:rsidR="008E7A10" w:rsidRDefault="00E047B2">
            <w:pPr>
              <w:jc w:val="right"/>
              <w:textAlignment w:val="bottom"/>
            </w:pPr>
            <w:r>
              <w:rPr>
                <w:rFonts w:ascii="Arial" w:eastAsia="宋体" w:hAnsi="Arial" w:cs="Arial"/>
                <w:color w:val="000000"/>
                <w:sz w:val="17"/>
                <w:szCs w:val="17"/>
              </w:rPr>
              <w:t>(5)</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0957" w14:textId="77777777" w:rsidR="008E7A10" w:rsidRDefault="008E7A10">
            <w:pPr>
              <w:jc w:val="right"/>
              <w:rPr>
                <w:rFonts w:ascii="宋体"/>
              </w:rPr>
            </w:pP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F0958" w14:textId="77777777" w:rsidR="008E7A10" w:rsidRDefault="00E047B2">
            <w:pPr>
              <w:jc w:val="right"/>
              <w:textAlignment w:val="bottom"/>
            </w:pPr>
            <w:r>
              <w:rPr>
                <w:rFonts w:ascii="Arial" w:eastAsia="宋体" w:hAnsi="Arial" w:cs="Arial"/>
                <w:color w:val="000000"/>
                <w:sz w:val="17"/>
                <w:szCs w:val="17"/>
              </w:rPr>
              <w:t>Other (income) expense, net</w:t>
            </w:r>
          </w:p>
        </w:tc>
      </w:tr>
    </w:tbl>
    <w:p w14:paraId="746F095A" w14:textId="77777777" w:rsidR="008E7A10" w:rsidRDefault="00E047B2">
      <w:pPr>
        <w:spacing w:before="240" w:after="120"/>
      </w:pPr>
      <w:r>
        <w:rPr>
          <w:rFonts w:ascii="sans-serif" w:eastAsia="sans-serif" w:hAnsi="sans-serif" w:cs="sans-serif"/>
          <w:b/>
          <w:bCs/>
          <w:color w:val="000000"/>
          <w:sz w:val="28"/>
          <w:szCs w:val="28"/>
        </w:rPr>
        <w:t>CASH FLOW HEDGES</w:t>
      </w:r>
    </w:p>
    <w:p w14:paraId="746F095B" w14:textId="77777777" w:rsidR="008E7A10" w:rsidRDefault="00E047B2">
      <w:pPr>
        <w:spacing w:before="120" w:after="120"/>
      </w:pPr>
      <w:r>
        <w:rPr>
          <w:rFonts w:ascii="Arial" w:eastAsia="宋体" w:hAnsi="Arial" w:cs="Arial"/>
          <w:color w:val="000000"/>
          <w:sz w:val="17"/>
          <w:szCs w:val="17"/>
        </w:rPr>
        <w:t>All changes in fair value of derivatives designated as cash flow hedges are recorded in Accumulated other comprehensive income (loss) until Net income is affected by the variability of cash flows of the hedged transaction. Effective hedge results are class</w:t>
      </w:r>
      <w:r>
        <w:rPr>
          <w:rFonts w:ascii="Arial" w:eastAsia="宋体" w:hAnsi="Arial" w:cs="Arial"/>
          <w:color w:val="000000"/>
          <w:sz w:val="17"/>
          <w:szCs w:val="17"/>
        </w:rPr>
        <w:t>ified in the Unaudited Condensed Consolidated Statements of Income in the same manner as the underlying exposure. Derivative instruments designated as cash flow hedges must be discontinued when it is no longer probable the forecasted hedged transaction wil</w:t>
      </w:r>
      <w:r>
        <w:rPr>
          <w:rFonts w:ascii="Arial" w:eastAsia="宋体" w:hAnsi="Arial" w:cs="Arial"/>
          <w:color w:val="000000"/>
          <w:sz w:val="17"/>
          <w:szCs w:val="17"/>
        </w:rPr>
        <w:t xml:space="preserve">l occur in the initially identified time period. The gains and losses associated with discontinued derivative instruments in Accumulated other comprehensive income (loss) will be recognized immediately in Other (income) expense, net, if it is probable the </w:t>
      </w:r>
      <w:r>
        <w:rPr>
          <w:rFonts w:ascii="Arial" w:eastAsia="宋体" w:hAnsi="Arial" w:cs="Arial"/>
          <w:color w:val="000000"/>
          <w:sz w:val="17"/>
          <w:szCs w:val="17"/>
        </w:rPr>
        <w:t>forecasted hedged transaction will not occur by the end of the initially identified time period or within an additional two-month period thereafter. In rare circumstances, the additional period of time may exceed two months due to extenuating circumstances</w:t>
      </w:r>
      <w:r>
        <w:rPr>
          <w:rFonts w:ascii="Arial" w:eastAsia="宋体" w:hAnsi="Arial" w:cs="Arial"/>
          <w:color w:val="000000"/>
          <w:sz w:val="17"/>
          <w:szCs w:val="17"/>
        </w:rPr>
        <w:t xml:space="preserve"> related to the nature of the forecasted transaction that are outside the control or influence of the Company. In all situations in which hedge accounting is discontinued and the derivative remains outstanding, the Company accounts for the derivative as an</w:t>
      </w:r>
      <w:r>
        <w:rPr>
          <w:rFonts w:ascii="Arial" w:eastAsia="宋体" w:hAnsi="Arial" w:cs="Arial"/>
          <w:color w:val="000000"/>
          <w:sz w:val="17"/>
          <w:szCs w:val="17"/>
        </w:rPr>
        <w:t xml:space="preserve"> undesignated instrument as discussed below. </w:t>
      </w:r>
    </w:p>
    <w:p w14:paraId="746F095C" w14:textId="77777777" w:rsidR="008E7A10" w:rsidRDefault="00E047B2">
      <w:pPr>
        <w:spacing w:before="120" w:after="120"/>
      </w:pPr>
      <w:r>
        <w:rPr>
          <w:rFonts w:ascii="Arial" w:eastAsia="宋体" w:hAnsi="Arial" w:cs="Arial"/>
          <w:color w:val="000000"/>
          <w:sz w:val="17"/>
          <w:szCs w:val="17"/>
        </w:rPr>
        <w:t>The total notional amount of outstanding foreign currency derivatives designated as cash flow hedges was approximately $13.9 billion as of November 30, 2020. Approximately $233 million of deferred net losses (n</w:t>
      </w:r>
      <w:r>
        <w:rPr>
          <w:rFonts w:ascii="Arial" w:eastAsia="宋体" w:hAnsi="Arial" w:cs="Arial"/>
          <w:color w:val="000000"/>
          <w:sz w:val="17"/>
          <w:szCs w:val="17"/>
        </w:rPr>
        <w:t>et of tax) on both outstanding and matured derivatives in Accumulated other comprehensive income (loss) as of November 30, 2020, are expected to be reclassified to Net income during the next 12 months concurrent with the underlying hedged transactions also</w:t>
      </w:r>
      <w:r>
        <w:rPr>
          <w:rFonts w:ascii="Arial" w:eastAsia="宋体" w:hAnsi="Arial" w:cs="Arial"/>
          <w:color w:val="000000"/>
          <w:sz w:val="17"/>
          <w:szCs w:val="17"/>
        </w:rPr>
        <w:t xml:space="preserve"> being recorded in Net income. Actual amounts ultimately reclassified to Net income are dependent on the exchange rates in effect when derivative contracts currently outstanding mature. As of November 30, 2020, the maximum term over which the Company hedge</w:t>
      </w:r>
      <w:r>
        <w:rPr>
          <w:rFonts w:ascii="Arial" w:eastAsia="宋体" w:hAnsi="Arial" w:cs="Arial"/>
          <w:color w:val="000000"/>
          <w:sz w:val="17"/>
          <w:szCs w:val="17"/>
        </w:rPr>
        <w:t xml:space="preserve">s exposures to the variability of cash flows for its forecasted transactions was 24 months. </w:t>
      </w:r>
    </w:p>
    <w:p w14:paraId="746F095D" w14:textId="77777777" w:rsidR="008E7A10" w:rsidRDefault="00E047B2">
      <w:pPr>
        <w:spacing w:before="120" w:after="120"/>
        <w:jc w:val="right"/>
      </w:pPr>
      <w:r>
        <w:rPr>
          <w:rFonts w:ascii="Arial" w:eastAsia="宋体" w:hAnsi="Arial" w:cs="Arial"/>
          <w:color w:val="E87722"/>
          <w:sz w:val="17"/>
          <w:szCs w:val="17"/>
        </w:rPr>
        <w:t>15</w:t>
      </w:r>
    </w:p>
    <w:p w14:paraId="746F095E" w14:textId="77777777" w:rsidR="008E7A10" w:rsidRDefault="00E047B2">
      <w:r>
        <w:pict w14:anchorId="746F2017">
          <v:rect id="_x0000_i1041" style="width:415.3pt;height:1.5pt" o:hralign="center" o:hrstd="t" o:hr="t" fillcolor="#a0a0a0" stroked="f"/>
        </w:pict>
      </w:r>
    </w:p>
    <w:p w14:paraId="746F095F" w14:textId="77777777" w:rsidR="008E7A10" w:rsidRDefault="008E7A10"/>
    <w:p w14:paraId="746F0960" w14:textId="77777777" w:rsidR="008E7A10" w:rsidRDefault="00E047B2">
      <w:hyperlink r:id="rId86" w:anchor="i31a624617c6c41b38f8f700fa0df5bde_7" w:history="1">
        <w:r>
          <w:rPr>
            <w:rStyle w:val="a5"/>
            <w:rFonts w:ascii="sans-serif" w:eastAsia="sans-serif" w:hAnsi="sans-serif" w:cs="sans-serif"/>
            <w:sz w:val="17"/>
            <w:szCs w:val="17"/>
          </w:rPr>
          <w:t>Table of</w:t>
        </w:r>
        <w:r>
          <w:rPr>
            <w:rStyle w:val="a5"/>
            <w:rFonts w:ascii="sans-serif" w:eastAsia="sans-serif" w:hAnsi="sans-serif" w:cs="sans-serif"/>
            <w:sz w:val="17"/>
            <w:szCs w:val="17"/>
          </w:rPr>
          <w:t xml:space="preserve"> Contents</w:t>
        </w:r>
      </w:hyperlink>
    </w:p>
    <w:p w14:paraId="746F0961" w14:textId="77777777" w:rsidR="008E7A10" w:rsidRDefault="008E7A10"/>
    <w:p w14:paraId="746F0962" w14:textId="77777777" w:rsidR="008E7A10" w:rsidRDefault="00E047B2">
      <w:pPr>
        <w:spacing w:before="240" w:after="120"/>
      </w:pPr>
      <w:r>
        <w:rPr>
          <w:rFonts w:ascii="sans-serif" w:eastAsia="sans-serif" w:hAnsi="sans-serif" w:cs="sans-serif"/>
          <w:b/>
          <w:bCs/>
          <w:color w:val="000000"/>
          <w:sz w:val="28"/>
          <w:szCs w:val="28"/>
        </w:rPr>
        <w:t>UNDESIGNATED DERIVATIVE INSTRUMENTS</w:t>
      </w:r>
    </w:p>
    <w:p w14:paraId="746F0963" w14:textId="77777777" w:rsidR="008E7A10" w:rsidRDefault="00E047B2">
      <w:pPr>
        <w:spacing w:before="120" w:after="120"/>
      </w:pPr>
      <w:r>
        <w:rPr>
          <w:rFonts w:ascii="Arial" w:eastAsia="宋体" w:hAnsi="Arial" w:cs="Arial"/>
          <w:color w:val="000000"/>
          <w:sz w:val="17"/>
          <w:szCs w:val="17"/>
        </w:rPr>
        <w:t xml:space="preserve">The Company may elect to enter into foreign exchange forwards to mitigate the change in fair value of specific assets and liabilities on the Unaudited Condensed Consolidated Balance Sheets and/or the </w:t>
      </w:r>
      <w:r>
        <w:rPr>
          <w:rFonts w:ascii="Arial" w:eastAsia="宋体" w:hAnsi="Arial" w:cs="Arial"/>
          <w:color w:val="000000"/>
          <w:sz w:val="17"/>
          <w:szCs w:val="17"/>
        </w:rPr>
        <w:t>embedded derivative contracts. These undesignated instruments are recorded at fair value as a derivative asset or liability on the Unaudited Condensed Consolidated Balance Sheets with their corresponding change in fair value recognized in Other (income) ex</w:t>
      </w:r>
      <w:r>
        <w:rPr>
          <w:rFonts w:ascii="Arial" w:eastAsia="宋体" w:hAnsi="Arial" w:cs="Arial"/>
          <w:color w:val="000000"/>
          <w:sz w:val="17"/>
          <w:szCs w:val="17"/>
        </w:rPr>
        <w:t>pense, net, together with the re-measurement gain or loss from the hedged balance sheet position and/or embedded derivative contract. The total notional amount of outstanding undesignated derivative instruments was $4.4 billion as of November 30, 2020.</w:t>
      </w:r>
    </w:p>
    <w:p w14:paraId="746F0964" w14:textId="77777777" w:rsidR="008E7A10" w:rsidRDefault="00E047B2">
      <w:pPr>
        <w:spacing w:before="240" w:after="120"/>
      </w:pPr>
      <w:r>
        <w:rPr>
          <w:rFonts w:ascii="sans-serif" w:eastAsia="sans-serif" w:hAnsi="sans-serif" w:cs="sans-serif"/>
          <w:b/>
          <w:bCs/>
          <w:color w:val="000000"/>
          <w:sz w:val="28"/>
          <w:szCs w:val="28"/>
        </w:rPr>
        <w:t>EMB</w:t>
      </w:r>
      <w:r>
        <w:rPr>
          <w:rFonts w:ascii="sans-serif" w:eastAsia="sans-serif" w:hAnsi="sans-serif" w:cs="sans-serif"/>
          <w:b/>
          <w:bCs/>
          <w:color w:val="000000"/>
          <w:sz w:val="28"/>
          <w:szCs w:val="28"/>
        </w:rPr>
        <w:t>EDDED DERIVATIVES</w:t>
      </w:r>
    </w:p>
    <w:p w14:paraId="746F0965" w14:textId="77777777" w:rsidR="008E7A10" w:rsidRDefault="00E047B2">
      <w:pPr>
        <w:spacing w:before="120" w:after="120"/>
      </w:pPr>
      <w:r>
        <w:rPr>
          <w:rFonts w:ascii="Arial" w:eastAsia="宋体" w:hAnsi="Arial" w:cs="Arial"/>
          <w:color w:val="000000"/>
          <w:sz w:val="17"/>
          <w:szCs w:val="17"/>
        </w:rPr>
        <w:t>Embedded derivative contracts are treated as foreign currency forward contracts that are bifurcated from the related contract and recorded at fair value as a derivative asset or liability on the Unaudited Condensed Consolidated Balance Sh</w:t>
      </w:r>
      <w:r>
        <w:rPr>
          <w:rFonts w:ascii="Arial" w:eastAsia="宋体" w:hAnsi="Arial" w:cs="Arial"/>
          <w:color w:val="000000"/>
          <w:sz w:val="17"/>
          <w:szCs w:val="17"/>
        </w:rPr>
        <w:t xml:space="preserve">eets with their corresponding change in fair value recognized in Other (income) expense, net, through the date the foreign currency fluctuations cease to exist. </w:t>
      </w:r>
    </w:p>
    <w:p w14:paraId="746F0966" w14:textId="77777777" w:rsidR="008E7A10" w:rsidRDefault="00E047B2">
      <w:pPr>
        <w:spacing w:before="120" w:after="120"/>
      </w:pPr>
      <w:r>
        <w:rPr>
          <w:rFonts w:ascii="Arial" w:eastAsia="宋体" w:hAnsi="Arial" w:cs="Arial"/>
          <w:color w:val="000000"/>
          <w:sz w:val="17"/>
          <w:szCs w:val="17"/>
        </w:rPr>
        <w:t>As of November 30, 2020, the total notional amount of embedded derivatives outstanding was app</w:t>
      </w:r>
      <w:r>
        <w:rPr>
          <w:rFonts w:ascii="Arial" w:eastAsia="宋体" w:hAnsi="Arial" w:cs="Arial"/>
          <w:color w:val="000000"/>
          <w:sz w:val="17"/>
          <w:szCs w:val="17"/>
        </w:rPr>
        <w:t>roximately $410 million.</w:t>
      </w:r>
    </w:p>
    <w:p w14:paraId="746F0967" w14:textId="77777777" w:rsidR="008E7A10" w:rsidRDefault="00E047B2">
      <w:pPr>
        <w:spacing w:before="240" w:after="120"/>
      </w:pPr>
      <w:r>
        <w:rPr>
          <w:rFonts w:ascii="sans-serif" w:eastAsia="sans-serif" w:hAnsi="sans-serif" w:cs="sans-serif"/>
          <w:b/>
          <w:bCs/>
          <w:color w:val="000000"/>
          <w:sz w:val="28"/>
          <w:szCs w:val="28"/>
        </w:rPr>
        <w:t>CREDIT RISK</w:t>
      </w:r>
    </w:p>
    <w:p w14:paraId="746F0968" w14:textId="77777777" w:rsidR="008E7A10" w:rsidRDefault="00E047B2">
      <w:pPr>
        <w:spacing w:before="120" w:after="120"/>
      </w:pPr>
      <w:r>
        <w:rPr>
          <w:rFonts w:ascii="Arial" w:eastAsia="宋体" w:hAnsi="Arial" w:cs="Arial"/>
          <w:color w:val="000000"/>
          <w:sz w:val="17"/>
          <w:szCs w:val="17"/>
        </w:rPr>
        <w:t>The Company's bilateral credit-related contingent features generally require the owing entity, either the Company or the derivative counterparty, to post collateral for the portion of the fair value in excess of $50 mil</w:t>
      </w:r>
      <w:r>
        <w:rPr>
          <w:rFonts w:ascii="Arial" w:eastAsia="宋体" w:hAnsi="Arial" w:cs="Arial"/>
          <w:color w:val="000000"/>
          <w:sz w:val="17"/>
          <w:szCs w:val="17"/>
        </w:rPr>
        <w:t>lion should the fair value of outstanding derivatives per counterparty be greater than $50 million. Additionally, a certain level of decline in credit rating of either the Company or the counterparty could also trigger collateral requirements. As of Novemb</w:t>
      </w:r>
      <w:r>
        <w:rPr>
          <w:rFonts w:ascii="Arial" w:eastAsia="宋体" w:hAnsi="Arial" w:cs="Arial"/>
          <w:color w:val="000000"/>
          <w:sz w:val="17"/>
          <w:szCs w:val="17"/>
        </w:rPr>
        <w:t>er 30, 2020, the Company was in compliance with all credit risk-related contingent features, and derivative instruments with such features were in a net liability position of approximately $549 million. Accordingly, the Company was required to post $170 mi</w:t>
      </w:r>
      <w:r>
        <w:rPr>
          <w:rFonts w:ascii="Arial" w:eastAsia="宋体" w:hAnsi="Arial" w:cs="Arial"/>
          <w:color w:val="000000"/>
          <w:sz w:val="17"/>
          <w:szCs w:val="17"/>
        </w:rPr>
        <w:t>llion of cash collateral as a result of these contingent features. Further, no amount of collateral was received on the Company's derivative asset balance as of November 30, 2020. The Company considers the impact of the risk of counterparty default to be i</w:t>
      </w:r>
      <w:r>
        <w:rPr>
          <w:rFonts w:ascii="Arial" w:eastAsia="宋体" w:hAnsi="Arial" w:cs="Arial"/>
          <w:color w:val="000000"/>
          <w:sz w:val="17"/>
          <w:szCs w:val="17"/>
        </w:rPr>
        <w:t>mmaterial.</w:t>
      </w:r>
    </w:p>
    <w:p w14:paraId="746F0969" w14:textId="77777777" w:rsidR="008E7A10" w:rsidRDefault="00E047B2">
      <w:pPr>
        <w:spacing w:before="120" w:after="120"/>
      </w:pPr>
      <w:r>
        <w:rPr>
          <w:rFonts w:ascii="Arial" w:eastAsia="宋体" w:hAnsi="Arial" w:cs="Arial"/>
          <w:color w:val="000000"/>
          <w:sz w:val="17"/>
          <w:szCs w:val="17"/>
        </w:rPr>
        <w:t>For additional information related to the Company's derivative financial instruments and collateral, refer to Note 4 — Fair Value Measurements.</w:t>
      </w:r>
    </w:p>
    <w:p w14:paraId="746F096A" w14:textId="77777777" w:rsidR="008E7A10" w:rsidRDefault="00E047B2">
      <w:pPr>
        <w:spacing w:before="120" w:after="120"/>
      </w:pPr>
      <w:r>
        <w:rPr>
          <w:rFonts w:ascii="Arial" w:eastAsia="宋体" w:hAnsi="Arial" w:cs="Arial"/>
          <w:color w:val="E87722"/>
          <w:sz w:val="17"/>
          <w:szCs w:val="17"/>
        </w:rPr>
        <w:t>16</w:t>
      </w:r>
      <w:r>
        <w:rPr>
          <w:rFonts w:ascii="sans-serif" w:eastAsia="sans-serif" w:hAnsi="sans-serif" w:cs="sans-serif"/>
          <w:color w:val="000000"/>
          <w:sz w:val="17"/>
          <w:szCs w:val="17"/>
        </w:rPr>
        <w:t xml:space="preserve"> </w:t>
      </w:r>
    </w:p>
    <w:p w14:paraId="746F096B" w14:textId="77777777" w:rsidR="008E7A10" w:rsidRDefault="00E047B2">
      <w:r>
        <w:pict w14:anchorId="746F2018">
          <v:rect id="_x0000_i1042" style="width:415.3pt;height:1.5pt" o:hralign="center" o:hrstd="t" o:hr="t" fillcolor="#a0a0a0" stroked="f"/>
        </w:pict>
      </w:r>
    </w:p>
    <w:p w14:paraId="746F096C" w14:textId="77777777" w:rsidR="008E7A10" w:rsidRDefault="008E7A10"/>
    <w:p w14:paraId="746F096D" w14:textId="77777777" w:rsidR="008E7A10" w:rsidRDefault="00E047B2">
      <w:hyperlink r:id="rId87" w:anchor="i31a624617c6c41b38f8f700fa0df5bde_7" w:history="1">
        <w:r>
          <w:rPr>
            <w:rStyle w:val="a5"/>
            <w:rFonts w:ascii="sans-serif" w:eastAsia="sans-serif" w:hAnsi="sans-serif" w:cs="sans-serif"/>
            <w:sz w:val="17"/>
            <w:szCs w:val="17"/>
          </w:rPr>
          <w:t>Table of Contents</w:t>
        </w:r>
      </w:hyperlink>
    </w:p>
    <w:p w14:paraId="746F096E" w14:textId="77777777" w:rsidR="008E7A10" w:rsidRDefault="008E7A10"/>
    <w:tbl>
      <w:tblPr>
        <w:tblW w:w="4865" w:type="pct"/>
        <w:tblCellMar>
          <w:top w:w="15" w:type="dxa"/>
          <w:left w:w="15" w:type="dxa"/>
          <w:bottom w:w="15" w:type="dxa"/>
          <w:right w:w="15" w:type="dxa"/>
        </w:tblCellMar>
        <w:tblLook w:val="04A0" w:firstRow="1" w:lastRow="0" w:firstColumn="1" w:lastColumn="0" w:noHBand="0" w:noVBand="1"/>
      </w:tblPr>
      <w:tblGrid>
        <w:gridCol w:w="67"/>
        <w:gridCol w:w="8008"/>
        <w:gridCol w:w="36"/>
      </w:tblGrid>
      <w:tr w:rsidR="008E7A10" w14:paraId="746F0972" w14:textId="77777777">
        <w:tc>
          <w:tcPr>
            <w:tcW w:w="50" w:type="pct"/>
            <w:shd w:val="clear" w:color="auto" w:fill="auto"/>
          </w:tcPr>
          <w:p w14:paraId="746F096F" w14:textId="77777777" w:rsidR="008E7A10" w:rsidRDefault="008E7A10">
            <w:pPr>
              <w:rPr>
                <w:rFonts w:ascii="宋体"/>
              </w:rPr>
            </w:pPr>
          </w:p>
        </w:tc>
        <w:tc>
          <w:tcPr>
            <w:tcW w:w="4945" w:type="pct"/>
            <w:shd w:val="clear" w:color="auto" w:fill="auto"/>
          </w:tcPr>
          <w:p w14:paraId="746F0970" w14:textId="77777777" w:rsidR="008E7A10" w:rsidRDefault="008E7A10">
            <w:pPr>
              <w:rPr>
                <w:rFonts w:ascii="宋体"/>
              </w:rPr>
            </w:pPr>
          </w:p>
        </w:tc>
        <w:tc>
          <w:tcPr>
            <w:tcW w:w="5" w:type="pct"/>
            <w:shd w:val="clear" w:color="auto" w:fill="auto"/>
          </w:tcPr>
          <w:p w14:paraId="746F0971" w14:textId="77777777" w:rsidR="008E7A10" w:rsidRDefault="008E7A10">
            <w:pPr>
              <w:rPr>
                <w:rFonts w:ascii="宋体"/>
              </w:rPr>
            </w:pPr>
          </w:p>
        </w:tc>
      </w:tr>
      <w:tr w:rsidR="008E7A10" w14:paraId="746F0974" w14:textId="77777777">
        <w:tc>
          <w:tcPr>
            <w:tcW w:w="0" w:type="auto"/>
            <w:gridSpan w:val="3"/>
            <w:shd w:val="clear" w:color="auto" w:fill="auto"/>
            <w:tcMar>
              <w:top w:w="40" w:type="dxa"/>
              <w:left w:w="20" w:type="dxa"/>
              <w:bottom w:w="40" w:type="dxa"/>
              <w:right w:w="20" w:type="dxa"/>
            </w:tcMar>
            <w:vAlign w:val="bottom"/>
          </w:tcPr>
          <w:p w14:paraId="746F0973" w14:textId="77777777" w:rsidR="008E7A10" w:rsidRDefault="00E047B2">
            <w:pPr>
              <w:textAlignment w:val="bottom"/>
            </w:pPr>
            <w:r>
              <w:rPr>
                <w:rFonts w:ascii="sans-serif" w:eastAsia="sans-serif" w:hAnsi="sans-serif" w:cs="sans-serif"/>
                <w:b/>
                <w:bCs/>
                <w:color w:val="E87722"/>
                <w:sz w:val="36"/>
                <w:szCs w:val="36"/>
              </w:rPr>
              <w:t>NOTE 10 — ACCUMULATED OTHER COMPREHENSIVE INCOME (LOSS)</w:t>
            </w:r>
          </w:p>
        </w:tc>
      </w:tr>
    </w:tbl>
    <w:p w14:paraId="746F0975" w14:textId="77777777" w:rsidR="008E7A10" w:rsidRDefault="00E047B2">
      <w:pPr>
        <w:spacing w:before="120"/>
      </w:pPr>
      <w:r>
        <w:rPr>
          <w:rFonts w:ascii="Arial" w:eastAsia="宋体" w:hAnsi="Arial" w:cs="Arial"/>
          <w:color w:val="000000"/>
          <w:sz w:val="17"/>
          <w:szCs w:val="17"/>
        </w:rPr>
        <w:t>The changes in Accumulated other comprehensive income (loss), net of tax, were as follows:</w:t>
      </w:r>
    </w:p>
    <w:tbl>
      <w:tblPr>
        <w:tblW w:w="4872" w:type="pct"/>
        <w:tblCellMar>
          <w:top w:w="15" w:type="dxa"/>
          <w:left w:w="15" w:type="dxa"/>
          <w:bottom w:w="15" w:type="dxa"/>
          <w:right w:w="15" w:type="dxa"/>
        </w:tblCellMar>
        <w:tblLook w:val="04A0" w:firstRow="1" w:lastRow="0" w:firstColumn="1" w:lastColumn="0" w:noHBand="0" w:noVBand="1"/>
      </w:tblPr>
      <w:tblGrid>
        <w:gridCol w:w="40"/>
        <w:gridCol w:w="3485"/>
        <w:gridCol w:w="39"/>
        <w:gridCol w:w="116"/>
        <w:gridCol w:w="1032"/>
        <w:gridCol w:w="36"/>
        <w:gridCol w:w="116"/>
        <w:gridCol w:w="633"/>
        <w:gridCol w:w="36"/>
        <w:gridCol w:w="116"/>
        <w:gridCol w:w="869"/>
        <w:gridCol w:w="36"/>
        <w:gridCol w:w="116"/>
        <w:gridCol w:w="633"/>
        <w:gridCol w:w="36"/>
        <w:gridCol w:w="115"/>
        <w:gridCol w:w="633"/>
        <w:gridCol w:w="36"/>
      </w:tblGrid>
      <w:tr w:rsidR="008E7A10" w14:paraId="746F0988" w14:textId="77777777">
        <w:tc>
          <w:tcPr>
            <w:tcW w:w="50" w:type="pct"/>
            <w:shd w:val="clear" w:color="auto" w:fill="auto"/>
          </w:tcPr>
          <w:p w14:paraId="746F0976" w14:textId="77777777" w:rsidR="008E7A10" w:rsidRDefault="008E7A10">
            <w:pPr>
              <w:rPr>
                <w:rFonts w:ascii="宋体"/>
              </w:rPr>
            </w:pPr>
          </w:p>
        </w:tc>
        <w:tc>
          <w:tcPr>
            <w:tcW w:w="2263" w:type="pct"/>
            <w:shd w:val="clear" w:color="auto" w:fill="auto"/>
          </w:tcPr>
          <w:p w14:paraId="746F0977" w14:textId="77777777" w:rsidR="008E7A10" w:rsidRDefault="008E7A10">
            <w:pPr>
              <w:rPr>
                <w:rFonts w:ascii="宋体"/>
              </w:rPr>
            </w:pPr>
          </w:p>
        </w:tc>
        <w:tc>
          <w:tcPr>
            <w:tcW w:w="5" w:type="pct"/>
            <w:shd w:val="clear" w:color="auto" w:fill="auto"/>
          </w:tcPr>
          <w:p w14:paraId="746F0978" w14:textId="77777777" w:rsidR="008E7A10" w:rsidRDefault="008E7A10">
            <w:pPr>
              <w:rPr>
                <w:rFonts w:ascii="宋体"/>
              </w:rPr>
            </w:pPr>
          </w:p>
        </w:tc>
        <w:tc>
          <w:tcPr>
            <w:tcW w:w="50" w:type="pct"/>
            <w:shd w:val="clear" w:color="auto" w:fill="auto"/>
          </w:tcPr>
          <w:p w14:paraId="746F0979" w14:textId="77777777" w:rsidR="008E7A10" w:rsidRDefault="008E7A10">
            <w:pPr>
              <w:rPr>
                <w:rFonts w:ascii="宋体"/>
              </w:rPr>
            </w:pPr>
          </w:p>
        </w:tc>
        <w:tc>
          <w:tcPr>
            <w:tcW w:w="561" w:type="pct"/>
            <w:shd w:val="clear" w:color="auto" w:fill="auto"/>
          </w:tcPr>
          <w:p w14:paraId="746F097A" w14:textId="77777777" w:rsidR="008E7A10" w:rsidRDefault="008E7A10">
            <w:pPr>
              <w:rPr>
                <w:rFonts w:ascii="宋体"/>
              </w:rPr>
            </w:pPr>
          </w:p>
        </w:tc>
        <w:tc>
          <w:tcPr>
            <w:tcW w:w="5" w:type="pct"/>
            <w:shd w:val="clear" w:color="auto" w:fill="auto"/>
          </w:tcPr>
          <w:p w14:paraId="746F097B" w14:textId="77777777" w:rsidR="008E7A10" w:rsidRDefault="008E7A10">
            <w:pPr>
              <w:rPr>
                <w:rFonts w:ascii="宋体"/>
              </w:rPr>
            </w:pPr>
          </w:p>
        </w:tc>
        <w:tc>
          <w:tcPr>
            <w:tcW w:w="50" w:type="pct"/>
            <w:shd w:val="clear" w:color="auto" w:fill="auto"/>
          </w:tcPr>
          <w:p w14:paraId="746F097C" w14:textId="77777777" w:rsidR="008E7A10" w:rsidRDefault="008E7A10">
            <w:pPr>
              <w:rPr>
                <w:rFonts w:ascii="宋体"/>
              </w:rPr>
            </w:pPr>
          </w:p>
        </w:tc>
        <w:tc>
          <w:tcPr>
            <w:tcW w:w="461" w:type="pct"/>
            <w:shd w:val="clear" w:color="auto" w:fill="auto"/>
          </w:tcPr>
          <w:p w14:paraId="746F097D" w14:textId="77777777" w:rsidR="008E7A10" w:rsidRDefault="008E7A10">
            <w:pPr>
              <w:rPr>
                <w:rFonts w:ascii="宋体"/>
              </w:rPr>
            </w:pPr>
          </w:p>
        </w:tc>
        <w:tc>
          <w:tcPr>
            <w:tcW w:w="5" w:type="pct"/>
            <w:shd w:val="clear" w:color="auto" w:fill="auto"/>
          </w:tcPr>
          <w:p w14:paraId="746F097E" w14:textId="77777777" w:rsidR="008E7A10" w:rsidRDefault="008E7A10">
            <w:pPr>
              <w:rPr>
                <w:rFonts w:ascii="宋体"/>
              </w:rPr>
            </w:pPr>
          </w:p>
        </w:tc>
        <w:tc>
          <w:tcPr>
            <w:tcW w:w="50" w:type="pct"/>
            <w:shd w:val="clear" w:color="auto" w:fill="auto"/>
          </w:tcPr>
          <w:p w14:paraId="746F097F" w14:textId="77777777" w:rsidR="008E7A10" w:rsidRDefault="008E7A10">
            <w:pPr>
              <w:rPr>
                <w:rFonts w:ascii="宋体"/>
              </w:rPr>
            </w:pPr>
          </w:p>
        </w:tc>
        <w:tc>
          <w:tcPr>
            <w:tcW w:w="461" w:type="pct"/>
            <w:shd w:val="clear" w:color="auto" w:fill="auto"/>
          </w:tcPr>
          <w:p w14:paraId="746F0980" w14:textId="77777777" w:rsidR="008E7A10" w:rsidRDefault="008E7A10">
            <w:pPr>
              <w:rPr>
                <w:rFonts w:ascii="宋体"/>
              </w:rPr>
            </w:pPr>
          </w:p>
        </w:tc>
        <w:tc>
          <w:tcPr>
            <w:tcW w:w="5" w:type="pct"/>
            <w:shd w:val="clear" w:color="auto" w:fill="auto"/>
          </w:tcPr>
          <w:p w14:paraId="746F0981" w14:textId="77777777" w:rsidR="008E7A10" w:rsidRDefault="008E7A10">
            <w:pPr>
              <w:rPr>
                <w:rFonts w:ascii="宋体"/>
              </w:rPr>
            </w:pPr>
          </w:p>
        </w:tc>
        <w:tc>
          <w:tcPr>
            <w:tcW w:w="50" w:type="pct"/>
            <w:shd w:val="clear" w:color="auto" w:fill="auto"/>
          </w:tcPr>
          <w:p w14:paraId="746F0982" w14:textId="77777777" w:rsidR="008E7A10" w:rsidRDefault="008E7A10">
            <w:pPr>
              <w:rPr>
                <w:rFonts w:ascii="宋体"/>
              </w:rPr>
            </w:pPr>
          </w:p>
        </w:tc>
        <w:tc>
          <w:tcPr>
            <w:tcW w:w="461" w:type="pct"/>
            <w:shd w:val="clear" w:color="auto" w:fill="auto"/>
          </w:tcPr>
          <w:p w14:paraId="746F0983" w14:textId="77777777" w:rsidR="008E7A10" w:rsidRDefault="008E7A10">
            <w:pPr>
              <w:rPr>
                <w:rFonts w:ascii="宋体"/>
              </w:rPr>
            </w:pPr>
          </w:p>
        </w:tc>
        <w:tc>
          <w:tcPr>
            <w:tcW w:w="5" w:type="pct"/>
            <w:shd w:val="clear" w:color="auto" w:fill="auto"/>
          </w:tcPr>
          <w:p w14:paraId="746F0984" w14:textId="77777777" w:rsidR="008E7A10" w:rsidRDefault="008E7A10">
            <w:pPr>
              <w:rPr>
                <w:rFonts w:ascii="宋体"/>
              </w:rPr>
            </w:pPr>
          </w:p>
        </w:tc>
        <w:tc>
          <w:tcPr>
            <w:tcW w:w="50" w:type="pct"/>
            <w:shd w:val="clear" w:color="auto" w:fill="auto"/>
          </w:tcPr>
          <w:p w14:paraId="746F0985" w14:textId="77777777" w:rsidR="008E7A10" w:rsidRDefault="008E7A10">
            <w:pPr>
              <w:rPr>
                <w:rFonts w:ascii="宋体"/>
              </w:rPr>
            </w:pPr>
          </w:p>
        </w:tc>
        <w:tc>
          <w:tcPr>
            <w:tcW w:w="461" w:type="pct"/>
            <w:shd w:val="clear" w:color="auto" w:fill="auto"/>
          </w:tcPr>
          <w:p w14:paraId="746F0986" w14:textId="77777777" w:rsidR="008E7A10" w:rsidRDefault="008E7A10">
            <w:pPr>
              <w:rPr>
                <w:rFonts w:ascii="宋体"/>
              </w:rPr>
            </w:pPr>
          </w:p>
        </w:tc>
        <w:tc>
          <w:tcPr>
            <w:tcW w:w="5" w:type="pct"/>
            <w:shd w:val="clear" w:color="auto" w:fill="auto"/>
          </w:tcPr>
          <w:p w14:paraId="746F0987" w14:textId="77777777" w:rsidR="008E7A10" w:rsidRDefault="008E7A10">
            <w:pPr>
              <w:rPr>
                <w:rFonts w:ascii="宋体"/>
              </w:rPr>
            </w:pPr>
          </w:p>
        </w:tc>
      </w:tr>
      <w:tr w:rsidR="008E7A10" w14:paraId="746F098F" w14:textId="77777777">
        <w:tc>
          <w:tcPr>
            <w:tcW w:w="0" w:type="auto"/>
            <w:gridSpan w:val="3"/>
            <w:shd w:val="clear" w:color="auto" w:fill="auto"/>
            <w:tcMar>
              <w:top w:w="40" w:type="dxa"/>
              <w:left w:w="20" w:type="dxa"/>
              <w:bottom w:w="40" w:type="dxa"/>
              <w:right w:w="20" w:type="dxa"/>
            </w:tcMar>
            <w:vAlign w:val="bottom"/>
          </w:tcPr>
          <w:p w14:paraId="746F0989" w14:textId="77777777" w:rsidR="008E7A10" w:rsidRDefault="00E047B2">
            <w:pPr>
              <w:textAlignment w:val="bottom"/>
            </w:pPr>
            <w:r>
              <w:rPr>
                <w:rFonts w:ascii="Arial Narrow" w:eastAsia="Arial Narrow" w:hAnsi="Arial Narrow" w:cs="Arial Narrow"/>
                <w:i/>
                <w:iCs/>
                <w:color w:val="000000"/>
                <w:sz w:val="17"/>
                <w:szCs w:val="17"/>
              </w:rPr>
              <w:t>(Dollars i</w:t>
            </w:r>
            <w:r>
              <w:rPr>
                <w:rFonts w:ascii="Arial Narrow" w:eastAsia="Arial Narrow" w:hAnsi="Arial Narrow" w:cs="Arial Narrow"/>
                <w:i/>
                <w:iCs/>
                <w:color w:val="000000"/>
                <w:sz w:val="17"/>
                <w:szCs w:val="17"/>
              </w:rPr>
              <w:t>n millions)</w:t>
            </w:r>
          </w:p>
        </w:tc>
        <w:tc>
          <w:tcPr>
            <w:tcW w:w="0" w:type="auto"/>
            <w:gridSpan w:val="3"/>
            <w:shd w:val="clear" w:color="auto" w:fill="auto"/>
            <w:tcMar>
              <w:top w:w="40" w:type="dxa"/>
              <w:left w:w="20" w:type="dxa"/>
              <w:bottom w:w="40" w:type="dxa"/>
              <w:right w:w="20" w:type="dxa"/>
            </w:tcMar>
            <w:vAlign w:val="bottom"/>
          </w:tcPr>
          <w:p w14:paraId="746F098A" w14:textId="77777777" w:rsidR="008E7A10" w:rsidRDefault="00E047B2">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746F098B" w14:textId="77777777" w:rsidR="008E7A10" w:rsidRDefault="00E047B2">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746F098C" w14:textId="77777777" w:rsidR="008E7A10" w:rsidRDefault="00E047B2">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746F098D" w14:textId="77777777" w:rsidR="008E7A10" w:rsidRDefault="00E047B2">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746F098E" w14:textId="77777777" w:rsidR="008E7A10" w:rsidRDefault="00E047B2">
            <w:pPr>
              <w:jc w:val="right"/>
              <w:textAlignment w:val="bottom"/>
            </w:pPr>
            <w:r>
              <w:rPr>
                <w:rFonts w:ascii="sans-serif" w:eastAsia="sans-serif" w:hAnsi="sans-serif" w:cs="sans-serif"/>
                <w:b/>
                <w:bCs/>
                <w:color w:val="000000"/>
                <w:sz w:val="17"/>
                <w:szCs w:val="17"/>
              </w:rPr>
              <w:t>TOTAL</w:t>
            </w:r>
          </w:p>
        </w:tc>
      </w:tr>
      <w:tr w:rsidR="008E7A10" w14:paraId="746F09A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990" w14:textId="77777777" w:rsidR="008E7A10" w:rsidRDefault="00E047B2">
            <w:pPr>
              <w:textAlignment w:val="bottom"/>
            </w:pPr>
            <w:r>
              <w:rPr>
                <w:rFonts w:ascii="Arial" w:eastAsia="宋体" w:hAnsi="Arial" w:cs="Arial"/>
                <w:b/>
                <w:bCs/>
                <w:color w:val="000000"/>
                <w:sz w:val="17"/>
                <w:szCs w:val="17"/>
              </w:rPr>
              <w:t>Balance at August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746F099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992" w14:textId="77777777" w:rsidR="008E7A10" w:rsidRDefault="00E047B2">
            <w:pPr>
              <w:jc w:val="right"/>
              <w:textAlignment w:val="bottom"/>
            </w:pPr>
            <w:r>
              <w:rPr>
                <w:rFonts w:ascii="Arial" w:eastAsia="宋体" w:hAnsi="Arial" w:cs="Arial"/>
                <w:b/>
                <w:bCs/>
                <w:color w:val="000000"/>
                <w:sz w:val="17"/>
                <w:szCs w:val="17"/>
              </w:rPr>
              <w:t>(176)</w:t>
            </w:r>
          </w:p>
        </w:tc>
        <w:tc>
          <w:tcPr>
            <w:tcW w:w="0" w:type="auto"/>
            <w:tcBorders>
              <w:top w:val="single" w:sz="8" w:space="0" w:color="E87722"/>
            </w:tcBorders>
            <w:shd w:val="clear" w:color="auto" w:fill="auto"/>
            <w:tcMar>
              <w:top w:w="40" w:type="dxa"/>
              <w:left w:w="0" w:type="dxa"/>
              <w:bottom w:w="40" w:type="dxa"/>
              <w:right w:w="20" w:type="dxa"/>
            </w:tcMar>
            <w:vAlign w:val="bottom"/>
          </w:tcPr>
          <w:p w14:paraId="746F0993"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99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995" w14:textId="77777777" w:rsidR="008E7A10" w:rsidRDefault="00E047B2">
            <w:pPr>
              <w:jc w:val="right"/>
              <w:textAlignment w:val="bottom"/>
            </w:pPr>
            <w:r>
              <w:rPr>
                <w:rFonts w:ascii="Arial" w:eastAsia="宋体" w:hAnsi="Arial" w:cs="Arial"/>
                <w:b/>
                <w:bCs/>
                <w:color w:val="000000"/>
                <w:sz w:val="17"/>
                <w:szCs w:val="17"/>
              </w:rPr>
              <w:t>(268)</w:t>
            </w:r>
          </w:p>
        </w:tc>
        <w:tc>
          <w:tcPr>
            <w:tcW w:w="0" w:type="auto"/>
            <w:tcBorders>
              <w:top w:val="single" w:sz="8" w:space="0" w:color="E87722"/>
            </w:tcBorders>
            <w:shd w:val="clear" w:color="auto" w:fill="auto"/>
            <w:tcMar>
              <w:top w:w="40" w:type="dxa"/>
              <w:left w:w="0" w:type="dxa"/>
              <w:bottom w:w="40" w:type="dxa"/>
              <w:right w:w="20" w:type="dxa"/>
            </w:tcMar>
            <w:vAlign w:val="bottom"/>
          </w:tcPr>
          <w:p w14:paraId="746F0996"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99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998" w14:textId="77777777" w:rsidR="008E7A10" w:rsidRDefault="00E047B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999"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99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99B" w14:textId="77777777" w:rsidR="008E7A10" w:rsidRDefault="00E047B2">
            <w:pPr>
              <w:jc w:val="right"/>
              <w:textAlignment w:val="bottom"/>
            </w:pPr>
            <w:r>
              <w:rPr>
                <w:rFonts w:ascii="Arial" w:eastAsia="宋体" w:hAnsi="Arial" w:cs="Arial"/>
                <w:b/>
                <w:bCs/>
                <w:color w:val="000000"/>
                <w:sz w:val="17"/>
                <w:szCs w:val="17"/>
              </w:rPr>
              <w:t>(72)</w:t>
            </w:r>
          </w:p>
        </w:tc>
        <w:tc>
          <w:tcPr>
            <w:tcW w:w="0" w:type="auto"/>
            <w:tcBorders>
              <w:top w:val="single" w:sz="8" w:space="0" w:color="E87722"/>
            </w:tcBorders>
            <w:shd w:val="clear" w:color="auto" w:fill="auto"/>
            <w:tcMar>
              <w:top w:w="40" w:type="dxa"/>
              <w:left w:w="0" w:type="dxa"/>
              <w:bottom w:w="40" w:type="dxa"/>
              <w:right w:w="20" w:type="dxa"/>
            </w:tcMar>
            <w:vAlign w:val="bottom"/>
          </w:tcPr>
          <w:p w14:paraId="746F099C"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99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99E" w14:textId="77777777" w:rsidR="008E7A10" w:rsidRDefault="00E047B2">
            <w:pPr>
              <w:jc w:val="right"/>
              <w:textAlignment w:val="bottom"/>
            </w:pPr>
            <w:r>
              <w:rPr>
                <w:rFonts w:ascii="Arial" w:eastAsia="宋体" w:hAnsi="Arial" w:cs="Arial"/>
                <w:b/>
                <w:bCs/>
                <w:color w:val="000000"/>
                <w:sz w:val="17"/>
                <w:szCs w:val="17"/>
              </w:rPr>
              <w:t>(401)</w:t>
            </w:r>
          </w:p>
        </w:tc>
        <w:tc>
          <w:tcPr>
            <w:tcW w:w="0" w:type="auto"/>
            <w:tcBorders>
              <w:top w:val="single" w:sz="8" w:space="0" w:color="E87722"/>
            </w:tcBorders>
            <w:shd w:val="clear" w:color="auto" w:fill="auto"/>
            <w:tcMar>
              <w:top w:w="40" w:type="dxa"/>
              <w:left w:w="0" w:type="dxa"/>
              <w:bottom w:w="40" w:type="dxa"/>
              <w:right w:w="20" w:type="dxa"/>
            </w:tcMar>
            <w:vAlign w:val="bottom"/>
          </w:tcPr>
          <w:p w14:paraId="746F099F" w14:textId="77777777" w:rsidR="008E7A10" w:rsidRDefault="008E7A10">
            <w:pPr>
              <w:jc w:val="right"/>
              <w:rPr>
                <w:rFonts w:ascii="宋体"/>
              </w:rPr>
            </w:pPr>
          </w:p>
        </w:tc>
      </w:tr>
      <w:tr w:rsidR="008E7A10" w14:paraId="746F09A7"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746F09A1" w14:textId="77777777" w:rsidR="008E7A10" w:rsidRDefault="00E047B2">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tcPr>
          <w:p w14:paraId="746F09A2"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9A3"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9A4"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9A5"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9A6" w14:textId="77777777" w:rsidR="008E7A10" w:rsidRDefault="008E7A10">
            <w:pPr>
              <w:rPr>
                <w:rFonts w:ascii="宋体"/>
              </w:rPr>
            </w:pPr>
          </w:p>
        </w:tc>
      </w:tr>
      <w:tr w:rsidR="008E7A10" w14:paraId="746F09B3"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746F09A8" w14:textId="77777777" w:rsidR="008E7A10" w:rsidRDefault="00E047B2">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9A9" w14:textId="77777777" w:rsidR="008E7A10" w:rsidRDefault="00E047B2">
            <w:pPr>
              <w:jc w:val="right"/>
              <w:textAlignment w:val="bottom"/>
            </w:pPr>
            <w:r>
              <w:rPr>
                <w:rFonts w:ascii="Arial" w:eastAsia="宋体" w:hAnsi="Arial" w:cs="Arial"/>
                <w:color w:val="000000"/>
                <w:sz w:val="17"/>
                <w:szCs w:val="17"/>
              </w:rPr>
              <w:t>79 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AA"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9AB" w14:textId="77777777" w:rsidR="008E7A10" w:rsidRDefault="00E047B2">
            <w:pPr>
              <w:jc w:val="right"/>
              <w:textAlignment w:val="bottom"/>
            </w:pPr>
            <w:r>
              <w:rPr>
                <w:rFonts w:ascii="Arial" w:eastAsia="宋体" w:hAnsi="Arial" w:cs="Arial"/>
                <w:color w:val="000000"/>
                <w:sz w:val="17"/>
                <w:szCs w:val="17"/>
              </w:rPr>
              <w:t>(64)</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AC"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9A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AE"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9AF" w14:textId="77777777" w:rsidR="008E7A10" w:rsidRDefault="00E047B2">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B0"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9B1" w14:textId="77777777" w:rsidR="008E7A10" w:rsidRDefault="00E047B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B2" w14:textId="77777777" w:rsidR="008E7A10" w:rsidRDefault="008E7A10">
            <w:pPr>
              <w:jc w:val="right"/>
              <w:rPr>
                <w:rFonts w:ascii="宋体"/>
              </w:rPr>
            </w:pPr>
          </w:p>
        </w:tc>
      </w:tr>
      <w:tr w:rsidR="008E7A10" w14:paraId="746F09BF"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746F09B4" w14:textId="77777777" w:rsidR="008E7A10" w:rsidRDefault="00E047B2">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9"/>
                <w:szCs w:val="9"/>
              </w:rPr>
              <w:t>(3)</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9B5"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B6"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9B7" w14:textId="77777777" w:rsidR="008E7A10" w:rsidRDefault="00E047B2">
            <w:pPr>
              <w:jc w:val="right"/>
              <w:textAlignment w:val="bottom"/>
            </w:pPr>
            <w:r>
              <w:rPr>
                <w:rFonts w:ascii="Arial" w:eastAsia="宋体" w:hAnsi="Arial" w:cs="Arial"/>
                <w:color w:val="000000"/>
                <w:sz w:val="17"/>
                <w:szCs w:val="17"/>
              </w:rPr>
              <w:t>(39)</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B8"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9B9"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BA"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9BB"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BC"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9BD" w14:textId="77777777" w:rsidR="008E7A10" w:rsidRDefault="00E047B2">
            <w:pPr>
              <w:jc w:val="right"/>
              <w:textAlignment w:val="bottom"/>
            </w:pPr>
            <w:r>
              <w:rPr>
                <w:rFonts w:ascii="Arial" w:eastAsia="宋体" w:hAnsi="Arial" w:cs="Arial"/>
                <w:color w:val="000000"/>
                <w:sz w:val="17"/>
                <w:szCs w:val="17"/>
              </w:rPr>
              <w:t>(41)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9BE" w14:textId="77777777" w:rsidR="008E7A10" w:rsidRDefault="008E7A10">
            <w:pPr>
              <w:jc w:val="right"/>
              <w:rPr>
                <w:rFonts w:ascii="宋体"/>
              </w:rPr>
            </w:pPr>
          </w:p>
        </w:tc>
      </w:tr>
      <w:tr w:rsidR="008E7A10" w14:paraId="746F09C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9C0" w14:textId="77777777" w:rsidR="008E7A10" w:rsidRDefault="00E047B2">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9C1" w14:textId="77777777" w:rsidR="008E7A10" w:rsidRDefault="00E047B2">
            <w:pPr>
              <w:jc w:val="right"/>
              <w:textAlignment w:val="bottom"/>
            </w:pPr>
            <w:r>
              <w:rPr>
                <w:rFonts w:ascii="Arial" w:eastAsia="宋体" w:hAnsi="Arial" w:cs="Arial"/>
                <w:color w:val="000000"/>
                <w:sz w:val="17"/>
                <w:szCs w:val="17"/>
              </w:rPr>
              <w:t>78 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9C2" w14:textId="77777777" w:rsidR="008E7A10" w:rsidRDefault="008E7A10">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9C3" w14:textId="77777777" w:rsidR="008E7A10" w:rsidRDefault="00E047B2">
            <w:pPr>
              <w:jc w:val="right"/>
              <w:textAlignment w:val="bottom"/>
            </w:pPr>
            <w:r>
              <w:rPr>
                <w:rFonts w:ascii="Arial" w:eastAsia="宋体" w:hAnsi="Arial" w:cs="Arial"/>
                <w:color w:val="000000"/>
                <w:sz w:val="17"/>
                <w:szCs w:val="17"/>
              </w:rPr>
              <w:t>(103)</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9C4" w14:textId="77777777" w:rsidR="008E7A10" w:rsidRDefault="008E7A10">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9C5"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9C6" w14:textId="77777777" w:rsidR="008E7A10" w:rsidRDefault="008E7A10">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9C7"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9C8" w14:textId="77777777" w:rsidR="008E7A10" w:rsidRDefault="008E7A10">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9C9" w14:textId="77777777" w:rsidR="008E7A10" w:rsidRDefault="00E047B2">
            <w:pPr>
              <w:jc w:val="right"/>
              <w:textAlignment w:val="bottom"/>
            </w:pPr>
            <w:r>
              <w:rPr>
                <w:rFonts w:ascii="Arial" w:eastAsia="宋体" w:hAnsi="Arial" w:cs="Arial"/>
                <w:color w:val="000000"/>
                <w:sz w:val="17"/>
                <w:szCs w:val="17"/>
              </w:rPr>
              <w:t>(28)</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9CA" w14:textId="77777777" w:rsidR="008E7A10" w:rsidRDefault="008E7A10">
            <w:pPr>
              <w:jc w:val="right"/>
              <w:rPr>
                <w:rFonts w:ascii="宋体"/>
              </w:rPr>
            </w:pPr>
          </w:p>
        </w:tc>
      </w:tr>
      <w:tr w:rsidR="008E7A10" w14:paraId="746F09D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9CC" w14:textId="77777777" w:rsidR="008E7A10" w:rsidRDefault="00E047B2">
            <w:pPr>
              <w:textAlignment w:val="bottom"/>
            </w:pPr>
            <w:r>
              <w:rPr>
                <w:rFonts w:ascii="Arial" w:eastAsia="宋体" w:hAnsi="Arial" w:cs="Arial"/>
                <w:b/>
                <w:bCs/>
                <w:color w:val="000000"/>
                <w:sz w:val="17"/>
                <w:szCs w:val="17"/>
              </w:rPr>
              <w:t>Balance at November 30, 2020</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9C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9CE" w14:textId="77777777" w:rsidR="008E7A10" w:rsidRDefault="00E047B2">
            <w:pPr>
              <w:jc w:val="right"/>
              <w:textAlignment w:val="bottom"/>
            </w:pPr>
            <w:r>
              <w:rPr>
                <w:rFonts w:ascii="Arial" w:eastAsia="宋体" w:hAnsi="Arial" w:cs="Arial"/>
                <w:b/>
                <w:bCs/>
                <w:color w:val="000000"/>
                <w:sz w:val="17"/>
                <w:szCs w:val="17"/>
              </w:rPr>
              <w:t>(98)</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9CF"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9D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9D1" w14:textId="77777777" w:rsidR="008E7A10" w:rsidRDefault="00E047B2">
            <w:pPr>
              <w:jc w:val="right"/>
              <w:textAlignment w:val="bottom"/>
            </w:pPr>
            <w:r>
              <w:rPr>
                <w:rFonts w:ascii="Arial" w:eastAsia="宋体" w:hAnsi="Arial" w:cs="Arial"/>
                <w:b/>
                <w:bCs/>
                <w:color w:val="000000"/>
                <w:sz w:val="17"/>
                <w:szCs w:val="17"/>
              </w:rPr>
              <w:t>(371)</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9D2"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9D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9D4" w14:textId="77777777" w:rsidR="008E7A10" w:rsidRDefault="00E047B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9D5"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9D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9D7" w14:textId="77777777" w:rsidR="008E7A10" w:rsidRDefault="00E047B2">
            <w:pPr>
              <w:jc w:val="right"/>
              <w:textAlignment w:val="bottom"/>
            </w:pPr>
            <w:r>
              <w:rPr>
                <w:rFonts w:ascii="Arial" w:eastAsia="宋体" w:hAnsi="Arial" w:cs="Arial"/>
                <w:b/>
                <w:bCs/>
                <w:color w:val="000000"/>
                <w:sz w:val="17"/>
                <w:szCs w:val="17"/>
              </w:rPr>
              <w:t>(75)</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9D8"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9D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9DA" w14:textId="77777777" w:rsidR="008E7A10" w:rsidRDefault="00E047B2">
            <w:pPr>
              <w:jc w:val="right"/>
              <w:textAlignment w:val="bottom"/>
            </w:pPr>
            <w:r>
              <w:rPr>
                <w:rFonts w:ascii="Arial" w:eastAsia="宋体" w:hAnsi="Arial" w:cs="Arial"/>
                <w:b/>
                <w:bCs/>
                <w:color w:val="000000"/>
                <w:sz w:val="17"/>
                <w:szCs w:val="17"/>
              </w:rPr>
              <w:t>(429)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9DB" w14:textId="77777777" w:rsidR="008E7A10" w:rsidRDefault="008E7A10">
            <w:pPr>
              <w:jc w:val="right"/>
              <w:rPr>
                <w:rFonts w:ascii="宋体"/>
              </w:rPr>
            </w:pPr>
          </w:p>
        </w:tc>
      </w:tr>
    </w:tbl>
    <w:p w14:paraId="746F09DD" w14:textId="77777777" w:rsidR="008E7A10" w:rsidRDefault="00E047B2">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746F09DE" w14:textId="77777777" w:rsidR="008E7A10" w:rsidRDefault="00E047B2">
      <w:pPr>
        <w:spacing w:before="60" w:after="60"/>
        <w:ind w:hanging="360"/>
      </w:pPr>
      <w:r>
        <w:rPr>
          <w:rFonts w:ascii="Arial" w:eastAsia="宋体" w:hAnsi="Arial" w:cs="Arial"/>
          <w:i/>
          <w:iCs/>
          <w:color w:val="000000"/>
          <w:sz w:val="14"/>
          <w:szCs w:val="14"/>
        </w:rPr>
        <w:t>(2)Net of tax benefit (expense) of $0 million, $(4) million, $0 million, $0 million and $(4) million, respectively.</w:t>
      </w:r>
    </w:p>
    <w:p w14:paraId="746F09DF" w14:textId="77777777" w:rsidR="008E7A10" w:rsidRDefault="00E047B2">
      <w:pPr>
        <w:spacing w:before="60" w:after="60"/>
        <w:ind w:hanging="360"/>
      </w:pPr>
      <w:r>
        <w:rPr>
          <w:rFonts w:ascii="Arial" w:eastAsia="宋体" w:hAnsi="Arial" w:cs="Arial"/>
          <w:i/>
          <w:iCs/>
          <w:color w:val="000000"/>
          <w:sz w:val="14"/>
          <w:szCs w:val="14"/>
        </w:rPr>
        <w:t xml:space="preserve">(3)Net of tax </w:t>
      </w:r>
      <w:r>
        <w:rPr>
          <w:rFonts w:ascii="Arial" w:eastAsia="宋体" w:hAnsi="Arial" w:cs="Arial"/>
          <w:i/>
          <w:iCs/>
          <w:color w:val="000000"/>
          <w:sz w:val="14"/>
          <w:szCs w:val="14"/>
        </w:rPr>
        <w:t>(benefit) expense of $0 million, $4 million, $0 million, $0 million and $4 million, respectively.</w:t>
      </w:r>
    </w:p>
    <w:tbl>
      <w:tblPr>
        <w:tblW w:w="4872" w:type="pct"/>
        <w:tblCellMar>
          <w:top w:w="15" w:type="dxa"/>
          <w:left w:w="15" w:type="dxa"/>
          <w:bottom w:w="15" w:type="dxa"/>
          <w:right w:w="15" w:type="dxa"/>
        </w:tblCellMar>
        <w:tblLook w:val="04A0" w:firstRow="1" w:lastRow="0" w:firstColumn="1" w:lastColumn="0" w:noHBand="0" w:noVBand="1"/>
      </w:tblPr>
      <w:tblGrid>
        <w:gridCol w:w="40"/>
        <w:gridCol w:w="3485"/>
        <w:gridCol w:w="39"/>
        <w:gridCol w:w="116"/>
        <w:gridCol w:w="1032"/>
        <w:gridCol w:w="36"/>
        <w:gridCol w:w="116"/>
        <w:gridCol w:w="632"/>
        <w:gridCol w:w="36"/>
        <w:gridCol w:w="116"/>
        <w:gridCol w:w="869"/>
        <w:gridCol w:w="36"/>
        <w:gridCol w:w="116"/>
        <w:gridCol w:w="633"/>
        <w:gridCol w:w="36"/>
        <w:gridCol w:w="116"/>
        <w:gridCol w:w="633"/>
        <w:gridCol w:w="36"/>
      </w:tblGrid>
      <w:tr w:rsidR="008E7A10" w14:paraId="746F09F2" w14:textId="77777777">
        <w:tc>
          <w:tcPr>
            <w:tcW w:w="50" w:type="pct"/>
            <w:shd w:val="clear" w:color="auto" w:fill="auto"/>
          </w:tcPr>
          <w:p w14:paraId="746F09E0" w14:textId="77777777" w:rsidR="008E7A10" w:rsidRDefault="008E7A10">
            <w:pPr>
              <w:rPr>
                <w:rFonts w:ascii="宋体"/>
              </w:rPr>
            </w:pPr>
          </w:p>
        </w:tc>
        <w:tc>
          <w:tcPr>
            <w:tcW w:w="2263" w:type="pct"/>
            <w:shd w:val="clear" w:color="auto" w:fill="auto"/>
          </w:tcPr>
          <w:p w14:paraId="746F09E1" w14:textId="77777777" w:rsidR="008E7A10" w:rsidRDefault="008E7A10">
            <w:pPr>
              <w:rPr>
                <w:rFonts w:ascii="宋体"/>
              </w:rPr>
            </w:pPr>
          </w:p>
        </w:tc>
        <w:tc>
          <w:tcPr>
            <w:tcW w:w="5" w:type="pct"/>
            <w:shd w:val="clear" w:color="auto" w:fill="auto"/>
          </w:tcPr>
          <w:p w14:paraId="746F09E2" w14:textId="77777777" w:rsidR="008E7A10" w:rsidRDefault="008E7A10">
            <w:pPr>
              <w:rPr>
                <w:rFonts w:ascii="宋体"/>
              </w:rPr>
            </w:pPr>
          </w:p>
        </w:tc>
        <w:tc>
          <w:tcPr>
            <w:tcW w:w="50" w:type="pct"/>
            <w:shd w:val="clear" w:color="auto" w:fill="auto"/>
          </w:tcPr>
          <w:p w14:paraId="746F09E3" w14:textId="77777777" w:rsidR="008E7A10" w:rsidRDefault="008E7A10">
            <w:pPr>
              <w:rPr>
                <w:rFonts w:ascii="宋体"/>
              </w:rPr>
            </w:pPr>
          </w:p>
        </w:tc>
        <w:tc>
          <w:tcPr>
            <w:tcW w:w="561" w:type="pct"/>
            <w:shd w:val="clear" w:color="auto" w:fill="auto"/>
          </w:tcPr>
          <w:p w14:paraId="746F09E4" w14:textId="77777777" w:rsidR="008E7A10" w:rsidRDefault="008E7A10">
            <w:pPr>
              <w:rPr>
                <w:rFonts w:ascii="宋体"/>
              </w:rPr>
            </w:pPr>
          </w:p>
        </w:tc>
        <w:tc>
          <w:tcPr>
            <w:tcW w:w="5" w:type="pct"/>
            <w:shd w:val="clear" w:color="auto" w:fill="auto"/>
          </w:tcPr>
          <w:p w14:paraId="746F09E5" w14:textId="77777777" w:rsidR="008E7A10" w:rsidRDefault="008E7A10">
            <w:pPr>
              <w:rPr>
                <w:rFonts w:ascii="宋体"/>
              </w:rPr>
            </w:pPr>
          </w:p>
        </w:tc>
        <w:tc>
          <w:tcPr>
            <w:tcW w:w="50" w:type="pct"/>
            <w:shd w:val="clear" w:color="auto" w:fill="auto"/>
          </w:tcPr>
          <w:p w14:paraId="746F09E6" w14:textId="77777777" w:rsidR="008E7A10" w:rsidRDefault="008E7A10">
            <w:pPr>
              <w:rPr>
                <w:rFonts w:ascii="宋体"/>
              </w:rPr>
            </w:pPr>
          </w:p>
        </w:tc>
        <w:tc>
          <w:tcPr>
            <w:tcW w:w="461" w:type="pct"/>
            <w:shd w:val="clear" w:color="auto" w:fill="auto"/>
          </w:tcPr>
          <w:p w14:paraId="746F09E7" w14:textId="77777777" w:rsidR="008E7A10" w:rsidRDefault="008E7A10">
            <w:pPr>
              <w:rPr>
                <w:rFonts w:ascii="宋体"/>
              </w:rPr>
            </w:pPr>
          </w:p>
        </w:tc>
        <w:tc>
          <w:tcPr>
            <w:tcW w:w="5" w:type="pct"/>
            <w:shd w:val="clear" w:color="auto" w:fill="auto"/>
          </w:tcPr>
          <w:p w14:paraId="746F09E8" w14:textId="77777777" w:rsidR="008E7A10" w:rsidRDefault="008E7A10">
            <w:pPr>
              <w:rPr>
                <w:rFonts w:ascii="宋体"/>
              </w:rPr>
            </w:pPr>
          </w:p>
        </w:tc>
        <w:tc>
          <w:tcPr>
            <w:tcW w:w="50" w:type="pct"/>
            <w:shd w:val="clear" w:color="auto" w:fill="auto"/>
          </w:tcPr>
          <w:p w14:paraId="746F09E9" w14:textId="77777777" w:rsidR="008E7A10" w:rsidRDefault="008E7A10">
            <w:pPr>
              <w:rPr>
                <w:rFonts w:ascii="宋体"/>
              </w:rPr>
            </w:pPr>
          </w:p>
        </w:tc>
        <w:tc>
          <w:tcPr>
            <w:tcW w:w="461" w:type="pct"/>
            <w:shd w:val="clear" w:color="auto" w:fill="auto"/>
          </w:tcPr>
          <w:p w14:paraId="746F09EA" w14:textId="77777777" w:rsidR="008E7A10" w:rsidRDefault="008E7A10">
            <w:pPr>
              <w:rPr>
                <w:rFonts w:ascii="宋体"/>
              </w:rPr>
            </w:pPr>
          </w:p>
        </w:tc>
        <w:tc>
          <w:tcPr>
            <w:tcW w:w="5" w:type="pct"/>
            <w:shd w:val="clear" w:color="auto" w:fill="auto"/>
          </w:tcPr>
          <w:p w14:paraId="746F09EB" w14:textId="77777777" w:rsidR="008E7A10" w:rsidRDefault="008E7A10">
            <w:pPr>
              <w:rPr>
                <w:rFonts w:ascii="宋体"/>
              </w:rPr>
            </w:pPr>
          </w:p>
        </w:tc>
        <w:tc>
          <w:tcPr>
            <w:tcW w:w="50" w:type="pct"/>
            <w:shd w:val="clear" w:color="auto" w:fill="auto"/>
          </w:tcPr>
          <w:p w14:paraId="746F09EC" w14:textId="77777777" w:rsidR="008E7A10" w:rsidRDefault="008E7A10">
            <w:pPr>
              <w:rPr>
                <w:rFonts w:ascii="宋体"/>
              </w:rPr>
            </w:pPr>
          </w:p>
        </w:tc>
        <w:tc>
          <w:tcPr>
            <w:tcW w:w="461" w:type="pct"/>
            <w:shd w:val="clear" w:color="auto" w:fill="auto"/>
          </w:tcPr>
          <w:p w14:paraId="746F09ED" w14:textId="77777777" w:rsidR="008E7A10" w:rsidRDefault="008E7A10">
            <w:pPr>
              <w:rPr>
                <w:rFonts w:ascii="宋体"/>
              </w:rPr>
            </w:pPr>
          </w:p>
        </w:tc>
        <w:tc>
          <w:tcPr>
            <w:tcW w:w="5" w:type="pct"/>
            <w:shd w:val="clear" w:color="auto" w:fill="auto"/>
          </w:tcPr>
          <w:p w14:paraId="746F09EE" w14:textId="77777777" w:rsidR="008E7A10" w:rsidRDefault="008E7A10">
            <w:pPr>
              <w:rPr>
                <w:rFonts w:ascii="宋体"/>
              </w:rPr>
            </w:pPr>
          </w:p>
        </w:tc>
        <w:tc>
          <w:tcPr>
            <w:tcW w:w="50" w:type="pct"/>
            <w:shd w:val="clear" w:color="auto" w:fill="auto"/>
          </w:tcPr>
          <w:p w14:paraId="746F09EF" w14:textId="77777777" w:rsidR="008E7A10" w:rsidRDefault="008E7A10">
            <w:pPr>
              <w:rPr>
                <w:rFonts w:ascii="宋体"/>
              </w:rPr>
            </w:pPr>
          </w:p>
        </w:tc>
        <w:tc>
          <w:tcPr>
            <w:tcW w:w="461" w:type="pct"/>
            <w:shd w:val="clear" w:color="auto" w:fill="auto"/>
          </w:tcPr>
          <w:p w14:paraId="746F09F0" w14:textId="77777777" w:rsidR="008E7A10" w:rsidRDefault="008E7A10">
            <w:pPr>
              <w:rPr>
                <w:rFonts w:ascii="宋体"/>
              </w:rPr>
            </w:pPr>
          </w:p>
        </w:tc>
        <w:tc>
          <w:tcPr>
            <w:tcW w:w="5" w:type="pct"/>
            <w:shd w:val="clear" w:color="auto" w:fill="auto"/>
          </w:tcPr>
          <w:p w14:paraId="746F09F1" w14:textId="77777777" w:rsidR="008E7A10" w:rsidRDefault="008E7A10">
            <w:pPr>
              <w:rPr>
                <w:rFonts w:ascii="宋体"/>
              </w:rPr>
            </w:pPr>
          </w:p>
        </w:tc>
      </w:tr>
      <w:tr w:rsidR="008E7A10" w14:paraId="746F09F9" w14:textId="77777777">
        <w:tc>
          <w:tcPr>
            <w:tcW w:w="0" w:type="auto"/>
            <w:gridSpan w:val="3"/>
            <w:shd w:val="clear" w:color="auto" w:fill="auto"/>
            <w:tcMar>
              <w:top w:w="40" w:type="dxa"/>
              <w:left w:w="20" w:type="dxa"/>
              <w:bottom w:w="40" w:type="dxa"/>
              <w:right w:w="20" w:type="dxa"/>
            </w:tcMar>
            <w:vAlign w:val="bottom"/>
          </w:tcPr>
          <w:p w14:paraId="746F09F3"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46F09F4" w14:textId="77777777" w:rsidR="008E7A10" w:rsidRDefault="00E047B2">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746F09F5" w14:textId="77777777" w:rsidR="008E7A10" w:rsidRDefault="00E047B2">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746F09F6" w14:textId="77777777" w:rsidR="008E7A10" w:rsidRDefault="00E047B2">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746F09F7" w14:textId="77777777" w:rsidR="008E7A10" w:rsidRDefault="00E047B2">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746F09F8" w14:textId="77777777" w:rsidR="008E7A10" w:rsidRDefault="00E047B2">
            <w:pPr>
              <w:jc w:val="right"/>
              <w:textAlignment w:val="bottom"/>
            </w:pPr>
            <w:r>
              <w:rPr>
                <w:rFonts w:ascii="sans-serif" w:eastAsia="sans-serif" w:hAnsi="sans-serif" w:cs="sans-serif"/>
                <w:b/>
                <w:bCs/>
                <w:color w:val="000000"/>
                <w:sz w:val="17"/>
                <w:szCs w:val="17"/>
              </w:rPr>
              <w:t>TOTAL</w:t>
            </w:r>
          </w:p>
        </w:tc>
      </w:tr>
      <w:tr w:rsidR="008E7A10" w14:paraId="746F0A0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9FA" w14:textId="77777777" w:rsidR="008E7A10" w:rsidRDefault="00E047B2">
            <w:pPr>
              <w:textAlignment w:val="bottom"/>
            </w:pPr>
            <w:r>
              <w:rPr>
                <w:rFonts w:ascii="Arial" w:eastAsia="宋体" w:hAnsi="Arial" w:cs="Arial"/>
                <w:b/>
                <w:bCs/>
                <w:color w:val="000000"/>
                <w:sz w:val="17"/>
                <w:szCs w:val="17"/>
              </w:rPr>
              <w:t>Balance at August 31, 2019</w:t>
            </w:r>
          </w:p>
        </w:tc>
        <w:tc>
          <w:tcPr>
            <w:tcW w:w="0" w:type="auto"/>
            <w:tcBorders>
              <w:top w:val="single" w:sz="8" w:space="0" w:color="E87722"/>
            </w:tcBorders>
            <w:shd w:val="clear" w:color="auto" w:fill="auto"/>
            <w:tcMar>
              <w:top w:w="40" w:type="dxa"/>
              <w:left w:w="20" w:type="dxa"/>
              <w:bottom w:w="40" w:type="dxa"/>
              <w:right w:w="0" w:type="dxa"/>
            </w:tcMar>
            <w:vAlign w:val="bottom"/>
          </w:tcPr>
          <w:p w14:paraId="746F09F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9FC" w14:textId="77777777" w:rsidR="008E7A10" w:rsidRDefault="00E047B2">
            <w:pPr>
              <w:jc w:val="right"/>
              <w:textAlignment w:val="bottom"/>
            </w:pPr>
            <w:r>
              <w:rPr>
                <w:rFonts w:ascii="Arial" w:eastAsia="宋体" w:hAnsi="Arial" w:cs="Arial"/>
                <w:b/>
                <w:bCs/>
                <w:color w:val="000000"/>
                <w:sz w:val="17"/>
                <w:szCs w:val="17"/>
              </w:rPr>
              <w:t>(435)</w:t>
            </w:r>
          </w:p>
        </w:tc>
        <w:tc>
          <w:tcPr>
            <w:tcW w:w="0" w:type="auto"/>
            <w:tcBorders>
              <w:top w:val="single" w:sz="8" w:space="0" w:color="E87722"/>
            </w:tcBorders>
            <w:shd w:val="clear" w:color="auto" w:fill="auto"/>
            <w:tcMar>
              <w:top w:w="40" w:type="dxa"/>
              <w:left w:w="0" w:type="dxa"/>
              <w:bottom w:w="40" w:type="dxa"/>
              <w:right w:w="20" w:type="dxa"/>
            </w:tcMar>
            <w:vAlign w:val="bottom"/>
          </w:tcPr>
          <w:p w14:paraId="746F09FD"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9F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9FF" w14:textId="77777777" w:rsidR="008E7A10" w:rsidRDefault="00E047B2">
            <w:pPr>
              <w:jc w:val="right"/>
              <w:textAlignment w:val="bottom"/>
            </w:pPr>
            <w:r>
              <w:rPr>
                <w:rFonts w:ascii="Arial" w:eastAsia="宋体" w:hAnsi="Arial" w:cs="Arial"/>
                <w:b/>
                <w:bCs/>
                <w:color w:val="000000"/>
                <w:sz w:val="17"/>
                <w:szCs w:val="17"/>
              </w:rPr>
              <w:t>556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00"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A0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02" w14:textId="77777777" w:rsidR="008E7A10" w:rsidRDefault="00E047B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03"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A0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05" w14:textId="77777777" w:rsidR="008E7A10" w:rsidRDefault="00E047B2">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06"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A0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08" w14:textId="77777777" w:rsidR="008E7A10" w:rsidRDefault="00E047B2">
            <w:pPr>
              <w:jc w:val="right"/>
              <w:textAlignment w:val="bottom"/>
            </w:pPr>
            <w:r>
              <w:rPr>
                <w:rFonts w:ascii="Arial" w:eastAsia="宋体" w:hAnsi="Arial" w:cs="Arial"/>
                <w:b/>
                <w:bCs/>
                <w:color w:val="000000"/>
                <w:sz w:val="17"/>
                <w:szCs w:val="17"/>
              </w:rPr>
              <w:t>180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09" w14:textId="77777777" w:rsidR="008E7A10" w:rsidRDefault="008E7A10">
            <w:pPr>
              <w:jc w:val="right"/>
              <w:rPr>
                <w:rFonts w:ascii="宋体"/>
              </w:rPr>
            </w:pPr>
          </w:p>
        </w:tc>
      </w:tr>
      <w:tr w:rsidR="008E7A10" w14:paraId="746F0A11"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746F0A0B" w14:textId="77777777" w:rsidR="008E7A10" w:rsidRDefault="00E047B2">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tcPr>
          <w:p w14:paraId="746F0A0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A0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A0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A0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A10" w14:textId="77777777" w:rsidR="008E7A10" w:rsidRDefault="008E7A10">
            <w:pPr>
              <w:rPr>
                <w:rFonts w:ascii="宋体"/>
              </w:rPr>
            </w:pPr>
          </w:p>
        </w:tc>
      </w:tr>
      <w:tr w:rsidR="008E7A10" w14:paraId="746F0A1D"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746F0A12" w14:textId="77777777" w:rsidR="008E7A10" w:rsidRDefault="00E047B2">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9"/>
                <w:szCs w:val="9"/>
              </w:rPr>
              <w:t>(2)</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13" w14:textId="77777777" w:rsidR="008E7A10" w:rsidRDefault="00E047B2">
            <w:pPr>
              <w:jc w:val="right"/>
              <w:textAlignment w:val="bottom"/>
            </w:pPr>
            <w:r>
              <w:rPr>
                <w:rFonts w:ascii="Arial" w:eastAsia="宋体" w:hAnsi="Arial" w:cs="Arial"/>
                <w:color w:val="000000"/>
                <w:sz w:val="17"/>
                <w:szCs w:val="17"/>
              </w:rPr>
              <w:t>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1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15" w14:textId="77777777" w:rsidR="008E7A10" w:rsidRDefault="00E047B2">
            <w:pPr>
              <w:jc w:val="right"/>
              <w:textAlignment w:val="bottom"/>
            </w:pPr>
            <w:r>
              <w:rPr>
                <w:rFonts w:ascii="Arial" w:eastAsia="宋体" w:hAnsi="Arial" w:cs="Arial"/>
                <w:color w:val="000000"/>
                <w:sz w:val="17"/>
                <w:szCs w:val="17"/>
              </w:rPr>
              <w:t>(26)</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1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17"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1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19" w14:textId="77777777" w:rsidR="008E7A10" w:rsidRDefault="00E047B2">
            <w:pPr>
              <w:jc w:val="right"/>
              <w:textAlignment w:val="bottom"/>
            </w:pPr>
            <w:r>
              <w:rPr>
                <w:rFonts w:ascii="Arial" w:eastAsia="宋体" w:hAnsi="Arial" w:cs="Arial"/>
                <w:color w:val="000000"/>
                <w:sz w:val="17"/>
                <w:szCs w:val="17"/>
              </w:rPr>
              <w:t>(2)</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1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1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1C" w14:textId="77777777" w:rsidR="008E7A10" w:rsidRDefault="008E7A10">
            <w:pPr>
              <w:jc w:val="right"/>
              <w:rPr>
                <w:rFonts w:ascii="宋体"/>
              </w:rPr>
            </w:pPr>
          </w:p>
        </w:tc>
      </w:tr>
      <w:tr w:rsidR="008E7A10" w14:paraId="746F0A29"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746F0A1E" w14:textId="77777777" w:rsidR="008E7A10" w:rsidRDefault="00E047B2">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9"/>
                <w:szCs w:val="9"/>
              </w:rPr>
              <w:t>(3)</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1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2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21" w14:textId="77777777" w:rsidR="008E7A10" w:rsidRDefault="00E047B2">
            <w:pPr>
              <w:jc w:val="right"/>
              <w:textAlignment w:val="bottom"/>
            </w:pPr>
            <w:r>
              <w:rPr>
                <w:rFonts w:ascii="Arial" w:eastAsia="宋体" w:hAnsi="Arial" w:cs="Arial"/>
                <w:color w:val="000000"/>
                <w:sz w:val="17"/>
                <w:szCs w:val="17"/>
              </w:rPr>
              <w:t>(129)</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2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23"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2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25"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2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27" w14:textId="77777777" w:rsidR="008E7A10" w:rsidRDefault="00E047B2">
            <w:pPr>
              <w:jc w:val="right"/>
              <w:textAlignment w:val="bottom"/>
            </w:pPr>
            <w:r>
              <w:rPr>
                <w:rFonts w:ascii="Arial" w:eastAsia="宋体" w:hAnsi="Arial" w:cs="Arial"/>
                <w:color w:val="000000"/>
                <w:sz w:val="17"/>
                <w:szCs w:val="17"/>
              </w:rPr>
              <w:t>(128)</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28" w14:textId="77777777" w:rsidR="008E7A10" w:rsidRDefault="008E7A10">
            <w:pPr>
              <w:jc w:val="right"/>
              <w:rPr>
                <w:rFonts w:ascii="宋体"/>
              </w:rPr>
            </w:pPr>
          </w:p>
        </w:tc>
      </w:tr>
      <w:tr w:rsidR="008E7A10" w14:paraId="746F0A3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A2A" w14:textId="77777777" w:rsidR="008E7A10" w:rsidRDefault="00E047B2">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A2B" w14:textId="77777777" w:rsidR="008E7A10" w:rsidRDefault="00E047B2">
            <w:pPr>
              <w:jc w:val="right"/>
              <w:textAlignment w:val="bottom"/>
            </w:pPr>
            <w:r>
              <w:rPr>
                <w:rFonts w:ascii="Arial" w:eastAsia="宋体" w:hAnsi="Arial" w:cs="Arial"/>
                <w:color w:val="000000"/>
                <w:sz w:val="17"/>
                <w:szCs w:val="17"/>
              </w:rPr>
              <w:t>28 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2C"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A2D" w14:textId="77777777" w:rsidR="008E7A10" w:rsidRDefault="00E047B2">
            <w:pPr>
              <w:jc w:val="right"/>
              <w:textAlignment w:val="bottom"/>
            </w:pPr>
            <w:r>
              <w:rPr>
                <w:rFonts w:ascii="Arial" w:eastAsia="宋体" w:hAnsi="Arial" w:cs="Arial"/>
                <w:color w:val="000000"/>
                <w:sz w:val="17"/>
                <w:szCs w:val="17"/>
              </w:rPr>
              <w:t>(155)</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2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A2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30"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A31"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32"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A33" w14:textId="77777777" w:rsidR="008E7A10" w:rsidRDefault="00E047B2">
            <w:pPr>
              <w:jc w:val="right"/>
              <w:textAlignment w:val="bottom"/>
            </w:pPr>
            <w:r>
              <w:rPr>
                <w:rFonts w:ascii="Arial" w:eastAsia="宋体" w:hAnsi="Arial" w:cs="Arial"/>
                <w:color w:val="000000"/>
                <w:sz w:val="17"/>
                <w:szCs w:val="17"/>
              </w:rPr>
              <w:t>(128)</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34" w14:textId="77777777" w:rsidR="008E7A10" w:rsidRDefault="008E7A10">
            <w:pPr>
              <w:jc w:val="right"/>
              <w:rPr>
                <w:rFonts w:ascii="宋体"/>
              </w:rPr>
            </w:pPr>
          </w:p>
        </w:tc>
      </w:tr>
      <w:tr w:rsidR="008E7A10" w14:paraId="746F0A4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A36" w14:textId="77777777" w:rsidR="008E7A10" w:rsidRDefault="00E047B2">
            <w:pPr>
              <w:textAlignment w:val="bottom"/>
            </w:pPr>
            <w:r>
              <w:rPr>
                <w:rFonts w:ascii="Arial" w:eastAsia="宋体" w:hAnsi="Arial" w:cs="Arial"/>
                <w:b/>
                <w:bCs/>
                <w:color w:val="000000"/>
                <w:sz w:val="17"/>
                <w:szCs w:val="17"/>
              </w:rPr>
              <w:t>Balance at November 30, 2019</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A3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A38" w14:textId="77777777" w:rsidR="008E7A10" w:rsidRDefault="00E047B2">
            <w:pPr>
              <w:jc w:val="right"/>
              <w:textAlignment w:val="bottom"/>
            </w:pPr>
            <w:r>
              <w:rPr>
                <w:rFonts w:ascii="Arial" w:eastAsia="宋体" w:hAnsi="Arial" w:cs="Arial"/>
                <w:b/>
                <w:bCs/>
                <w:color w:val="000000"/>
                <w:sz w:val="17"/>
                <w:szCs w:val="17"/>
              </w:rPr>
              <w:t>(407)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A39"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A3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A3B" w14:textId="77777777" w:rsidR="008E7A10" w:rsidRDefault="00E047B2">
            <w:pPr>
              <w:jc w:val="right"/>
              <w:textAlignment w:val="bottom"/>
            </w:pPr>
            <w:r>
              <w:rPr>
                <w:rFonts w:ascii="Arial" w:eastAsia="宋体" w:hAnsi="Arial" w:cs="Arial"/>
                <w:b/>
                <w:bCs/>
                <w:color w:val="000000"/>
                <w:sz w:val="17"/>
                <w:szCs w:val="17"/>
              </w:rPr>
              <w:t>401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A3C"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A3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A3E" w14:textId="77777777" w:rsidR="008E7A10" w:rsidRDefault="00E047B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A3F"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A4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A41" w14:textId="77777777" w:rsidR="008E7A10" w:rsidRDefault="00E047B2">
            <w:pPr>
              <w:jc w:val="right"/>
              <w:textAlignment w:val="bottom"/>
            </w:pPr>
            <w:r>
              <w:rPr>
                <w:rFonts w:ascii="Arial" w:eastAsia="宋体" w:hAnsi="Arial" w:cs="Arial"/>
                <w:b/>
                <w:bCs/>
                <w:color w:val="000000"/>
                <w:sz w:val="17"/>
                <w:szCs w:val="17"/>
              </w:rPr>
              <w:t>(57)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A42"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A4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A44" w14:textId="77777777" w:rsidR="008E7A10" w:rsidRDefault="00E047B2">
            <w:pPr>
              <w:jc w:val="right"/>
              <w:textAlignment w:val="bottom"/>
            </w:pPr>
            <w:r>
              <w:rPr>
                <w:rFonts w:ascii="Arial" w:eastAsia="宋体" w:hAnsi="Arial" w:cs="Arial"/>
                <w:b/>
                <w:bCs/>
                <w:color w:val="000000"/>
                <w:sz w:val="17"/>
                <w:szCs w:val="17"/>
              </w:rPr>
              <w:t>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A45" w14:textId="77777777" w:rsidR="008E7A10" w:rsidRDefault="008E7A10">
            <w:pPr>
              <w:jc w:val="right"/>
              <w:rPr>
                <w:rFonts w:ascii="宋体"/>
              </w:rPr>
            </w:pPr>
          </w:p>
        </w:tc>
      </w:tr>
    </w:tbl>
    <w:p w14:paraId="746F0A47" w14:textId="77777777" w:rsidR="008E7A10" w:rsidRDefault="00E047B2">
      <w:pPr>
        <w:spacing w:before="60" w:after="60"/>
        <w:ind w:hanging="360"/>
      </w:pPr>
      <w:r>
        <w:rPr>
          <w:rFonts w:ascii="Arial" w:eastAsia="宋体" w:hAnsi="Arial" w:cs="Arial"/>
          <w:i/>
          <w:iCs/>
          <w:color w:val="000000"/>
          <w:sz w:val="14"/>
          <w:szCs w:val="14"/>
        </w:rPr>
        <w:t>(1)The accumulated foreign currency translation adjustment and</w:t>
      </w:r>
      <w:r>
        <w:rPr>
          <w:rFonts w:ascii="Arial" w:eastAsia="宋体" w:hAnsi="Arial" w:cs="Arial"/>
          <w:i/>
          <w:iCs/>
          <w:color w:val="000000"/>
          <w:sz w:val="14"/>
          <w:szCs w:val="14"/>
        </w:rPr>
        <w:t xml:space="preserve"> net investment hedge gains/losses related to an investment in a foreign subsidiary are reclassified to Net income upon sale or upon complete or substantially complete liquidation of the respective entity.</w:t>
      </w:r>
    </w:p>
    <w:p w14:paraId="746F0A48" w14:textId="77777777" w:rsidR="008E7A10" w:rsidRDefault="00E047B2">
      <w:pPr>
        <w:spacing w:before="60" w:after="60"/>
        <w:ind w:hanging="360"/>
      </w:pPr>
      <w:r>
        <w:rPr>
          <w:rFonts w:ascii="Arial" w:eastAsia="宋体" w:hAnsi="Arial" w:cs="Arial"/>
          <w:i/>
          <w:iCs/>
          <w:color w:val="000000"/>
          <w:sz w:val="14"/>
          <w:szCs w:val="14"/>
        </w:rPr>
        <w:t xml:space="preserve">(2)Net of tax benefit (expense) of $0 </w:t>
      </w:r>
      <w:r>
        <w:rPr>
          <w:rFonts w:ascii="Arial" w:eastAsia="宋体" w:hAnsi="Arial" w:cs="Arial"/>
          <w:i/>
          <w:iCs/>
          <w:color w:val="000000"/>
          <w:sz w:val="14"/>
          <w:szCs w:val="14"/>
        </w:rPr>
        <w:t>million, $(7) million, $0 million, $0 million and $(7) million, respectively.</w:t>
      </w:r>
    </w:p>
    <w:p w14:paraId="746F0A49" w14:textId="77777777" w:rsidR="008E7A10" w:rsidRDefault="00E047B2">
      <w:pPr>
        <w:spacing w:before="60" w:after="60"/>
        <w:ind w:hanging="360"/>
      </w:pPr>
      <w:r>
        <w:rPr>
          <w:rFonts w:ascii="Arial" w:eastAsia="宋体" w:hAnsi="Arial" w:cs="Arial"/>
          <w:i/>
          <w:iCs/>
          <w:color w:val="000000"/>
          <w:sz w:val="14"/>
          <w:szCs w:val="14"/>
        </w:rPr>
        <w:t>(3)Net of tax (benefit) expense of $0 million, $1 million, $0 million, $0 million and $1 million, respectively.</w:t>
      </w:r>
    </w:p>
    <w:tbl>
      <w:tblPr>
        <w:tblW w:w="4872" w:type="pct"/>
        <w:tblCellMar>
          <w:top w:w="15" w:type="dxa"/>
          <w:left w:w="15" w:type="dxa"/>
          <w:bottom w:w="15" w:type="dxa"/>
          <w:right w:w="15" w:type="dxa"/>
        </w:tblCellMar>
        <w:tblLook w:val="04A0" w:firstRow="1" w:lastRow="0" w:firstColumn="1" w:lastColumn="0" w:noHBand="0" w:noVBand="1"/>
      </w:tblPr>
      <w:tblGrid>
        <w:gridCol w:w="40"/>
        <w:gridCol w:w="3485"/>
        <w:gridCol w:w="39"/>
        <w:gridCol w:w="116"/>
        <w:gridCol w:w="1032"/>
        <w:gridCol w:w="36"/>
        <w:gridCol w:w="116"/>
        <w:gridCol w:w="633"/>
        <w:gridCol w:w="36"/>
        <w:gridCol w:w="116"/>
        <w:gridCol w:w="869"/>
        <w:gridCol w:w="36"/>
        <w:gridCol w:w="116"/>
        <w:gridCol w:w="633"/>
        <w:gridCol w:w="36"/>
        <w:gridCol w:w="115"/>
        <w:gridCol w:w="633"/>
        <w:gridCol w:w="36"/>
      </w:tblGrid>
      <w:tr w:rsidR="008E7A10" w14:paraId="746F0A5C" w14:textId="77777777">
        <w:tc>
          <w:tcPr>
            <w:tcW w:w="50" w:type="pct"/>
            <w:shd w:val="clear" w:color="auto" w:fill="auto"/>
          </w:tcPr>
          <w:p w14:paraId="746F0A4A" w14:textId="77777777" w:rsidR="008E7A10" w:rsidRDefault="008E7A10">
            <w:pPr>
              <w:rPr>
                <w:rFonts w:ascii="宋体"/>
              </w:rPr>
            </w:pPr>
          </w:p>
        </w:tc>
        <w:tc>
          <w:tcPr>
            <w:tcW w:w="2263" w:type="pct"/>
            <w:shd w:val="clear" w:color="auto" w:fill="auto"/>
          </w:tcPr>
          <w:p w14:paraId="746F0A4B" w14:textId="77777777" w:rsidR="008E7A10" w:rsidRDefault="008E7A10">
            <w:pPr>
              <w:rPr>
                <w:rFonts w:ascii="宋体"/>
              </w:rPr>
            </w:pPr>
          </w:p>
        </w:tc>
        <w:tc>
          <w:tcPr>
            <w:tcW w:w="5" w:type="pct"/>
            <w:shd w:val="clear" w:color="auto" w:fill="auto"/>
          </w:tcPr>
          <w:p w14:paraId="746F0A4C" w14:textId="77777777" w:rsidR="008E7A10" w:rsidRDefault="008E7A10">
            <w:pPr>
              <w:rPr>
                <w:rFonts w:ascii="宋体"/>
              </w:rPr>
            </w:pPr>
          </w:p>
        </w:tc>
        <w:tc>
          <w:tcPr>
            <w:tcW w:w="50" w:type="pct"/>
            <w:shd w:val="clear" w:color="auto" w:fill="auto"/>
          </w:tcPr>
          <w:p w14:paraId="746F0A4D" w14:textId="77777777" w:rsidR="008E7A10" w:rsidRDefault="008E7A10">
            <w:pPr>
              <w:rPr>
                <w:rFonts w:ascii="宋体"/>
              </w:rPr>
            </w:pPr>
          </w:p>
        </w:tc>
        <w:tc>
          <w:tcPr>
            <w:tcW w:w="561" w:type="pct"/>
            <w:shd w:val="clear" w:color="auto" w:fill="auto"/>
          </w:tcPr>
          <w:p w14:paraId="746F0A4E" w14:textId="77777777" w:rsidR="008E7A10" w:rsidRDefault="008E7A10">
            <w:pPr>
              <w:rPr>
                <w:rFonts w:ascii="宋体"/>
              </w:rPr>
            </w:pPr>
          </w:p>
        </w:tc>
        <w:tc>
          <w:tcPr>
            <w:tcW w:w="5" w:type="pct"/>
            <w:shd w:val="clear" w:color="auto" w:fill="auto"/>
          </w:tcPr>
          <w:p w14:paraId="746F0A4F" w14:textId="77777777" w:rsidR="008E7A10" w:rsidRDefault="008E7A10">
            <w:pPr>
              <w:rPr>
                <w:rFonts w:ascii="宋体"/>
              </w:rPr>
            </w:pPr>
          </w:p>
        </w:tc>
        <w:tc>
          <w:tcPr>
            <w:tcW w:w="50" w:type="pct"/>
            <w:shd w:val="clear" w:color="auto" w:fill="auto"/>
          </w:tcPr>
          <w:p w14:paraId="746F0A50" w14:textId="77777777" w:rsidR="008E7A10" w:rsidRDefault="008E7A10">
            <w:pPr>
              <w:rPr>
                <w:rFonts w:ascii="宋体"/>
              </w:rPr>
            </w:pPr>
          </w:p>
        </w:tc>
        <w:tc>
          <w:tcPr>
            <w:tcW w:w="461" w:type="pct"/>
            <w:shd w:val="clear" w:color="auto" w:fill="auto"/>
          </w:tcPr>
          <w:p w14:paraId="746F0A51" w14:textId="77777777" w:rsidR="008E7A10" w:rsidRDefault="008E7A10">
            <w:pPr>
              <w:rPr>
                <w:rFonts w:ascii="宋体"/>
              </w:rPr>
            </w:pPr>
          </w:p>
        </w:tc>
        <w:tc>
          <w:tcPr>
            <w:tcW w:w="5" w:type="pct"/>
            <w:shd w:val="clear" w:color="auto" w:fill="auto"/>
          </w:tcPr>
          <w:p w14:paraId="746F0A52" w14:textId="77777777" w:rsidR="008E7A10" w:rsidRDefault="008E7A10">
            <w:pPr>
              <w:rPr>
                <w:rFonts w:ascii="宋体"/>
              </w:rPr>
            </w:pPr>
          </w:p>
        </w:tc>
        <w:tc>
          <w:tcPr>
            <w:tcW w:w="50" w:type="pct"/>
            <w:shd w:val="clear" w:color="auto" w:fill="auto"/>
          </w:tcPr>
          <w:p w14:paraId="746F0A53" w14:textId="77777777" w:rsidR="008E7A10" w:rsidRDefault="008E7A10">
            <w:pPr>
              <w:rPr>
                <w:rFonts w:ascii="宋体"/>
              </w:rPr>
            </w:pPr>
          </w:p>
        </w:tc>
        <w:tc>
          <w:tcPr>
            <w:tcW w:w="461" w:type="pct"/>
            <w:shd w:val="clear" w:color="auto" w:fill="auto"/>
          </w:tcPr>
          <w:p w14:paraId="746F0A54" w14:textId="77777777" w:rsidR="008E7A10" w:rsidRDefault="008E7A10">
            <w:pPr>
              <w:rPr>
                <w:rFonts w:ascii="宋体"/>
              </w:rPr>
            </w:pPr>
          </w:p>
        </w:tc>
        <w:tc>
          <w:tcPr>
            <w:tcW w:w="5" w:type="pct"/>
            <w:shd w:val="clear" w:color="auto" w:fill="auto"/>
          </w:tcPr>
          <w:p w14:paraId="746F0A55" w14:textId="77777777" w:rsidR="008E7A10" w:rsidRDefault="008E7A10">
            <w:pPr>
              <w:rPr>
                <w:rFonts w:ascii="宋体"/>
              </w:rPr>
            </w:pPr>
          </w:p>
        </w:tc>
        <w:tc>
          <w:tcPr>
            <w:tcW w:w="50" w:type="pct"/>
            <w:shd w:val="clear" w:color="auto" w:fill="auto"/>
          </w:tcPr>
          <w:p w14:paraId="746F0A56" w14:textId="77777777" w:rsidR="008E7A10" w:rsidRDefault="008E7A10">
            <w:pPr>
              <w:rPr>
                <w:rFonts w:ascii="宋体"/>
              </w:rPr>
            </w:pPr>
          </w:p>
        </w:tc>
        <w:tc>
          <w:tcPr>
            <w:tcW w:w="461" w:type="pct"/>
            <w:shd w:val="clear" w:color="auto" w:fill="auto"/>
          </w:tcPr>
          <w:p w14:paraId="746F0A57" w14:textId="77777777" w:rsidR="008E7A10" w:rsidRDefault="008E7A10">
            <w:pPr>
              <w:rPr>
                <w:rFonts w:ascii="宋体"/>
              </w:rPr>
            </w:pPr>
          </w:p>
        </w:tc>
        <w:tc>
          <w:tcPr>
            <w:tcW w:w="5" w:type="pct"/>
            <w:shd w:val="clear" w:color="auto" w:fill="auto"/>
          </w:tcPr>
          <w:p w14:paraId="746F0A58" w14:textId="77777777" w:rsidR="008E7A10" w:rsidRDefault="008E7A10">
            <w:pPr>
              <w:rPr>
                <w:rFonts w:ascii="宋体"/>
              </w:rPr>
            </w:pPr>
          </w:p>
        </w:tc>
        <w:tc>
          <w:tcPr>
            <w:tcW w:w="50" w:type="pct"/>
            <w:shd w:val="clear" w:color="auto" w:fill="auto"/>
          </w:tcPr>
          <w:p w14:paraId="746F0A59" w14:textId="77777777" w:rsidR="008E7A10" w:rsidRDefault="008E7A10">
            <w:pPr>
              <w:rPr>
                <w:rFonts w:ascii="宋体"/>
              </w:rPr>
            </w:pPr>
          </w:p>
        </w:tc>
        <w:tc>
          <w:tcPr>
            <w:tcW w:w="461" w:type="pct"/>
            <w:shd w:val="clear" w:color="auto" w:fill="auto"/>
          </w:tcPr>
          <w:p w14:paraId="746F0A5A" w14:textId="77777777" w:rsidR="008E7A10" w:rsidRDefault="008E7A10">
            <w:pPr>
              <w:rPr>
                <w:rFonts w:ascii="宋体"/>
              </w:rPr>
            </w:pPr>
          </w:p>
        </w:tc>
        <w:tc>
          <w:tcPr>
            <w:tcW w:w="5" w:type="pct"/>
            <w:shd w:val="clear" w:color="auto" w:fill="auto"/>
          </w:tcPr>
          <w:p w14:paraId="746F0A5B" w14:textId="77777777" w:rsidR="008E7A10" w:rsidRDefault="008E7A10">
            <w:pPr>
              <w:rPr>
                <w:rFonts w:ascii="宋体"/>
              </w:rPr>
            </w:pPr>
          </w:p>
        </w:tc>
      </w:tr>
      <w:tr w:rsidR="008E7A10" w14:paraId="746F0A63" w14:textId="77777777">
        <w:tc>
          <w:tcPr>
            <w:tcW w:w="0" w:type="auto"/>
            <w:gridSpan w:val="3"/>
            <w:shd w:val="clear" w:color="auto" w:fill="auto"/>
            <w:tcMar>
              <w:top w:w="40" w:type="dxa"/>
              <w:left w:w="20" w:type="dxa"/>
              <w:bottom w:w="40" w:type="dxa"/>
              <w:right w:w="20" w:type="dxa"/>
            </w:tcMar>
            <w:vAlign w:val="bottom"/>
          </w:tcPr>
          <w:p w14:paraId="746F0A5D"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46F0A5E" w14:textId="77777777" w:rsidR="008E7A10" w:rsidRDefault="00E047B2">
            <w:pPr>
              <w:jc w:val="right"/>
              <w:textAlignment w:val="bottom"/>
            </w:pPr>
            <w:r>
              <w:rPr>
                <w:rFonts w:ascii="sans-serif" w:eastAsia="sans-serif" w:hAnsi="sans-serif" w:cs="sans-serif"/>
                <w:b/>
                <w:bCs/>
                <w:color w:val="000000"/>
                <w:sz w:val="17"/>
                <w:szCs w:val="17"/>
              </w:rPr>
              <w:t>FOREIGN CURRENCY TRANSLATION ADJUSTM</w:t>
            </w:r>
            <w:r>
              <w:rPr>
                <w:rFonts w:ascii="sans-serif" w:eastAsia="sans-serif" w:hAnsi="sans-serif" w:cs="sans-serif"/>
                <w:b/>
                <w:bCs/>
                <w:color w:val="000000"/>
                <w:sz w:val="17"/>
                <w:szCs w:val="17"/>
              </w:rPr>
              <w:t>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746F0A5F" w14:textId="77777777" w:rsidR="008E7A10" w:rsidRDefault="00E047B2">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746F0A60" w14:textId="77777777" w:rsidR="008E7A10" w:rsidRDefault="00E047B2">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746F0A61" w14:textId="77777777" w:rsidR="008E7A10" w:rsidRDefault="00E047B2">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746F0A62" w14:textId="77777777" w:rsidR="008E7A10" w:rsidRDefault="00E047B2">
            <w:pPr>
              <w:jc w:val="right"/>
              <w:textAlignment w:val="bottom"/>
            </w:pPr>
            <w:r>
              <w:rPr>
                <w:rFonts w:ascii="sans-serif" w:eastAsia="sans-serif" w:hAnsi="sans-serif" w:cs="sans-serif"/>
                <w:b/>
                <w:bCs/>
                <w:color w:val="000000"/>
                <w:sz w:val="17"/>
                <w:szCs w:val="17"/>
              </w:rPr>
              <w:t>TOTAL</w:t>
            </w:r>
          </w:p>
        </w:tc>
      </w:tr>
      <w:tr w:rsidR="008E7A10" w14:paraId="746F0A7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A64" w14:textId="77777777" w:rsidR="008E7A10" w:rsidRDefault="00E047B2">
            <w:pPr>
              <w:textAlignment w:val="bottom"/>
            </w:pPr>
            <w:r>
              <w:rPr>
                <w:rFonts w:ascii="Arial" w:eastAsia="宋体" w:hAnsi="Arial" w:cs="Arial"/>
                <w:b/>
                <w:bCs/>
                <w:color w:val="000000"/>
                <w:sz w:val="17"/>
                <w:szCs w:val="17"/>
              </w:rPr>
              <w:t>Balance at May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746F0A6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66" w14:textId="77777777" w:rsidR="008E7A10" w:rsidRDefault="00E047B2">
            <w:pPr>
              <w:jc w:val="right"/>
              <w:textAlignment w:val="bottom"/>
            </w:pPr>
            <w:r>
              <w:rPr>
                <w:rFonts w:ascii="Arial" w:eastAsia="宋体" w:hAnsi="Arial" w:cs="Arial"/>
                <w:b/>
                <w:bCs/>
                <w:color w:val="000000"/>
                <w:sz w:val="17"/>
                <w:szCs w:val="17"/>
              </w:rPr>
              <w:t>(494)</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67"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A6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69" w14:textId="77777777" w:rsidR="008E7A10" w:rsidRDefault="00E047B2">
            <w:pPr>
              <w:jc w:val="right"/>
              <w:textAlignment w:val="bottom"/>
            </w:pPr>
            <w:r>
              <w:rPr>
                <w:rFonts w:ascii="Arial" w:eastAsia="宋体" w:hAnsi="Arial" w:cs="Arial"/>
                <w:b/>
                <w:bCs/>
                <w:color w:val="000000"/>
                <w:sz w:val="17"/>
                <w:szCs w:val="17"/>
              </w:rPr>
              <w:t>390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6A"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A6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6C" w14:textId="77777777" w:rsidR="008E7A10" w:rsidRDefault="00E047B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6D"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A6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6F" w14:textId="77777777" w:rsidR="008E7A10" w:rsidRDefault="00E047B2">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70"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A7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72" w14:textId="77777777" w:rsidR="008E7A10" w:rsidRDefault="00E047B2">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73" w14:textId="77777777" w:rsidR="008E7A10" w:rsidRDefault="008E7A10">
            <w:pPr>
              <w:jc w:val="right"/>
              <w:rPr>
                <w:rFonts w:ascii="宋体"/>
              </w:rPr>
            </w:pPr>
          </w:p>
        </w:tc>
      </w:tr>
      <w:tr w:rsidR="008E7A10" w14:paraId="746F0A7B"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746F0A75" w14:textId="77777777" w:rsidR="008E7A10" w:rsidRDefault="00E047B2">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tcPr>
          <w:p w14:paraId="746F0A76"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A77"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A78"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A79"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A7A" w14:textId="77777777" w:rsidR="008E7A10" w:rsidRDefault="008E7A10">
            <w:pPr>
              <w:rPr>
                <w:rFonts w:ascii="宋体"/>
              </w:rPr>
            </w:pPr>
          </w:p>
        </w:tc>
      </w:tr>
      <w:tr w:rsidR="008E7A10" w14:paraId="746F0A87"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746F0A7C" w14:textId="77777777" w:rsidR="008E7A10" w:rsidRDefault="00E047B2">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A7D" w14:textId="77777777" w:rsidR="008E7A10" w:rsidRDefault="00E047B2">
            <w:pPr>
              <w:jc w:val="right"/>
              <w:textAlignment w:val="bottom"/>
            </w:pPr>
            <w:r>
              <w:rPr>
                <w:rFonts w:ascii="Arial" w:eastAsia="宋体" w:hAnsi="Arial" w:cs="Arial"/>
                <w:color w:val="000000"/>
                <w:sz w:val="17"/>
                <w:szCs w:val="17"/>
              </w:rPr>
              <w:t>397 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A7E"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A7F" w14:textId="77777777" w:rsidR="008E7A10" w:rsidRDefault="00E047B2">
            <w:pPr>
              <w:jc w:val="right"/>
              <w:textAlignment w:val="bottom"/>
            </w:pPr>
            <w:r>
              <w:rPr>
                <w:rFonts w:ascii="Arial" w:eastAsia="宋体" w:hAnsi="Arial" w:cs="Arial"/>
                <w:color w:val="000000"/>
                <w:sz w:val="17"/>
                <w:szCs w:val="17"/>
              </w:rPr>
              <w:t>(590)</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A80"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A81"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A82"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A83" w14:textId="77777777" w:rsidR="008E7A10" w:rsidRDefault="00E047B2">
            <w:pPr>
              <w:jc w:val="right"/>
              <w:textAlignment w:val="bottom"/>
            </w:pPr>
            <w:r>
              <w:rPr>
                <w:rFonts w:ascii="Arial" w:eastAsia="宋体" w:hAnsi="Arial" w:cs="Arial"/>
                <w:color w:val="000000"/>
                <w:sz w:val="17"/>
                <w:szCs w:val="17"/>
              </w:rPr>
              <w:t>(15)</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A84"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A85" w14:textId="77777777" w:rsidR="008E7A10" w:rsidRDefault="00E047B2">
            <w:pPr>
              <w:jc w:val="right"/>
              <w:textAlignment w:val="bottom"/>
            </w:pPr>
            <w:r>
              <w:rPr>
                <w:rFonts w:ascii="Arial" w:eastAsia="宋体" w:hAnsi="Arial" w:cs="Arial"/>
                <w:color w:val="000000"/>
                <w:sz w:val="17"/>
                <w:szCs w:val="17"/>
              </w:rPr>
              <w:t>(208)</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A86" w14:textId="77777777" w:rsidR="008E7A10" w:rsidRDefault="008E7A10">
            <w:pPr>
              <w:jc w:val="right"/>
              <w:rPr>
                <w:rFonts w:ascii="宋体"/>
              </w:rPr>
            </w:pPr>
          </w:p>
        </w:tc>
      </w:tr>
      <w:tr w:rsidR="008E7A10" w14:paraId="746F0A93"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746F0A88" w14:textId="77777777" w:rsidR="008E7A10" w:rsidRDefault="00E047B2">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9"/>
                <w:szCs w:val="9"/>
              </w:rPr>
              <w:t>(3)</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A89"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A8A"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A8B" w14:textId="77777777" w:rsidR="008E7A10" w:rsidRDefault="00E047B2">
            <w:pPr>
              <w:jc w:val="right"/>
              <w:textAlignment w:val="bottom"/>
            </w:pPr>
            <w:r>
              <w:rPr>
                <w:rFonts w:ascii="Arial" w:eastAsia="宋体" w:hAnsi="Arial" w:cs="Arial"/>
                <w:color w:val="000000"/>
                <w:sz w:val="17"/>
                <w:szCs w:val="17"/>
              </w:rPr>
              <w:t>(171)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A8C"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A8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A8E"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A8F"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A90"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A91" w14:textId="77777777" w:rsidR="008E7A10" w:rsidRDefault="00E047B2">
            <w:pPr>
              <w:jc w:val="right"/>
              <w:textAlignment w:val="bottom"/>
            </w:pPr>
            <w:r>
              <w:rPr>
                <w:rFonts w:ascii="Arial" w:eastAsia="宋体" w:hAnsi="Arial" w:cs="Arial"/>
                <w:color w:val="000000"/>
                <w:sz w:val="17"/>
                <w:szCs w:val="17"/>
              </w:rPr>
              <w:t>(165)</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A92" w14:textId="77777777" w:rsidR="008E7A10" w:rsidRDefault="008E7A10">
            <w:pPr>
              <w:jc w:val="right"/>
              <w:rPr>
                <w:rFonts w:ascii="宋体"/>
              </w:rPr>
            </w:pPr>
          </w:p>
        </w:tc>
      </w:tr>
      <w:tr w:rsidR="008E7A10" w14:paraId="746F0A9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A94" w14:textId="77777777" w:rsidR="008E7A10" w:rsidRDefault="00E047B2">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A95" w14:textId="77777777" w:rsidR="008E7A10" w:rsidRDefault="00E047B2">
            <w:pPr>
              <w:jc w:val="right"/>
              <w:textAlignment w:val="bottom"/>
            </w:pPr>
            <w:r>
              <w:rPr>
                <w:rFonts w:ascii="Arial" w:eastAsia="宋体" w:hAnsi="Arial" w:cs="Arial"/>
                <w:color w:val="000000"/>
                <w:sz w:val="17"/>
                <w:szCs w:val="17"/>
              </w:rPr>
              <w:t>396 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A96" w14:textId="77777777" w:rsidR="008E7A10" w:rsidRDefault="008E7A10">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A97" w14:textId="77777777" w:rsidR="008E7A10" w:rsidRDefault="00E047B2">
            <w:pPr>
              <w:jc w:val="right"/>
              <w:textAlignment w:val="bottom"/>
            </w:pPr>
            <w:r>
              <w:rPr>
                <w:rFonts w:ascii="Arial" w:eastAsia="宋体" w:hAnsi="Arial" w:cs="Arial"/>
                <w:color w:val="000000"/>
                <w:sz w:val="17"/>
                <w:szCs w:val="17"/>
              </w:rPr>
              <w:t>(761)</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A98" w14:textId="77777777" w:rsidR="008E7A10" w:rsidRDefault="008E7A10">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A99"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A9A" w14:textId="77777777" w:rsidR="008E7A10" w:rsidRDefault="008E7A10">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A9B" w14:textId="77777777" w:rsidR="008E7A10" w:rsidRDefault="00E047B2">
            <w:pPr>
              <w:jc w:val="right"/>
              <w:textAlignment w:val="bottom"/>
            </w:pPr>
            <w:r>
              <w:rPr>
                <w:rFonts w:ascii="Arial" w:eastAsia="宋体" w:hAnsi="Arial" w:cs="Arial"/>
                <w:color w:val="000000"/>
                <w:sz w:val="17"/>
                <w:szCs w:val="17"/>
              </w:rPr>
              <w:t>(8)</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A9C" w14:textId="77777777" w:rsidR="008E7A10" w:rsidRDefault="008E7A10">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A9D" w14:textId="77777777" w:rsidR="008E7A10" w:rsidRDefault="00E047B2">
            <w:pPr>
              <w:jc w:val="right"/>
              <w:textAlignment w:val="bottom"/>
            </w:pPr>
            <w:r>
              <w:rPr>
                <w:rFonts w:ascii="Arial" w:eastAsia="宋体" w:hAnsi="Arial" w:cs="Arial"/>
                <w:color w:val="000000"/>
                <w:sz w:val="17"/>
                <w:szCs w:val="17"/>
              </w:rPr>
              <w:t>(373)</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A9E" w14:textId="77777777" w:rsidR="008E7A10" w:rsidRDefault="008E7A10">
            <w:pPr>
              <w:jc w:val="right"/>
              <w:rPr>
                <w:rFonts w:ascii="宋体"/>
              </w:rPr>
            </w:pPr>
          </w:p>
        </w:tc>
      </w:tr>
      <w:tr w:rsidR="008E7A10" w14:paraId="746F0AB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AA0" w14:textId="77777777" w:rsidR="008E7A10" w:rsidRDefault="00E047B2">
            <w:pPr>
              <w:textAlignment w:val="bottom"/>
            </w:pPr>
            <w:r>
              <w:rPr>
                <w:rFonts w:ascii="Arial" w:eastAsia="宋体" w:hAnsi="Arial" w:cs="Arial"/>
                <w:b/>
                <w:bCs/>
                <w:color w:val="000000"/>
                <w:sz w:val="17"/>
                <w:szCs w:val="17"/>
              </w:rPr>
              <w:t>Balance at November 30, 2020</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AA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AA2" w14:textId="77777777" w:rsidR="008E7A10" w:rsidRDefault="00E047B2">
            <w:pPr>
              <w:jc w:val="right"/>
              <w:textAlignment w:val="bottom"/>
            </w:pPr>
            <w:r>
              <w:rPr>
                <w:rFonts w:ascii="Arial" w:eastAsia="宋体" w:hAnsi="Arial" w:cs="Arial"/>
                <w:b/>
                <w:bCs/>
                <w:color w:val="000000"/>
                <w:sz w:val="17"/>
                <w:szCs w:val="17"/>
              </w:rPr>
              <w:t>(98)</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AA3"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AA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AA5" w14:textId="77777777" w:rsidR="008E7A10" w:rsidRDefault="00E047B2">
            <w:pPr>
              <w:jc w:val="right"/>
              <w:textAlignment w:val="bottom"/>
            </w:pPr>
            <w:r>
              <w:rPr>
                <w:rFonts w:ascii="Arial" w:eastAsia="宋体" w:hAnsi="Arial" w:cs="Arial"/>
                <w:b/>
                <w:bCs/>
                <w:color w:val="000000"/>
                <w:sz w:val="17"/>
                <w:szCs w:val="17"/>
              </w:rPr>
              <w:t>(371)</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AA6"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AA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AA8" w14:textId="77777777" w:rsidR="008E7A10" w:rsidRDefault="00E047B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AA9"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AA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AAB" w14:textId="77777777" w:rsidR="008E7A10" w:rsidRDefault="00E047B2">
            <w:pPr>
              <w:jc w:val="right"/>
              <w:textAlignment w:val="bottom"/>
            </w:pPr>
            <w:r>
              <w:rPr>
                <w:rFonts w:ascii="Arial" w:eastAsia="宋体" w:hAnsi="Arial" w:cs="Arial"/>
                <w:b/>
                <w:bCs/>
                <w:color w:val="000000"/>
                <w:sz w:val="17"/>
                <w:szCs w:val="17"/>
              </w:rPr>
              <w:t>(75)</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AAC"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AA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AAE" w14:textId="77777777" w:rsidR="008E7A10" w:rsidRDefault="00E047B2">
            <w:pPr>
              <w:jc w:val="right"/>
              <w:textAlignment w:val="bottom"/>
            </w:pPr>
            <w:r>
              <w:rPr>
                <w:rFonts w:ascii="Arial" w:eastAsia="宋体" w:hAnsi="Arial" w:cs="Arial"/>
                <w:b/>
                <w:bCs/>
                <w:color w:val="000000"/>
                <w:sz w:val="17"/>
                <w:szCs w:val="17"/>
              </w:rPr>
              <w:t>(429)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AAF" w14:textId="77777777" w:rsidR="008E7A10" w:rsidRDefault="008E7A10">
            <w:pPr>
              <w:jc w:val="right"/>
              <w:rPr>
                <w:rFonts w:ascii="宋体"/>
              </w:rPr>
            </w:pPr>
          </w:p>
        </w:tc>
      </w:tr>
    </w:tbl>
    <w:p w14:paraId="746F0AB1" w14:textId="77777777" w:rsidR="008E7A10" w:rsidRDefault="00E047B2">
      <w:pPr>
        <w:spacing w:before="60" w:after="60"/>
        <w:ind w:hanging="360"/>
      </w:pPr>
      <w:r>
        <w:rPr>
          <w:rFonts w:ascii="Arial" w:eastAsia="宋体" w:hAnsi="Arial" w:cs="Arial"/>
          <w:i/>
          <w:iCs/>
          <w:color w:val="000000"/>
          <w:sz w:val="14"/>
          <w:szCs w:val="14"/>
        </w:rPr>
        <w:t>(1)The accumulated foreign currency translation adjustment a</w:t>
      </w:r>
      <w:r>
        <w:rPr>
          <w:rFonts w:ascii="Arial" w:eastAsia="宋体" w:hAnsi="Arial" w:cs="Arial"/>
          <w:i/>
          <w:iCs/>
          <w:color w:val="000000"/>
          <w:sz w:val="14"/>
          <w:szCs w:val="14"/>
        </w:rPr>
        <w:t>nd net investment hedge gains/losses related to an investment in a foreign subsidiary are reclassified to Net income upon sale or upon complete or substantially complete liquidation of the respective entity.</w:t>
      </w:r>
    </w:p>
    <w:p w14:paraId="746F0AB2" w14:textId="77777777" w:rsidR="008E7A10" w:rsidRDefault="00E047B2">
      <w:pPr>
        <w:spacing w:before="60" w:after="60"/>
        <w:ind w:hanging="360"/>
      </w:pPr>
      <w:r>
        <w:rPr>
          <w:rFonts w:ascii="Arial" w:eastAsia="宋体" w:hAnsi="Arial" w:cs="Arial"/>
          <w:i/>
          <w:iCs/>
          <w:color w:val="000000"/>
          <w:sz w:val="14"/>
          <w:szCs w:val="14"/>
        </w:rPr>
        <w:t xml:space="preserve">(2)Net of tax benefit (expense) of $0 </w:t>
      </w:r>
      <w:r>
        <w:rPr>
          <w:rFonts w:ascii="Arial" w:eastAsia="宋体" w:hAnsi="Arial" w:cs="Arial"/>
          <w:i/>
          <w:iCs/>
          <w:color w:val="000000"/>
          <w:sz w:val="14"/>
          <w:szCs w:val="14"/>
        </w:rPr>
        <w:t>million, $0 million, $0 million, $1 million and $1 million, respectively.</w:t>
      </w:r>
    </w:p>
    <w:p w14:paraId="746F0AB3" w14:textId="77777777" w:rsidR="008E7A10" w:rsidRDefault="00E047B2">
      <w:pPr>
        <w:spacing w:before="60" w:after="60"/>
        <w:ind w:hanging="360"/>
      </w:pPr>
      <w:r>
        <w:rPr>
          <w:rFonts w:ascii="Arial" w:eastAsia="宋体" w:hAnsi="Arial" w:cs="Arial"/>
          <w:i/>
          <w:iCs/>
          <w:color w:val="000000"/>
          <w:sz w:val="14"/>
          <w:szCs w:val="14"/>
        </w:rPr>
        <w:t>(3)Net of tax (benefit) expense of $0 million, $7 million, $0 million, $0 million and $7 million, respectively.</w:t>
      </w:r>
    </w:p>
    <w:p w14:paraId="746F0AB4" w14:textId="77777777" w:rsidR="008E7A10" w:rsidRDefault="00E047B2">
      <w:pPr>
        <w:spacing w:before="120" w:after="120"/>
        <w:jc w:val="right"/>
      </w:pPr>
      <w:r>
        <w:rPr>
          <w:rFonts w:ascii="Arial" w:eastAsia="宋体" w:hAnsi="Arial" w:cs="Arial"/>
          <w:color w:val="E87722"/>
          <w:sz w:val="17"/>
          <w:szCs w:val="17"/>
        </w:rPr>
        <w:t>17</w:t>
      </w:r>
    </w:p>
    <w:p w14:paraId="746F0AB5" w14:textId="77777777" w:rsidR="008E7A10" w:rsidRDefault="00E047B2">
      <w:r>
        <w:pict w14:anchorId="746F2019">
          <v:rect id="_x0000_i1043" style="width:415.3pt;height:1.5pt" o:hralign="center" o:hrstd="t" o:hr="t" fillcolor="#a0a0a0" stroked="f"/>
        </w:pict>
      </w:r>
    </w:p>
    <w:p w14:paraId="746F0AB6" w14:textId="77777777" w:rsidR="008E7A10" w:rsidRDefault="008E7A10"/>
    <w:p w14:paraId="746F0AB7" w14:textId="77777777" w:rsidR="008E7A10" w:rsidRDefault="00E047B2">
      <w:hyperlink r:id="rId88" w:anchor="i31a624617c6c41b38f8f700fa0df5bde_7" w:history="1">
        <w:r>
          <w:rPr>
            <w:rStyle w:val="a5"/>
            <w:rFonts w:ascii="sans-serif" w:eastAsia="sans-serif" w:hAnsi="sans-serif" w:cs="sans-serif"/>
            <w:sz w:val="17"/>
            <w:szCs w:val="17"/>
          </w:rPr>
          <w:t>Table of Contents</w:t>
        </w:r>
      </w:hyperlink>
    </w:p>
    <w:p w14:paraId="746F0AB8" w14:textId="77777777" w:rsidR="008E7A10" w:rsidRDefault="008E7A10"/>
    <w:tbl>
      <w:tblPr>
        <w:tblW w:w="4872" w:type="pct"/>
        <w:tblCellMar>
          <w:top w:w="15" w:type="dxa"/>
          <w:left w:w="15" w:type="dxa"/>
          <w:bottom w:w="15" w:type="dxa"/>
          <w:right w:w="15" w:type="dxa"/>
        </w:tblCellMar>
        <w:tblLook w:val="04A0" w:firstRow="1" w:lastRow="0" w:firstColumn="1" w:lastColumn="0" w:noHBand="0" w:noVBand="1"/>
      </w:tblPr>
      <w:tblGrid>
        <w:gridCol w:w="40"/>
        <w:gridCol w:w="3485"/>
        <w:gridCol w:w="39"/>
        <w:gridCol w:w="116"/>
        <w:gridCol w:w="1032"/>
        <w:gridCol w:w="36"/>
        <w:gridCol w:w="116"/>
        <w:gridCol w:w="632"/>
        <w:gridCol w:w="36"/>
        <w:gridCol w:w="116"/>
        <w:gridCol w:w="869"/>
        <w:gridCol w:w="36"/>
        <w:gridCol w:w="116"/>
        <w:gridCol w:w="633"/>
        <w:gridCol w:w="36"/>
        <w:gridCol w:w="116"/>
        <w:gridCol w:w="633"/>
        <w:gridCol w:w="36"/>
      </w:tblGrid>
      <w:tr w:rsidR="008E7A10" w14:paraId="746F0ACB" w14:textId="77777777">
        <w:tc>
          <w:tcPr>
            <w:tcW w:w="50" w:type="pct"/>
            <w:shd w:val="clear" w:color="auto" w:fill="auto"/>
          </w:tcPr>
          <w:p w14:paraId="746F0AB9" w14:textId="77777777" w:rsidR="008E7A10" w:rsidRDefault="008E7A10">
            <w:pPr>
              <w:rPr>
                <w:rFonts w:ascii="宋体"/>
              </w:rPr>
            </w:pPr>
          </w:p>
        </w:tc>
        <w:tc>
          <w:tcPr>
            <w:tcW w:w="2263" w:type="pct"/>
            <w:shd w:val="clear" w:color="auto" w:fill="auto"/>
          </w:tcPr>
          <w:p w14:paraId="746F0ABA" w14:textId="77777777" w:rsidR="008E7A10" w:rsidRDefault="008E7A10">
            <w:pPr>
              <w:rPr>
                <w:rFonts w:ascii="宋体"/>
              </w:rPr>
            </w:pPr>
          </w:p>
        </w:tc>
        <w:tc>
          <w:tcPr>
            <w:tcW w:w="5" w:type="pct"/>
            <w:shd w:val="clear" w:color="auto" w:fill="auto"/>
          </w:tcPr>
          <w:p w14:paraId="746F0ABB" w14:textId="77777777" w:rsidR="008E7A10" w:rsidRDefault="008E7A10">
            <w:pPr>
              <w:rPr>
                <w:rFonts w:ascii="宋体"/>
              </w:rPr>
            </w:pPr>
          </w:p>
        </w:tc>
        <w:tc>
          <w:tcPr>
            <w:tcW w:w="50" w:type="pct"/>
            <w:shd w:val="clear" w:color="auto" w:fill="auto"/>
          </w:tcPr>
          <w:p w14:paraId="746F0ABC" w14:textId="77777777" w:rsidR="008E7A10" w:rsidRDefault="008E7A10">
            <w:pPr>
              <w:rPr>
                <w:rFonts w:ascii="宋体"/>
              </w:rPr>
            </w:pPr>
          </w:p>
        </w:tc>
        <w:tc>
          <w:tcPr>
            <w:tcW w:w="561" w:type="pct"/>
            <w:shd w:val="clear" w:color="auto" w:fill="auto"/>
          </w:tcPr>
          <w:p w14:paraId="746F0ABD" w14:textId="77777777" w:rsidR="008E7A10" w:rsidRDefault="008E7A10">
            <w:pPr>
              <w:rPr>
                <w:rFonts w:ascii="宋体"/>
              </w:rPr>
            </w:pPr>
          </w:p>
        </w:tc>
        <w:tc>
          <w:tcPr>
            <w:tcW w:w="5" w:type="pct"/>
            <w:shd w:val="clear" w:color="auto" w:fill="auto"/>
          </w:tcPr>
          <w:p w14:paraId="746F0ABE" w14:textId="77777777" w:rsidR="008E7A10" w:rsidRDefault="008E7A10">
            <w:pPr>
              <w:rPr>
                <w:rFonts w:ascii="宋体"/>
              </w:rPr>
            </w:pPr>
          </w:p>
        </w:tc>
        <w:tc>
          <w:tcPr>
            <w:tcW w:w="50" w:type="pct"/>
            <w:shd w:val="clear" w:color="auto" w:fill="auto"/>
          </w:tcPr>
          <w:p w14:paraId="746F0ABF" w14:textId="77777777" w:rsidR="008E7A10" w:rsidRDefault="008E7A10">
            <w:pPr>
              <w:rPr>
                <w:rFonts w:ascii="宋体"/>
              </w:rPr>
            </w:pPr>
          </w:p>
        </w:tc>
        <w:tc>
          <w:tcPr>
            <w:tcW w:w="461" w:type="pct"/>
            <w:shd w:val="clear" w:color="auto" w:fill="auto"/>
          </w:tcPr>
          <w:p w14:paraId="746F0AC0" w14:textId="77777777" w:rsidR="008E7A10" w:rsidRDefault="008E7A10">
            <w:pPr>
              <w:rPr>
                <w:rFonts w:ascii="宋体"/>
              </w:rPr>
            </w:pPr>
          </w:p>
        </w:tc>
        <w:tc>
          <w:tcPr>
            <w:tcW w:w="5" w:type="pct"/>
            <w:shd w:val="clear" w:color="auto" w:fill="auto"/>
          </w:tcPr>
          <w:p w14:paraId="746F0AC1" w14:textId="77777777" w:rsidR="008E7A10" w:rsidRDefault="008E7A10">
            <w:pPr>
              <w:rPr>
                <w:rFonts w:ascii="宋体"/>
              </w:rPr>
            </w:pPr>
          </w:p>
        </w:tc>
        <w:tc>
          <w:tcPr>
            <w:tcW w:w="50" w:type="pct"/>
            <w:shd w:val="clear" w:color="auto" w:fill="auto"/>
          </w:tcPr>
          <w:p w14:paraId="746F0AC2" w14:textId="77777777" w:rsidR="008E7A10" w:rsidRDefault="008E7A10">
            <w:pPr>
              <w:rPr>
                <w:rFonts w:ascii="宋体"/>
              </w:rPr>
            </w:pPr>
          </w:p>
        </w:tc>
        <w:tc>
          <w:tcPr>
            <w:tcW w:w="461" w:type="pct"/>
            <w:shd w:val="clear" w:color="auto" w:fill="auto"/>
          </w:tcPr>
          <w:p w14:paraId="746F0AC3" w14:textId="77777777" w:rsidR="008E7A10" w:rsidRDefault="008E7A10">
            <w:pPr>
              <w:rPr>
                <w:rFonts w:ascii="宋体"/>
              </w:rPr>
            </w:pPr>
          </w:p>
        </w:tc>
        <w:tc>
          <w:tcPr>
            <w:tcW w:w="5" w:type="pct"/>
            <w:shd w:val="clear" w:color="auto" w:fill="auto"/>
          </w:tcPr>
          <w:p w14:paraId="746F0AC4" w14:textId="77777777" w:rsidR="008E7A10" w:rsidRDefault="008E7A10">
            <w:pPr>
              <w:rPr>
                <w:rFonts w:ascii="宋体"/>
              </w:rPr>
            </w:pPr>
          </w:p>
        </w:tc>
        <w:tc>
          <w:tcPr>
            <w:tcW w:w="50" w:type="pct"/>
            <w:shd w:val="clear" w:color="auto" w:fill="auto"/>
          </w:tcPr>
          <w:p w14:paraId="746F0AC5" w14:textId="77777777" w:rsidR="008E7A10" w:rsidRDefault="008E7A10">
            <w:pPr>
              <w:rPr>
                <w:rFonts w:ascii="宋体"/>
              </w:rPr>
            </w:pPr>
          </w:p>
        </w:tc>
        <w:tc>
          <w:tcPr>
            <w:tcW w:w="461" w:type="pct"/>
            <w:shd w:val="clear" w:color="auto" w:fill="auto"/>
          </w:tcPr>
          <w:p w14:paraId="746F0AC6" w14:textId="77777777" w:rsidR="008E7A10" w:rsidRDefault="008E7A10">
            <w:pPr>
              <w:rPr>
                <w:rFonts w:ascii="宋体"/>
              </w:rPr>
            </w:pPr>
          </w:p>
        </w:tc>
        <w:tc>
          <w:tcPr>
            <w:tcW w:w="5" w:type="pct"/>
            <w:shd w:val="clear" w:color="auto" w:fill="auto"/>
          </w:tcPr>
          <w:p w14:paraId="746F0AC7" w14:textId="77777777" w:rsidR="008E7A10" w:rsidRDefault="008E7A10">
            <w:pPr>
              <w:rPr>
                <w:rFonts w:ascii="宋体"/>
              </w:rPr>
            </w:pPr>
          </w:p>
        </w:tc>
        <w:tc>
          <w:tcPr>
            <w:tcW w:w="50" w:type="pct"/>
            <w:shd w:val="clear" w:color="auto" w:fill="auto"/>
          </w:tcPr>
          <w:p w14:paraId="746F0AC8" w14:textId="77777777" w:rsidR="008E7A10" w:rsidRDefault="008E7A10">
            <w:pPr>
              <w:rPr>
                <w:rFonts w:ascii="宋体"/>
              </w:rPr>
            </w:pPr>
          </w:p>
        </w:tc>
        <w:tc>
          <w:tcPr>
            <w:tcW w:w="461" w:type="pct"/>
            <w:shd w:val="clear" w:color="auto" w:fill="auto"/>
          </w:tcPr>
          <w:p w14:paraId="746F0AC9" w14:textId="77777777" w:rsidR="008E7A10" w:rsidRDefault="008E7A10">
            <w:pPr>
              <w:rPr>
                <w:rFonts w:ascii="宋体"/>
              </w:rPr>
            </w:pPr>
          </w:p>
        </w:tc>
        <w:tc>
          <w:tcPr>
            <w:tcW w:w="5" w:type="pct"/>
            <w:shd w:val="clear" w:color="auto" w:fill="auto"/>
          </w:tcPr>
          <w:p w14:paraId="746F0ACA" w14:textId="77777777" w:rsidR="008E7A10" w:rsidRDefault="008E7A10">
            <w:pPr>
              <w:rPr>
                <w:rFonts w:ascii="宋体"/>
              </w:rPr>
            </w:pPr>
          </w:p>
        </w:tc>
      </w:tr>
      <w:tr w:rsidR="008E7A10" w14:paraId="746F0AD2" w14:textId="77777777">
        <w:tc>
          <w:tcPr>
            <w:tcW w:w="0" w:type="auto"/>
            <w:gridSpan w:val="3"/>
            <w:shd w:val="clear" w:color="auto" w:fill="auto"/>
            <w:tcMar>
              <w:top w:w="40" w:type="dxa"/>
              <w:left w:w="20" w:type="dxa"/>
              <w:bottom w:w="40" w:type="dxa"/>
              <w:right w:w="20" w:type="dxa"/>
            </w:tcMar>
            <w:vAlign w:val="bottom"/>
          </w:tcPr>
          <w:p w14:paraId="746F0ACC"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746F0ACD" w14:textId="77777777" w:rsidR="008E7A10" w:rsidRDefault="00E047B2">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746F0ACE" w14:textId="77777777" w:rsidR="008E7A10" w:rsidRDefault="00E047B2">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746F0ACF" w14:textId="77777777" w:rsidR="008E7A10" w:rsidRDefault="00E047B2">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746F0AD0" w14:textId="77777777" w:rsidR="008E7A10" w:rsidRDefault="00E047B2">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746F0AD1" w14:textId="77777777" w:rsidR="008E7A10" w:rsidRDefault="00E047B2">
            <w:pPr>
              <w:jc w:val="right"/>
              <w:textAlignment w:val="bottom"/>
            </w:pPr>
            <w:r>
              <w:rPr>
                <w:rFonts w:ascii="sans-serif" w:eastAsia="sans-serif" w:hAnsi="sans-serif" w:cs="sans-serif"/>
                <w:b/>
                <w:bCs/>
                <w:color w:val="000000"/>
                <w:sz w:val="17"/>
                <w:szCs w:val="17"/>
              </w:rPr>
              <w:t>TOTAL</w:t>
            </w:r>
          </w:p>
        </w:tc>
      </w:tr>
      <w:tr w:rsidR="008E7A10" w14:paraId="746F0AE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AD3" w14:textId="77777777" w:rsidR="008E7A10" w:rsidRDefault="00E047B2">
            <w:pPr>
              <w:textAlignment w:val="bottom"/>
            </w:pPr>
            <w:r>
              <w:rPr>
                <w:rFonts w:ascii="Arial" w:eastAsia="宋体" w:hAnsi="Arial" w:cs="Arial"/>
                <w:b/>
                <w:bCs/>
                <w:color w:val="000000"/>
                <w:sz w:val="17"/>
                <w:szCs w:val="17"/>
              </w:rPr>
              <w:t xml:space="preserve">Balance at May 31, </w:t>
            </w:r>
            <w:r>
              <w:rPr>
                <w:rFonts w:ascii="Arial" w:eastAsia="宋体" w:hAnsi="Arial" w:cs="Arial"/>
                <w:b/>
                <w:bCs/>
                <w:color w:val="000000"/>
                <w:sz w:val="17"/>
                <w:szCs w:val="17"/>
              </w:rPr>
              <w:t>2019</w:t>
            </w:r>
          </w:p>
        </w:tc>
        <w:tc>
          <w:tcPr>
            <w:tcW w:w="0" w:type="auto"/>
            <w:tcBorders>
              <w:top w:val="single" w:sz="8" w:space="0" w:color="E87722"/>
            </w:tcBorders>
            <w:shd w:val="clear" w:color="auto" w:fill="auto"/>
            <w:tcMar>
              <w:top w:w="40" w:type="dxa"/>
              <w:left w:w="20" w:type="dxa"/>
              <w:bottom w:w="40" w:type="dxa"/>
              <w:right w:w="0" w:type="dxa"/>
            </w:tcMar>
            <w:vAlign w:val="bottom"/>
          </w:tcPr>
          <w:p w14:paraId="746F0AD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D5" w14:textId="77777777" w:rsidR="008E7A10" w:rsidRDefault="00E047B2">
            <w:pPr>
              <w:jc w:val="right"/>
              <w:textAlignment w:val="bottom"/>
            </w:pPr>
            <w:r>
              <w:rPr>
                <w:rFonts w:ascii="Arial" w:eastAsia="宋体" w:hAnsi="Arial" w:cs="Arial"/>
                <w:b/>
                <w:bCs/>
                <w:color w:val="000000"/>
                <w:sz w:val="17"/>
                <w:szCs w:val="17"/>
              </w:rPr>
              <w:t>(346)</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D6"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AD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D8" w14:textId="77777777" w:rsidR="008E7A10" w:rsidRDefault="00E047B2">
            <w:pPr>
              <w:jc w:val="right"/>
              <w:textAlignment w:val="bottom"/>
            </w:pPr>
            <w:r>
              <w:rPr>
                <w:rFonts w:ascii="Arial" w:eastAsia="宋体" w:hAnsi="Arial" w:cs="Arial"/>
                <w:b/>
                <w:bCs/>
                <w:color w:val="000000"/>
                <w:sz w:val="17"/>
                <w:szCs w:val="17"/>
              </w:rPr>
              <w:t>520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D9"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AD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DB" w14:textId="77777777" w:rsidR="008E7A10" w:rsidRDefault="00E047B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DC"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AD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DE" w14:textId="77777777" w:rsidR="008E7A10" w:rsidRDefault="00E047B2">
            <w:pPr>
              <w:jc w:val="right"/>
              <w:textAlignment w:val="bottom"/>
            </w:pPr>
            <w:r>
              <w:rPr>
                <w:rFonts w:ascii="Arial" w:eastAsia="宋体" w:hAnsi="Arial" w:cs="Arial"/>
                <w:b/>
                <w:bCs/>
                <w:color w:val="000000"/>
                <w:sz w:val="17"/>
                <w:szCs w:val="17"/>
              </w:rPr>
              <w:t>(58)</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DF"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AE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AE1" w14:textId="77777777" w:rsidR="008E7A10" w:rsidRDefault="00E047B2">
            <w:pPr>
              <w:jc w:val="right"/>
              <w:textAlignment w:val="bottom"/>
            </w:pPr>
            <w:r>
              <w:rPr>
                <w:rFonts w:ascii="Arial" w:eastAsia="宋体" w:hAnsi="Arial" w:cs="Arial"/>
                <w:b/>
                <w:bCs/>
                <w:color w:val="000000"/>
                <w:sz w:val="17"/>
                <w:szCs w:val="17"/>
              </w:rPr>
              <w:t>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AE2" w14:textId="77777777" w:rsidR="008E7A10" w:rsidRDefault="008E7A10">
            <w:pPr>
              <w:jc w:val="right"/>
              <w:rPr>
                <w:rFonts w:ascii="宋体"/>
              </w:rPr>
            </w:pPr>
          </w:p>
        </w:tc>
      </w:tr>
      <w:tr w:rsidR="008E7A10" w14:paraId="746F0AEA"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746F0AE4" w14:textId="77777777" w:rsidR="008E7A10" w:rsidRDefault="00E047B2">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tcPr>
          <w:p w14:paraId="746F0AE5"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AE6"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AE7"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AE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AE9" w14:textId="77777777" w:rsidR="008E7A10" w:rsidRDefault="008E7A10">
            <w:pPr>
              <w:rPr>
                <w:rFonts w:ascii="宋体"/>
              </w:rPr>
            </w:pPr>
          </w:p>
        </w:tc>
      </w:tr>
      <w:tr w:rsidR="008E7A10" w14:paraId="746F0AF6"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746F0AEB" w14:textId="77777777" w:rsidR="008E7A10" w:rsidRDefault="00E047B2">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9"/>
                <w:szCs w:val="9"/>
              </w:rPr>
              <w:t>(2)</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EC" w14:textId="77777777" w:rsidR="008E7A10" w:rsidRDefault="00E047B2">
            <w:pPr>
              <w:jc w:val="right"/>
              <w:textAlignment w:val="bottom"/>
            </w:pPr>
            <w:r>
              <w:rPr>
                <w:rFonts w:ascii="Arial" w:eastAsia="宋体" w:hAnsi="Arial" w:cs="Arial"/>
                <w:color w:val="000000"/>
                <w:sz w:val="17"/>
                <w:szCs w:val="17"/>
              </w:rPr>
              <w:t>(61)</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E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EE" w14:textId="77777777" w:rsidR="008E7A10" w:rsidRDefault="00E047B2">
            <w:pPr>
              <w:jc w:val="right"/>
              <w:textAlignment w:val="bottom"/>
            </w:pPr>
            <w:r>
              <w:rPr>
                <w:rFonts w:ascii="Arial" w:eastAsia="宋体" w:hAnsi="Arial" w:cs="Arial"/>
                <w:color w:val="000000"/>
                <w:sz w:val="17"/>
                <w:szCs w:val="17"/>
              </w:rPr>
              <w:t>137 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E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F0"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F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F2"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F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F4" w14:textId="77777777" w:rsidR="008E7A10" w:rsidRDefault="00E047B2">
            <w:pPr>
              <w:jc w:val="right"/>
              <w:textAlignment w:val="bottom"/>
            </w:pPr>
            <w:r>
              <w:rPr>
                <w:rFonts w:ascii="Arial" w:eastAsia="宋体" w:hAnsi="Arial" w:cs="Arial"/>
                <w:color w:val="000000"/>
                <w:sz w:val="17"/>
                <w:szCs w:val="17"/>
              </w:rPr>
              <w:t>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F5" w14:textId="77777777" w:rsidR="008E7A10" w:rsidRDefault="008E7A10">
            <w:pPr>
              <w:jc w:val="right"/>
              <w:rPr>
                <w:rFonts w:ascii="宋体"/>
              </w:rPr>
            </w:pPr>
          </w:p>
        </w:tc>
      </w:tr>
      <w:tr w:rsidR="008E7A10" w14:paraId="746F0B02" w14:textId="77777777">
        <w:tc>
          <w:tcPr>
            <w:tcW w:w="0" w:type="auto"/>
            <w:gridSpan w:val="3"/>
            <w:tcBorders>
              <w:top w:val="single" w:sz="8" w:space="0" w:color="808080"/>
            </w:tcBorders>
            <w:shd w:val="clear" w:color="auto" w:fill="auto"/>
            <w:tcMar>
              <w:top w:w="40" w:type="dxa"/>
              <w:left w:w="20" w:type="dxa"/>
              <w:bottom w:w="40" w:type="dxa"/>
              <w:right w:w="20" w:type="dxa"/>
            </w:tcMar>
            <w:vAlign w:val="center"/>
          </w:tcPr>
          <w:p w14:paraId="746F0AF7" w14:textId="77777777" w:rsidR="008E7A10" w:rsidRDefault="00E047B2">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9"/>
                <w:szCs w:val="9"/>
              </w:rPr>
              <w:t>(3)</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F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F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FA" w14:textId="77777777" w:rsidR="008E7A10" w:rsidRDefault="00E047B2">
            <w:pPr>
              <w:jc w:val="right"/>
              <w:textAlignment w:val="bottom"/>
            </w:pPr>
            <w:r>
              <w:rPr>
                <w:rFonts w:ascii="Arial" w:eastAsia="宋体" w:hAnsi="Arial" w:cs="Arial"/>
                <w:color w:val="000000"/>
                <w:sz w:val="17"/>
                <w:szCs w:val="17"/>
              </w:rPr>
              <w:t>(256)</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F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FC"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F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AFE"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AF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00" w14:textId="77777777" w:rsidR="008E7A10" w:rsidRDefault="00E047B2">
            <w:pPr>
              <w:jc w:val="right"/>
              <w:textAlignment w:val="bottom"/>
            </w:pPr>
            <w:r>
              <w:rPr>
                <w:rFonts w:ascii="Arial" w:eastAsia="宋体" w:hAnsi="Arial" w:cs="Arial"/>
                <w:color w:val="000000"/>
                <w:sz w:val="17"/>
                <w:szCs w:val="17"/>
              </w:rPr>
              <w:t>(256)</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01" w14:textId="77777777" w:rsidR="008E7A10" w:rsidRDefault="008E7A10">
            <w:pPr>
              <w:jc w:val="right"/>
              <w:rPr>
                <w:rFonts w:ascii="宋体"/>
              </w:rPr>
            </w:pPr>
          </w:p>
        </w:tc>
      </w:tr>
      <w:tr w:rsidR="008E7A10" w14:paraId="746F0B0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03" w14:textId="77777777" w:rsidR="008E7A10" w:rsidRDefault="00E047B2">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04" w14:textId="77777777" w:rsidR="008E7A10" w:rsidRDefault="00E047B2">
            <w:pPr>
              <w:jc w:val="right"/>
              <w:textAlignment w:val="bottom"/>
            </w:pPr>
            <w:r>
              <w:rPr>
                <w:rFonts w:ascii="Arial" w:eastAsia="宋体" w:hAnsi="Arial" w:cs="Arial"/>
                <w:color w:val="000000"/>
                <w:sz w:val="17"/>
                <w:szCs w:val="17"/>
              </w:rPr>
              <w:t>(61)</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05"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06" w14:textId="77777777" w:rsidR="008E7A10" w:rsidRDefault="00E047B2">
            <w:pPr>
              <w:jc w:val="right"/>
              <w:textAlignment w:val="bottom"/>
            </w:pPr>
            <w:r>
              <w:rPr>
                <w:rFonts w:ascii="Arial" w:eastAsia="宋体" w:hAnsi="Arial" w:cs="Arial"/>
                <w:color w:val="000000"/>
                <w:sz w:val="17"/>
                <w:szCs w:val="17"/>
              </w:rPr>
              <w:t>(119)</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07"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0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09"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0A"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0B"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0C" w14:textId="77777777" w:rsidR="008E7A10" w:rsidRDefault="00E047B2">
            <w:pPr>
              <w:jc w:val="right"/>
              <w:textAlignment w:val="bottom"/>
            </w:pPr>
            <w:r>
              <w:rPr>
                <w:rFonts w:ascii="Arial" w:eastAsia="宋体" w:hAnsi="Arial" w:cs="Arial"/>
                <w:color w:val="000000"/>
                <w:sz w:val="17"/>
                <w:szCs w:val="17"/>
              </w:rPr>
              <w:t>(179)</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0D" w14:textId="77777777" w:rsidR="008E7A10" w:rsidRDefault="008E7A10">
            <w:pPr>
              <w:jc w:val="right"/>
              <w:rPr>
                <w:rFonts w:ascii="宋体"/>
              </w:rPr>
            </w:pPr>
          </w:p>
        </w:tc>
      </w:tr>
      <w:tr w:rsidR="008E7A10" w14:paraId="746F0B1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B0F" w14:textId="77777777" w:rsidR="008E7A10" w:rsidRDefault="00E047B2">
            <w:pPr>
              <w:textAlignment w:val="bottom"/>
            </w:pPr>
            <w:r>
              <w:rPr>
                <w:rFonts w:ascii="Arial" w:eastAsia="宋体" w:hAnsi="Arial" w:cs="Arial"/>
                <w:b/>
                <w:bCs/>
                <w:color w:val="000000"/>
                <w:sz w:val="17"/>
                <w:szCs w:val="17"/>
              </w:rPr>
              <w:t>Balance at November 30, 2019</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B1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B11" w14:textId="77777777" w:rsidR="008E7A10" w:rsidRDefault="00E047B2">
            <w:pPr>
              <w:jc w:val="right"/>
              <w:textAlignment w:val="bottom"/>
            </w:pPr>
            <w:r>
              <w:rPr>
                <w:rFonts w:ascii="Arial" w:eastAsia="宋体" w:hAnsi="Arial" w:cs="Arial"/>
                <w:b/>
                <w:bCs/>
                <w:color w:val="000000"/>
                <w:sz w:val="17"/>
                <w:szCs w:val="17"/>
              </w:rPr>
              <w:t>(407)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B12"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B1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B14" w14:textId="77777777" w:rsidR="008E7A10" w:rsidRDefault="00E047B2">
            <w:pPr>
              <w:jc w:val="right"/>
              <w:textAlignment w:val="bottom"/>
            </w:pPr>
            <w:r>
              <w:rPr>
                <w:rFonts w:ascii="Arial" w:eastAsia="宋体" w:hAnsi="Arial" w:cs="Arial"/>
                <w:b/>
                <w:bCs/>
                <w:color w:val="000000"/>
                <w:sz w:val="17"/>
                <w:szCs w:val="17"/>
              </w:rPr>
              <w:t>401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B15"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B1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B17" w14:textId="77777777" w:rsidR="008E7A10" w:rsidRDefault="00E047B2">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B18"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B1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B1A" w14:textId="77777777" w:rsidR="008E7A10" w:rsidRDefault="00E047B2">
            <w:pPr>
              <w:jc w:val="right"/>
              <w:textAlignment w:val="bottom"/>
            </w:pPr>
            <w:r>
              <w:rPr>
                <w:rFonts w:ascii="Arial" w:eastAsia="宋体" w:hAnsi="Arial" w:cs="Arial"/>
                <w:b/>
                <w:bCs/>
                <w:color w:val="000000"/>
                <w:sz w:val="17"/>
                <w:szCs w:val="17"/>
              </w:rPr>
              <w:t>(57)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B1B"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B1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B1D" w14:textId="77777777" w:rsidR="008E7A10" w:rsidRDefault="00E047B2">
            <w:pPr>
              <w:jc w:val="right"/>
              <w:textAlignment w:val="bottom"/>
            </w:pPr>
            <w:r>
              <w:rPr>
                <w:rFonts w:ascii="Arial" w:eastAsia="宋体" w:hAnsi="Arial" w:cs="Arial"/>
                <w:b/>
                <w:bCs/>
                <w:color w:val="000000"/>
                <w:sz w:val="17"/>
                <w:szCs w:val="17"/>
              </w:rPr>
              <w:t>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B1E" w14:textId="77777777" w:rsidR="008E7A10" w:rsidRDefault="008E7A10">
            <w:pPr>
              <w:jc w:val="right"/>
              <w:rPr>
                <w:rFonts w:ascii="宋体"/>
              </w:rPr>
            </w:pPr>
          </w:p>
        </w:tc>
      </w:tr>
    </w:tbl>
    <w:p w14:paraId="746F0B20" w14:textId="77777777" w:rsidR="008E7A10" w:rsidRDefault="00E047B2">
      <w:pPr>
        <w:spacing w:before="60" w:after="60"/>
        <w:ind w:hanging="360"/>
      </w:pPr>
      <w:r>
        <w:rPr>
          <w:rFonts w:ascii="Arial" w:eastAsia="宋体" w:hAnsi="Arial" w:cs="Arial"/>
          <w:i/>
          <w:iCs/>
          <w:color w:val="000000"/>
          <w:sz w:val="14"/>
          <w:szCs w:val="14"/>
        </w:rPr>
        <w:t>(1)The accumulated foreign currency translation adjustment and</w:t>
      </w:r>
      <w:r>
        <w:rPr>
          <w:rFonts w:ascii="Arial" w:eastAsia="宋体" w:hAnsi="Arial" w:cs="Arial"/>
          <w:i/>
          <w:iCs/>
          <w:color w:val="000000"/>
          <w:sz w:val="14"/>
          <w:szCs w:val="14"/>
        </w:rPr>
        <w:t xml:space="preserve"> net investment hedge gains/losses related to an investment in a foreign subsidiary are reclassified to Net income upon sale or upon complete or substantially complete liquidation of the respective entity.</w:t>
      </w:r>
    </w:p>
    <w:p w14:paraId="746F0B21" w14:textId="77777777" w:rsidR="008E7A10" w:rsidRDefault="00E047B2">
      <w:pPr>
        <w:spacing w:before="60" w:after="60"/>
        <w:ind w:hanging="360"/>
      </w:pPr>
      <w:r>
        <w:rPr>
          <w:rFonts w:ascii="Arial" w:eastAsia="宋体" w:hAnsi="Arial" w:cs="Arial"/>
          <w:i/>
          <w:iCs/>
          <w:color w:val="000000"/>
          <w:sz w:val="14"/>
          <w:szCs w:val="14"/>
        </w:rPr>
        <w:t xml:space="preserve">(2)Net of tax benefit (expense) of $0 </w:t>
      </w:r>
      <w:r>
        <w:rPr>
          <w:rFonts w:ascii="Arial" w:eastAsia="宋体" w:hAnsi="Arial" w:cs="Arial"/>
          <w:i/>
          <w:iCs/>
          <w:color w:val="000000"/>
          <w:sz w:val="14"/>
          <w:szCs w:val="14"/>
        </w:rPr>
        <w:t>million, $(7) million, $0 million, $0 million and $(7) million, respectively.</w:t>
      </w:r>
    </w:p>
    <w:p w14:paraId="746F0B22" w14:textId="77777777" w:rsidR="008E7A10" w:rsidRDefault="00E047B2">
      <w:pPr>
        <w:spacing w:before="60" w:after="60"/>
        <w:ind w:hanging="360"/>
      </w:pPr>
      <w:r>
        <w:rPr>
          <w:rFonts w:ascii="Arial" w:eastAsia="宋体" w:hAnsi="Arial" w:cs="Arial"/>
          <w:i/>
          <w:iCs/>
          <w:color w:val="000000"/>
          <w:sz w:val="14"/>
          <w:szCs w:val="14"/>
        </w:rPr>
        <w:t>(3)Net of tax (benefit) expense of $0 million, $1 million, $0 million, $0 million and $1 million, respectively.</w:t>
      </w:r>
    </w:p>
    <w:p w14:paraId="746F0B23" w14:textId="77777777" w:rsidR="008E7A10" w:rsidRDefault="00E047B2">
      <w:pPr>
        <w:spacing w:before="180"/>
      </w:pPr>
      <w:r>
        <w:rPr>
          <w:rFonts w:ascii="Arial" w:eastAsia="宋体" w:hAnsi="Arial" w:cs="Arial"/>
          <w:color w:val="000000"/>
          <w:sz w:val="17"/>
          <w:szCs w:val="17"/>
        </w:rPr>
        <w:t>The following table summarizes the reclassifications from Accumula</w:t>
      </w:r>
      <w:r>
        <w:rPr>
          <w:rFonts w:ascii="Arial" w:eastAsia="宋体" w:hAnsi="Arial" w:cs="Arial"/>
          <w:color w:val="000000"/>
          <w:sz w:val="17"/>
          <w:szCs w:val="17"/>
        </w:rPr>
        <w:t>ted other comprehensive income (loss) to the Unaudited Condensed Consolidated Statements of Income:</w:t>
      </w:r>
    </w:p>
    <w:tbl>
      <w:tblPr>
        <w:tblW w:w="4850" w:type="pct"/>
        <w:tblCellMar>
          <w:top w:w="15" w:type="dxa"/>
          <w:left w:w="15" w:type="dxa"/>
          <w:bottom w:w="15" w:type="dxa"/>
          <w:right w:w="15" w:type="dxa"/>
        </w:tblCellMar>
        <w:tblLook w:val="04A0" w:firstRow="1" w:lastRow="0" w:firstColumn="1" w:lastColumn="0" w:noHBand="0" w:noVBand="1"/>
      </w:tblPr>
      <w:tblGrid>
        <w:gridCol w:w="40"/>
        <w:gridCol w:w="2689"/>
        <w:gridCol w:w="38"/>
        <w:gridCol w:w="116"/>
        <w:gridCol w:w="784"/>
        <w:gridCol w:w="37"/>
        <w:gridCol w:w="116"/>
        <w:gridCol w:w="784"/>
        <w:gridCol w:w="37"/>
        <w:gridCol w:w="36"/>
        <w:gridCol w:w="36"/>
        <w:gridCol w:w="36"/>
        <w:gridCol w:w="115"/>
        <w:gridCol w:w="752"/>
        <w:gridCol w:w="36"/>
        <w:gridCol w:w="115"/>
        <w:gridCol w:w="784"/>
        <w:gridCol w:w="36"/>
        <w:gridCol w:w="67"/>
        <w:gridCol w:w="1396"/>
        <w:gridCol w:w="36"/>
      </w:tblGrid>
      <w:tr w:rsidR="008E7A10" w14:paraId="746F0B39" w14:textId="77777777">
        <w:tc>
          <w:tcPr>
            <w:tcW w:w="50" w:type="pct"/>
            <w:shd w:val="clear" w:color="auto" w:fill="auto"/>
          </w:tcPr>
          <w:p w14:paraId="746F0B24" w14:textId="77777777" w:rsidR="008E7A10" w:rsidRDefault="008E7A10">
            <w:pPr>
              <w:rPr>
                <w:rFonts w:ascii="宋体"/>
              </w:rPr>
            </w:pPr>
          </w:p>
        </w:tc>
        <w:tc>
          <w:tcPr>
            <w:tcW w:w="1686" w:type="pct"/>
            <w:shd w:val="clear" w:color="auto" w:fill="auto"/>
          </w:tcPr>
          <w:p w14:paraId="746F0B25" w14:textId="77777777" w:rsidR="008E7A10" w:rsidRDefault="008E7A10">
            <w:pPr>
              <w:rPr>
                <w:rFonts w:ascii="宋体"/>
              </w:rPr>
            </w:pPr>
          </w:p>
        </w:tc>
        <w:tc>
          <w:tcPr>
            <w:tcW w:w="5" w:type="pct"/>
            <w:shd w:val="clear" w:color="auto" w:fill="auto"/>
          </w:tcPr>
          <w:p w14:paraId="746F0B26" w14:textId="77777777" w:rsidR="008E7A10" w:rsidRDefault="008E7A10">
            <w:pPr>
              <w:rPr>
                <w:rFonts w:ascii="宋体"/>
              </w:rPr>
            </w:pPr>
          </w:p>
        </w:tc>
        <w:tc>
          <w:tcPr>
            <w:tcW w:w="50" w:type="pct"/>
            <w:shd w:val="clear" w:color="auto" w:fill="auto"/>
          </w:tcPr>
          <w:p w14:paraId="746F0B27" w14:textId="77777777" w:rsidR="008E7A10" w:rsidRDefault="008E7A10">
            <w:pPr>
              <w:rPr>
                <w:rFonts w:ascii="宋体"/>
              </w:rPr>
            </w:pPr>
          </w:p>
        </w:tc>
        <w:tc>
          <w:tcPr>
            <w:tcW w:w="509" w:type="pct"/>
            <w:shd w:val="clear" w:color="auto" w:fill="auto"/>
          </w:tcPr>
          <w:p w14:paraId="746F0B28" w14:textId="77777777" w:rsidR="008E7A10" w:rsidRDefault="008E7A10">
            <w:pPr>
              <w:rPr>
                <w:rFonts w:ascii="宋体"/>
              </w:rPr>
            </w:pPr>
          </w:p>
        </w:tc>
        <w:tc>
          <w:tcPr>
            <w:tcW w:w="5" w:type="pct"/>
            <w:shd w:val="clear" w:color="auto" w:fill="auto"/>
          </w:tcPr>
          <w:p w14:paraId="746F0B29" w14:textId="77777777" w:rsidR="008E7A10" w:rsidRDefault="008E7A10">
            <w:pPr>
              <w:rPr>
                <w:rFonts w:ascii="宋体"/>
              </w:rPr>
            </w:pPr>
          </w:p>
        </w:tc>
        <w:tc>
          <w:tcPr>
            <w:tcW w:w="50" w:type="pct"/>
            <w:shd w:val="clear" w:color="auto" w:fill="auto"/>
          </w:tcPr>
          <w:p w14:paraId="746F0B2A" w14:textId="77777777" w:rsidR="008E7A10" w:rsidRDefault="008E7A10">
            <w:pPr>
              <w:rPr>
                <w:rFonts w:ascii="宋体"/>
              </w:rPr>
            </w:pPr>
          </w:p>
        </w:tc>
        <w:tc>
          <w:tcPr>
            <w:tcW w:w="509" w:type="pct"/>
            <w:shd w:val="clear" w:color="auto" w:fill="auto"/>
          </w:tcPr>
          <w:p w14:paraId="746F0B2B" w14:textId="77777777" w:rsidR="008E7A10" w:rsidRDefault="008E7A10">
            <w:pPr>
              <w:rPr>
                <w:rFonts w:ascii="宋体"/>
              </w:rPr>
            </w:pPr>
          </w:p>
        </w:tc>
        <w:tc>
          <w:tcPr>
            <w:tcW w:w="5" w:type="pct"/>
            <w:shd w:val="clear" w:color="auto" w:fill="auto"/>
          </w:tcPr>
          <w:p w14:paraId="746F0B2C" w14:textId="77777777" w:rsidR="008E7A10" w:rsidRDefault="008E7A10">
            <w:pPr>
              <w:rPr>
                <w:rFonts w:ascii="宋体"/>
              </w:rPr>
            </w:pPr>
          </w:p>
        </w:tc>
        <w:tc>
          <w:tcPr>
            <w:tcW w:w="5" w:type="pct"/>
            <w:shd w:val="clear" w:color="auto" w:fill="auto"/>
          </w:tcPr>
          <w:p w14:paraId="746F0B2D" w14:textId="77777777" w:rsidR="008E7A10" w:rsidRDefault="008E7A10">
            <w:pPr>
              <w:rPr>
                <w:rFonts w:ascii="宋体"/>
              </w:rPr>
            </w:pPr>
          </w:p>
        </w:tc>
        <w:tc>
          <w:tcPr>
            <w:tcW w:w="28" w:type="pct"/>
            <w:shd w:val="clear" w:color="auto" w:fill="auto"/>
          </w:tcPr>
          <w:p w14:paraId="746F0B2E" w14:textId="77777777" w:rsidR="008E7A10" w:rsidRDefault="008E7A10">
            <w:pPr>
              <w:rPr>
                <w:rFonts w:ascii="宋体"/>
              </w:rPr>
            </w:pPr>
          </w:p>
        </w:tc>
        <w:tc>
          <w:tcPr>
            <w:tcW w:w="5" w:type="pct"/>
            <w:shd w:val="clear" w:color="auto" w:fill="auto"/>
          </w:tcPr>
          <w:p w14:paraId="746F0B2F" w14:textId="77777777" w:rsidR="008E7A10" w:rsidRDefault="008E7A10">
            <w:pPr>
              <w:rPr>
                <w:rFonts w:ascii="宋体"/>
              </w:rPr>
            </w:pPr>
          </w:p>
        </w:tc>
        <w:tc>
          <w:tcPr>
            <w:tcW w:w="50" w:type="pct"/>
            <w:shd w:val="clear" w:color="auto" w:fill="auto"/>
          </w:tcPr>
          <w:p w14:paraId="746F0B30" w14:textId="77777777" w:rsidR="008E7A10" w:rsidRDefault="008E7A10">
            <w:pPr>
              <w:rPr>
                <w:rFonts w:ascii="宋体"/>
              </w:rPr>
            </w:pPr>
          </w:p>
        </w:tc>
        <w:tc>
          <w:tcPr>
            <w:tcW w:w="509" w:type="pct"/>
            <w:shd w:val="clear" w:color="auto" w:fill="auto"/>
          </w:tcPr>
          <w:p w14:paraId="746F0B31" w14:textId="77777777" w:rsidR="008E7A10" w:rsidRDefault="008E7A10">
            <w:pPr>
              <w:rPr>
                <w:rFonts w:ascii="宋体"/>
              </w:rPr>
            </w:pPr>
          </w:p>
        </w:tc>
        <w:tc>
          <w:tcPr>
            <w:tcW w:w="5" w:type="pct"/>
            <w:shd w:val="clear" w:color="auto" w:fill="auto"/>
          </w:tcPr>
          <w:p w14:paraId="746F0B32" w14:textId="77777777" w:rsidR="008E7A10" w:rsidRDefault="008E7A10">
            <w:pPr>
              <w:rPr>
                <w:rFonts w:ascii="宋体"/>
              </w:rPr>
            </w:pPr>
          </w:p>
        </w:tc>
        <w:tc>
          <w:tcPr>
            <w:tcW w:w="50" w:type="pct"/>
            <w:shd w:val="clear" w:color="auto" w:fill="auto"/>
          </w:tcPr>
          <w:p w14:paraId="746F0B33" w14:textId="77777777" w:rsidR="008E7A10" w:rsidRDefault="008E7A10">
            <w:pPr>
              <w:rPr>
                <w:rFonts w:ascii="宋体"/>
              </w:rPr>
            </w:pPr>
          </w:p>
        </w:tc>
        <w:tc>
          <w:tcPr>
            <w:tcW w:w="509" w:type="pct"/>
            <w:shd w:val="clear" w:color="auto" w:fill="auto"/>
          </w:tcPr>
          <w:p w14:paraId="746F0B34" w14:textId="77777777" w:rsidR="008E7A10" w:rsidRDefault="008E7A10">
            <w:pPr>
              <w:rPr>
                <w:rFonts w:ascii="宋体"/>
              </w:rPr>
            </w:pPr>
          </w:p>
        </w:tc>
        <w:tc>
          <w:tcPr>
            <w:tcW w:w="5" w:type="pct"/>
            <w:shd w:val="clear" w:color="auto" w:fill="auto"/>
          </w:tcPr>
          <w:p w14:paraId="746F0B35" w14:textId="77777777" w:rsidR="008E7A10" w:rsidRDefault="008E7A10">
            <w:pPr>
              <w:rPr>
                <w:rFonts w:ascii="宋体"/>
              </w:rPr>
            </w:pPr>
          </w:p>
        </w:tc>
        <w:tc>
          <w:tcPr>
            <w:tcW w:w="50" w:type="pct"/>
            <w:shd w:val="clear" w:color="auto" w:fill="auto"/>
          </w:tcPr>
          <w:p w14:paraId="746F0B36" w14:textId="77777777" w:rsidR="008E7A10" w:rsidRDefault="008E7A10">
            <w:pPr>
              <w:rPr>
                <w:rFonts w:ascii="宋体"/>
              </w:rPr>
            </w:pPr>
          </w:p>
        </w:tc>
        <w:tc>
          <w:tcPr>
            <w:tcW w:w="904" w:type="pct"/>
            <w:shd w:val="clear" w:color="auto" w:fill="auto"/>
          </w:tcPr>
          <w:p w14:paraId="746F0B37" w14:textId="77777777" w:rsidR="008E7A10" w:rsidRDefault="008E7A10">
            <w:pPr>
              <w:rPr>
                <w:rFonts w:ascii="宋体"/>
              </w:rPr>
            </w:pPr>
          </w:p>
        </w:tc>
        <w:tc>
          <w:tcPr>
            <w:tcW w:w="5" w:type="pct"/>
            <w:shd w:val="clear" w:color="auto" w:fill="auto"/>
          </w:tcPr>
          <w:p w14:paraId="746F0B38" w14:textId="77777777" w:rsidR="008E7A10" w:rsidRDefault="008E7A10">
            <w:pPr>
              <w:rPr>
                <w:rFonts w:ascii="宋体"/>
              </w:rPr>
            </w:pPr>
          </w:p>
        </w:tc>
      </w:tr>
      <w:tr w:rsidR="008E7A10" w14:paraId="746F0B3D" w14:textId="77777777">
        <w:trPr>
          <w:trHeight w:val="420"/>
        </w:trPr>
        <w:tc>
          <w:tcPr>
            <w:tcW w:w="0" w:type="auto"/>
            <w:gridSpan w:val="3"/>
            <w:shd w:val="clear" w:color="auto" w:fill="auto"/>
            <w:tcMar>
              <w:top w:w="0" w:type="dxa"/>
              <w:left w:w="20" w:type="dxa"/>
              <w:bottom w:w="0" w:type="dxa"/>
              <w:right w:w="20" w:type="dxa"/>
            </w:tcMar>
          </w:tcPr>
          <w:p w14:paraId="746F0B3A" w14:textId="77777777" w:rsidR="008E7A10" w:rsidRDefault="008E7A10">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746F0B3B" w14:textId="77777777" w:rsidR="008E7A10" w:rsidRDefault="00E047B2">
            <w:pPr>
              <w:jc w:val="center"/>
              <w:textAlignment w:val="bottom"/>
            </w:pPr>
            <w:r>
              <w:rPr>
                <w:rFonts w:ascii="sans-serif" w:eastAsia="sans-serif" w:hAnsi="sans-serif" w:cs="sans-serif"/>
                <w:b/>
                <w:bCs/>
                <w:color w:val="000000"/>
                <w:sz w:val="17"/>
                <w:szCs w:val="17"/>
              </w:rPr>
              <w:t>AMOUNT OF GAIN (LOSS) RECLASSIFIED FROM ACCUMULATED OTHER COMPREHENSIVE INCOME (LOSS) INTO INCOME</w:t>
            </w:r>
          </w:p>
        </w:tc>
        <w:tc>
          <w:tcPr>
            <w:tcW w:w="0" w:type="auto"/>
            <w:gridSpan w:val="3"/>
            <w:vMerge w:val="restart"/>
            <w:shd w:val="clear" w:color="auto" w:fill="auto"/>
            <w:tcMar>
              <w:top w:w="40" w:type="dxa"/>
              <w:left w:w="20" w:type="dxa"/>
              <w:bottom w:w="40" w:type="dxa"/>
              <w:right w:w="20" w:type="dxa"/>
            </w:tcMar>
            <w:vAlign w:val="bottom"/>
          </w:tcPr>
          <w:p w14:paraId="746F0B3C" w14:textId="77777777" w:rsidR="008E7A10" w:rsidRDefault="00E047B2">
            <w:pPr>
              <w:jc w:val="right"/>
              <w:textAlignment w:val="bottom"/>
            </w:pPr>
            <w:r>
              <w:rPr>
                <w:rFonts w:ascii="sans-serif" w:eastAsia="sans-serif" w:hAnsi="sans-serif" w:cs="sans-serif"/>
                <w:b/>
                <w:bCs/>
                <w:color w:val="000000"/>
                <w:sz w:val="17"/>
                <w:szCs w:val="17"/>
              </w:rPr>
              <w:t xml:space="preserve">LOCATION OF GAIN </w:t>
            </w:r>
            <w:r>
              <w:rPr>
                <w:rFonts w:ascii="sans-serif" w:eastAsia="sans-serif" w:hAnsi="sans-serif" w:cs="sans-serif"/>
                <w:b/>
                <w:bCs/>
                <w:color w:val="000000"/>
                <w:sz w:val="17"/>
                <w:szCs w:val="17"/>
              </w:rPr>
              <w:t>(LOSS)</w:t>
            </w:r>
            <w:r>
              <w:rPr>
                <w:rFonts w:ascii="sans-serif" w:eastAsia="sans-serif" w:hAnsi="sans-serif" w:cs="sans-serif"/>
                <w:b/>
                <w:bCs/>
                <w:color w:val="000000"/>
                <w:sz w:val="17"/>
                <w:szCs w:val="17"/>
              </w:rPr>
              <w:br/>
              <w:t>RECLASSIFIED FROM ACCUMULATED</w:t>
            </w:r>
            <w:r>
              <w:rPr>
                <w:rFonts w:ascii="sans-serif" w:eastAsia="sans-serif" w:hAnsi="sans-serif" w:cs="sans-serif"/>
                <w:b/>
                <w:bCs/>
                <w:color w:val="000000"/>
                <w:sz w:val="17"/>
                <w:szCs w:val="17"/>
              </w:rPr>
              <w:br/>
              <w:t>OTHER COMPREHENSIVE INCOME</w:t>
            </w:r>
            <w:r>
              <w:rPr>
                <w:rFonts w:ascii="sans-serif" w:eastAsia="sans-serif" w:hAnsi="sans-serif" w:cs="sans-serif"/>
                <w:b/>
                <w:bCs/>
                <w:color w:val="000000"/>
                <w:sz w:val="17"/>
                <w:szCs w:val="17"/>
              </w:rPr>
              <w:br/>
              <w:t>(LOSS) INTO INCOME</w:t>
            </w:r>
          </w:p>
        </w:tc>
      </w:tr>
      <w:tr w:rsidR="008E7A10" w14:paraId="746F0B43" w14:textId="77777777">
        <w:trPr>
          <w:trHeight w:val="420"/>
        </w:trPr>
        <w:tc>
          <w:tcPr>
            <w:tcW w:w="0" w:type="auto"/>
            <w:gridSpan w:val="3"/>
            <w:shd w:val="clear" w:color="auto" w:fill="auto"/>
            <w:tcMar>
              <w:top w:w="0" w:type="dxa"/>
              <w:left w:w="20" w:type="dxa"/>
              <w:bottom w:w="0" w:type="dxa"/>
              <w:right w:w="20" w:type="dxa"/>
            </w:tcMar>
          </w:tcPr>
          <w:p w14:paraId="746F0B3E"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B3F"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0B40" w14:textId="77777777" w:rsidR="008E7A10" w:rsidRDefault="008E7A10">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746F0B41"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c>
          <w:tcPr>
            <w:tcW w:w="0" w:type="auto"/>
            <w:gridSpan w:val="3"/>
            <w:vMerge/>
            <w:shd w:val="clear" w:color="auto" w:fill="auto"/>
            <w:tcMar>
              <w:top w:w="40" w:type="dxa"/>
              <w:left w:w="20" w:type="dxa"/>
              <w:bottom w:w="40" w:type="dxa"/>
              <w:right w:w="20" w:type="dxa"/>
            </w:tcMar>
            <w:vAlign w:val="bottom"/>
          </w:tcPr>
          <w:p w14:paraId="746F0B42" w14:textId="77777777" w:rsidR="008E7A10" w:rsidRDefault="008E7A10">
            <w:pPr>
              <w:jc w:val="right"/>
              <w:rPr>
                <w:rFonts w:ascii="宋体"/>
              </w:rPr>
            </w:pPr>
          </w:p>
        </w:tc>
      </w:tr>
      <w:tr w:rsidR="008E7A10" w14:paraId="746F0B4B" w14:textId="77777777">
        <w:trPr>
          <w:trHeight w:val="240"/>
        </w:trPr>
        <w:tc>
          <w:tcPr>
            <w:tcW w:w="0" w:type="auto"/>
            <w:gridSpan w:val="3"/>
            <w:shd w:val="clear" w:color="auto" w:fill="auto"/>
            <w:tcMar>
              <w:top w:w="40" w:type="dxa"/>
              <w:left w:w="20" w:type="dxa"/>
              <w:bottom w:w="40" w:type="dxa"/>
              <w:right w:w="20" w:type="dxa"/>
            </w:tcMar>
            <w:vAlign w:val="bottom"/>
          </w:tcPr>
          <w:p w14:paraId="746F0B44"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45"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46"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tcPr>
          <w:p w14:paraId="746F0B47"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48"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49"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vMerge/>
            <w:shd w:val="clear" w:color="auto" w:fill="auto"/>
            <w:tcMar>
              <w:top w:w="40" w:type="dxa"/>
              <w:left w:w="20" w:type="dxa"/>
              <w:bottom w:w="40" w:type="dxa"/>
              <w:right w:w="20" w:type="dxa"/>
            </w:tcMar>
            <w:vAlign w:val="bottom"/>
          </w:tcPr>
          <w:p w14:paraId="746F0B4A" w14:textId="77777777" w:rsidR="008E7A10" w:rsidRDefault="008E7A10">
            <w:pPr>
              <w:jc w:val="right"/>
              <w:rPr>
                <w:rFonts w:ascii="宋体"/>
              </w:rPr>
            </w:pPr>
          </w:p>
        </w:tc>
      </w:tr>
      <w:tr w:rsidR="008E7A10" w14:paraId="746F0B5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4C" w14:textId="77777777" w:rsidR="008E7A10" w:rsidRDefault="00E047B2">
            <w:pPr>
              <w:textAlignment w:val="bottom"/>
            </w:pPr>
            <w:r>
              <w:rPr>
                <w:rFonts w:ascii="Arial" w:eastAsia="宋体" w:hAnsi="Arial" w:cs="Arial"/>
                <w:color w:val="000000"/>
                <w:sz w:val="17"/>
                <w:szCs w:val="17"/>
              </w:rPr>
              <w:t xml:space="preserve">Gains (losses) on foreign currency translation </w:t>
            </w:r>
            <w:r>
              <w:rPr>
                <w:rFonts w:ascii="Arial" w:eastAsia="宋体" w:hAnsi="Arial" w:cs="Arial"/>
                <w:color w:val="000000"/>
                <w:sz w:val="17"/>
                <w:szCs w:val="17"/>
              </w:rPr>
              <w:t>adjustment</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0B4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B4E"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4F"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B5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B51"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52"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53"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B5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B55"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56"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B5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B5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59" w14:textId="77777777" w:rsidR="008E7A10" w:rsidRDefault="008E7A10">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5A" w14:textId="77777777" w:rsidR="008E7A10" w:rsidRDefault="00E047B2">
            <w:pPr>
              <w:jc w:val="right"/>
              <w:textAlignment w:val="bottom"/>
            </w:pPr>
            <w:r>
              <w:rPr>
                <w:rFonts w:ascii="Arial" w:eastAsia="宋体" w:hAnsi="Arial" w:cs="Arial"/>
                <w:color w:val="000000"/>
                <w:sz w:val="17"/>
                <w:szCs w:val="17"/>
              </w:rPr>
              <w:t>Other expense (income), net</w:t>
            </w:r>
          </w:p>
        </w:tc>
      </w:tr>
      <w:tr w:rsidR="008E7A10" w14:paraId="746F0B6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5C" w14:textId="77777777" w:rsidR="008E7A10" w:rsidRDefault="00E047B2">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5D"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5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5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60"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61"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62"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63"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64"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65" w14:textId="77777777" w:rsidR="008E7A10" w:rsidRDefault="008E7A10">
            <w:pPr>
              <w:rPr>
                <w:rFonts w:ascii="宋体"/>
              </w:rPr>
            </w:pPr>
          </w:p>
        </w:tc>
      </w:tr>
      <w:tr w:rsidR="008E7A10" w14:paraId="746F0B72"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B67" w14:textId="77777777" w:rsidR="008E7A10" w:rsidRDefault="00E047B2">
            <w:pPr>
              <w:textAlignment w:val="bottom"/>
            </w:pPr>
            <w:r>
              <w:rPr>
                <w:rFonts w:ascii="Arial" w:eastAsia="宋体" w:hAnsi="Arial" w:cs="Arial"/>
                <w:color w:val="000000"/>
                <w:sz w:val="17"/>
                <w:szCs w:val="17"/>
              </w:rPr>
              <w:t>Tax (expense) benefit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6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6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6A"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6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B6C"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6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6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6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70"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B71" w14:textId="77777777" w:rsidR="008E7A10" w:rsidRDefault="008E7A10">
            <w:pPr>
              <w:rPr>
                <w:rFonts w:ascii="宋体"/>
              </w:rPr>
            </w:pPr>
          </w:p>
        </w:tc>
      </w:tr>
      <w:tr w:rsidR="008E7A10" w14:paraId="746F0B7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73" w14:textId="77777777" w:rsidR="008E7A10" w:rsidRDefault="00E047B2">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74"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75"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76" w14:textId="77777777" w:rsidR="008E7A10" w:rsidRDefault="00E047B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77"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78"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79"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7A"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7B" w14:textId="77777777" w:rsidR="008E7A10" w:rsidRDefault="00E047B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7C"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7D" w14:textId="77777777" w:rsidR="008E7A10" w:rsidRDefault="008E7A10">
            <w:pPr>
              <w:rPr>
                <w:rFonts w:ascii="宋体"/>
              </w:rPr>
            </w:pPr>
          </w:p>
        </w:tc>
      </w:tr>
      <w:tr w:rsidR="008E7A10" w14:paraId="746F0B8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7F" w14:textId="77777777" w:rsidR="008E7A10" w:rsidRDefault="00E047B2">
            <w:pPr>
              <w:textAlignment w:val="bottom"/>
            </w:pPr>
            <w:r>
              <w:rPr>
                <w:rFonts w:ascii="Arial" w:eastAsia="宋体" w:hAnsi="Arial" w:cs="Arial"/>
                <w:color w:val="000000"/>
                <w:sz w:val="17"/>
                <w:szCs w:val="17"/>
              </w:rPr>
              <w:t>Gains (losses) on cash flow hedges:</w:t>
            </w:r>
          </w:p>
        </w:tc>
        <w:tc>
          <w:tcPr>
            <w:tcW w:w="0" w:type="auto"/>
            <w:gridSpan w:val="3"/>
            <w:tcBorders>
              <w:top w:val="single" w:sz="8" w:space="0" w:color="E87722"/>
            </w:tcBorders>
            <w:shd w:val="clear" w:color="auto" w:fill="FFF1E7"/>
            <w:tcMar>
              <w:top w:w="0" w:type="dxa"/>
              <w:left w:w="20" w:type="dxa"/>
              <w:bottom w:w="0" w:type="dxa"/>
              <w:right w:w="20" w:type="dxa"/>
            </w:tcMar>
          </w:tcPr>
          <w:p w14:paraId="746F0B8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8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82"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B83"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84"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85" w14:textId="77777777" w:rsidR="008E7A10" w:rsidRDefault="008E7A10">
            <w:pPr>
              <w:rPr>
                <w:rFonts w:ascii="宋体"/>
              </w:rPr>
            </w:pPr>
          </w:p>
        </w:tc>
      </w:tr>
      <w:tr w:rsidR="008E7A10" w14:paraId="746F0B9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B87"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B8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B89" w14:textId="77777777" w:rsidR="008E7A10" w:rsidRDefault="00E047B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8A"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B8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B8C"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8D"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B8E"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B8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B90"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91"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B9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B93"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94" w14:textId="77777777" w:rsidR="008E7A10" w:rsidRDefault="008E7A10">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B95" w14:textId="77777777" w:rsidR="008E7A10" w:rsidRDefault="00E047B2">
            <w:pPr>
              <w:jc w:val="right"/>
              <w:textAlignment w:val="bottom"/>
            </w:pPr>
            <w:r>
              <w:rPr>
                <w:rFonts w:ascii="Arial" w:eastAsia="宋体" w:hAnsi="Arial" w:cs="Arial"/>
                <w:color w:val="000000"/>
                <w:sz w:val="17"/>
                <w:szCs w:val="17"/>
              </w:rPr>
              <w:t>Revenues</w:t>
            </w:r>
          </w:p>
        </w:tc>
      </w:tr>
      <w:tr w:rsidR="008E7A10" w14:paraId="746F0BA2"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B97"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98" w14:textId="77777777" w:rsidR="008E7A10" w:rsidRDefault="00E047B2">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9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9A" w14:textId="77777777" w:rsidR="008E7A10" w:rsidRDefault="00E047B2">
            <w:pPr>
              <w:jc w:val="right"/>
              <w:textAlignment w:val="bottom"/>
            </w:pPr>
            <w:r>
              <w:rPr>
                <w:rFonts w:ascii="Arial" w:eastAsia="宋体" w:hAnsi="Arial" w:cs="Arial"/>
                <w:color w:val="000000"/>
                <w:sz w:val="17"/>
                <w:szCs w:val="17"/>
              </w:rPr>
              <w:t>102 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9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B9C"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9D" w14:textId="77777777" w:rsidR="008E7A10" w:rsidRDefault="00E047B2">
            <w:pPr>
              <w:jc w:val="right"/>
              <w:textAlignment w:val="bottom"/>
            </w:pPr>
            <w:r>
              <w:rPr>
                <w:rFonts w:ascii="Arial" w:eastAsia="宋体" w:hAnsi="Arial" w:cs="Arial"/>
                <w:color w:val="000000"/>
                <w:sz w:val="17"/>
                <w:szCs w:val="17"/>
              </w:rPr>
              <w:t>145 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9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9F" w14:textId="77777777" w:rsidR="008E7A10" w:rsidRDefault="00E047B2">
            <w:pPr>
              <w:jc w:val="right"/>
              <w:textAlignment w:val="bottom"/>
            </w:pPr>
            <w:r>
              <w:rPr>
                <w:rFonts w:ascii="Arial" w:eastAsia="宋体" w:hAnsi="Arial" w:cs="Arial"/>
                <w:color w:val="000000"/>
                <w:sz w:val="17"/>
                <w:szCs w:val="17"/>
              </w:rPr>
              <w:t>177 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A0" w14:textId="77777777" w:rsidR="008E7A10" w:rsidRDefault="008E7A10">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BA1" w14:textId="77777777" w:rsidR="008E7A10" w:rsidRDefault="00E047B2">
            <w:pPr>
              <w:jc w:val="right"/>
              <w:textAlignment w:val="bottom"/>
            </w:pPr>
            <w:r>
              <w:rPr>
                <w:rFonts w:ascii="Arial" w:eastAsia="宋体" w:hAnsi="Arial" w:cs="Arial"/>
                <w:color w:val="000000"/>
                <w:sz w:val="17"/>
                <w:szCs w:val="17"/>
              </w:rPr>
              <w:t>Cost of sales</w:t>
            </w:r>
          </w:p>
        </w:tc>
      </w:tr>
      <w:tr w:rsidR="008E7A10" w14:paraId="746F0BA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BA3"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A4" w14:textId="77777777" w:rsidR="008E7A10" w:rsidRDefault="00E047B2">
            <w:pPr>
              <w:jc w:val="right"/>
              <w:textAlignment w:val="bottom"/>
            </w:pPr>
            <w:r>
              <w:rPr>
                <w:rFonts w:ascii="Arial" w:eastAsia="宋体" w:hAnsi="Arial" w:cs="Arial"/>
                <w:color w:val="000000"/>
                <w:sz w:val="16"/>
                <w:szCs w:val="16"/>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A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A6" w14:textId="77777777" w:rsidR="008E7A10" w:rsidRDefault="00E047B2">
            <w:pPr>
              <w:jc w:val="right"/>
              <w:textAlignment w:val="bottom"/>
            </w:pPr>
            <w:r>
              <w:rPr>
                <w:rFonts w:ascii="Arial" w:eastAsia="宋体" w:hAnsi="Arial" w:cs="Arial"/>
                <w:color w:val="000000"/>
                <w:sz w:val="16"/>
                <w:szCs w:val="16"/>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A7"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BA8"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A9" w14:textId="77777777" w:rsidR="008E7A10" w:rsidRDefault="00E047B2">
            <w:pPr>
              <w:jc w:val="right"/>
              <w:textAlignment w:val="bottom"/>
            </w:pPr>
            <w:r>
              <w:rPr>
                <w:rFonts w:ascii="Arial" w:eastAsia="宋体" w:hAnsi="Arial" w:cs="Arial"/>
                <w:color w:val="000000"/>
                <w:sz w:val="16"/>
                <w:szCs w:val="16"/>
              </w:rPr>
              <w:t>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A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AB" w14:textId="77777777" w:rsidR="008E7A10" w:rsidRDefault="00E047B2">
            <w:pPr>
              <w:jc w:val="right"/>
              <w:textAlignment w:val="bottom"/>
            </w:pPr>
            <w:r>
              <w:rPr>
                <w:rFonts w:ascii="Arial" w:eastAsia="宋体" w:hAnsi="Arial" w:cs="Arial"/>
                <w:color w:val="000000"/>
                <w:sz w:val="16"/>
                <w:szCs w:val="16"/>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AC" w14:textId="77777777" w:rsidR="008E7A10" w:rsidRDefault="008E7A10">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BAD" w14:textId="77777777" w:rsidR="008E7A10" w:rsidRDefault="00E047B2">
            <w:pPr>
              <w:jc w:val="right"/>
              <w:textAlignment w:val="bottom"/>
            </w:pPr>
            <w:r>
              <w:rPr>
                <w:rFonts w:ascii="Arial" w:eastAsia="宋体" w:hAnsi="Arial" w:cs="Arial"/>
                <w:color w:val="000000"/>
                <w:sz w:val="17"/>
                <w:szCs w:val="17"/>
              </w:rPr>
              <w:t>Demand creation expense</w:t>
            </w:r>
          </w:p>
        </w:tc>
      </w:tr>
      <w:tr w:rsidR="008E7A10" w14:paraId="746F0BB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BAF" w14:textId="77777777" w:rsidR="008E7A10" w:rsidRDefault="00E047B2">
            <w:pPr>
              <w:textAlignment w:val="bottom"/>
            </w:pPr>
            <w:r>
              <w:rPr>
                <w:rFonts w:ascii="Arial" w:eastAsia="宋体" w:hAnsi="Arial" w:cs="Arial"/>
                <w:color w:val="000000"/>
                <w:sz w:val="17"/>
                <w:szCs w:val="17"/>
              </w:rPr>
              <w:t>Foreign exchange forwards and options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B0" w14:textId="77777777" w:rsidR="008E7A10" w:rsidRDefault="00E047B2">
            <w:pPr>
              <w:jc w:val="right"/>
              <w:textAlignment w:val="bottom"/>
            </w:pPr>
            <w:r>
              <w:rPr>
                <w:rFonts w:ascii="Arial" w:eastAsia="宋体" w:hAnsi="Arial" w:cs="Arial"/>
                <w:color w:val="000000"/>
                <w:sz w:val="17"/>
                <w:szCs w:val="17"/>
              </w:rPr>
              <w:t>(13)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B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B2" w14:textId="77777777" w:rsidR="008E7A10" w:rsidRDefault="00E047B2">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B3"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BB4"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B5" w14:textId="77777777" w:rsidR="008E7A10" w:rsidRDefault="00E047B2">
            <w:pPr>
              <w:jc w:val="right"/>
              <w:textAlignment w:val="bottom"/>
            </w:pPr>
            <w:r>
              <w:rPr>
                <w:rFonts w:ascii="Arial" w:eastAsia="宋体" w:hAnsi="Arial" w:cs="Arial"/>
                <w:color w:val="000000"/>
                <w:sz w:val="17"/>
                <w:szCs w:val="17"/>
              </w:rPr>
              <w:t>(5)</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B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B7" w14:textId="77777777" w:rsidR="008E7A10" w:rsidRDefault="00E047B2">
            <w:pPr>
              <w:jc w:val="right"/>
              <w:textAlignment w:val="bottom"/>
            </w:pPr>
            <w:r>
              <w:rPr>
                <w:rFonts w:ascii="Arial" w:eastAsia="宋体" w:hAnsi="Arial" w:cs="Arial"/>
                <w:color w:val="000000"/>
                <w:sz w:val="17"/>
                <w:szCs w:val="17"/>
              </w:rPr>
              <w:t>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B8" w14:textId="77777777" w:rsidR="008E7A10" w:rsidRDefault="008E7A10">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BB9" w14:textId="77777777" w:rsidR="008E7A10" w:rsidRDefault="00E047B2">
            <w:pPr>
              <w:jc w:val="right"/>
              <w:textAlignment w:val="bottom"/>
            </w:pPr>
            <w:r>
              <w:rPr>
                <w:rFonts w:ascii="Arial" w:eastAsia="宋体" w:hAnsi="Arial" w:cs="Arial"/>
                <w:color w:val="000000"/>
                <w:sz w:val="17"/>
                <w:szCs w:val="17"/>
              </w:rPr>
              <w:t>Other (income) expense, net</w:t>
            </w:r>
          </w:p>
        </w:tc>
      </w:tr>
      <w:tr w:rsidR="008E7A10" w14:paraId="746F0BC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BBB" w14:textId="77777777" w:rsidR="008E7A10" w:rsidRDefault="00E047B2">
            <w:pPr>
              <w:textAlignment w:val="bottom"/>
            </w:pPr>
            <w:r>
              <w:rPr>
                <w:rFonts w:ascii="Arial" w:eastAsia="宋体" w:hAnsi="Arial" w:cs="Arial"/>
                <w:color w:val="000000"/>
                <w:sz w:val="17"/>
                <w:szCs w:val="17"/>
              </w:rPr>
              <w:t>Interest rate swaps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BC"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B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BE"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B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BC0"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C1"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C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C3" w14:textId="77777777" w:rsidR="008E7A10" w:rsidRDefault="00E047B2">
            <w:pPr>
              <w:jc w:val="right"/>
              <w:textAlignment w:val="bottom"/>
            </w:pPr>
            <w:r>
              <w:rPr>
                <w:rFonts w:ascii="Arial" w:eastAsia="宋体" w:hAnsi="Arial" w:cs="Arial"/>
                <w:color w:val="000000"/>
                <w:sz w:val="17"/>
                <w:szCs w:val="17"/>
              </w:rPr>
              <w:t>(3)</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C4" w14:textId="77777777" w:rsidR="008E7A10" w:rsidRDefault="008E7A10">
            <w:pPr>
              <w:jc w:val="right"/>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BC5" w14:textId="77777777" w:rsidR="008E7A10" w:rsidRDefault="00E047B2">
            <w:pPr>
              <w:jc w:val="right"/>
              <w:textAlignment w:val="bottom"/>
            </w:pPr>
            <w:r>
              <w:rPr>
                <w:rFonts w:ascii="Arial" w:eastAsia="宋体" w:hAnsi="Arial" w:cs="Arial"/>
                <w:color w:val="000000"/>
                <w:sz w:val="17"/>
                <w:szCs w:val="17"/>
              </w:rPr>
              <w:t>Interest expense (income), net</w:t>
            </w:r>
          </w:p>
        </w:tc>
      </w:tr>
      <w:tr w:rsidR="008E7A10" w14:paraId="746F0BD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C7" w14:textId="77777777" w:rsidR="008E7A10" w:rsidRDefault="00E047B2">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C8" w14:textId="77777777" w:rsidR="008E7A10" w:rsidRDefault="00E047B2">
            <w:pPr>
              <w:jc w:val="right"/>
              <w:textAlignment w:val="bottom"/>
            </w:pPr>
            <w:r>
              <w:rPr>
                <w:rFonts w:ascii="Arial" w:eastAsia="宋体" w:hAnsi="Arial" w:cs="Arial"/>
                <w:color w:val="000000"/>
                <w:sz w:val="17"/>
                <w:szCs w:val="17"/>
              </w:rPr>
              <w:t>43 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C9"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CA" w14:textId="77777777" w:rsidR="008E7A10" w:rsidRDefault="00E047B2">
            <w:pPr>
              <w:jc w:val="right"/>
              <w:textAlignment w:val="bottom"/>
            </w:pPr>
            <w:r>
              <w:rPr>
                <w:rFonts w:ascii="Arial" w:eastAsia="宋体" w:hAnsi="Arial" w:cs="Arial"/>
                <w:color w:val="000000"/>
                <w:sz w:val="17"/>
                <w:szCs w:val="17"/>
              </w:rPr>
              <w:t>130 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CB"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CC"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CD" w14:textId="77777777" w:rsidR="008E7A10" w:rsidRDefault="00E047B2">
            <w:pPr>
              <w:jc w:val="right"/>
              <w:textAlignment w:val="bottom"/>
            </w:pPr>
            <w:r>
              <w:rPr>
                <w:rFonts w:ascii="Arial" w:eastAsia="宋体" w:hAnsi="Arial" w:cs="Arial"/>
                <w:color w:val="000000"/>
                <w:sz w:val="17"/>
                <w:szCs w:val="17"/>
              </w:rPr>
              <w:t>178 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C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CF" w14:textId="77777777" w:rsidR="008E7A10" w:rsidRDefault="00E047B2">
            <w:pPr>
              <w:jc w:val="right"/>
              <w:textAlignment w:val="bottom"/>
            </w:pPr>
            <w:r>
              <w:rPr>
                <w:rFonts w:ascii="Arial" w:eastAsia="宋体" w:hAnsi="Arial" w:cs="Arial"/>
                <w:color w:val="000000"/>
                <w:sz w:val="17"/>
                <w:szCs w:val="17"/>
              </w:rPr>
              <w:t>257 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D0"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D1" w14:textId="77777777" w:rsidR="008E7A10" w:rsidRDefault="008E7A10">
            <w:pPr>
              <w:rPr>
                <w:rFonts w:ascii="宋体"/>
              </w:rPr>
            </w:pPr>
          </w:p>
        </w:tc>
      </w:tr>
      <w:tr w:rsidR="008E7A10" w14:paraId="746F0BD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BD3" w14:textId="77777777" w:rsidR="008E7A10" w:rsidRDefault="00E047B2">
            <w:pPr>
              <w:textAlignment w:val="bottom"/>
            </w:pPr>
            <w:r>
              <w:rPr>
                <w:rFonts w:ascii="Arial" w:eastAsia="宋体" w:hAnsi="Arial" w:cs="Arial"/>
                <w:color w:val="000000"/>
                <w:sz w:val="17"/>
                <w:szCs w:val="17"/>
              </w:rPr>
              <w:t>Tax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D4" w14:textId="77777777" w:rsidR="008E7A10" w:rsidRDefault="00E047B2">
            <w:pPr>
              <w:jc w:val="right"/>
              <w:textAlignment w:val="bottom"/>
            </w:pPr>
            <w:r>
              <w:rPr>
                <w:rFonts w:ascii="Arial" w:eastAsia="宋体" w:hAnsi="Arial" w:cs="Arial"/>
                <w:color w:val="000000"/>
                <w:sz w:val="17"/>
                <w:szCs w:val="17"/>
              </w:rPr>
              <w:t>(4)</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D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D6"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D7"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BD8"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BD9" w14:textId="77777777" w:rsidR="008E7A10" w:rsidRDefault="00E047B2">
            <w:pPr>
              <w:jc w:val="right"/>
              <w:textAlignment w:val="bottom"/>
            </w:pPr>
            <w:r>
              <w:rPr>
                <w:rFonts w:ascii="Arial" w:eastAsia="宋体" w:hAnsi="Arial" w:cs="Arial"/>
                <w:color w:val="000000"/>
                <w:sz w:val="17"/>
                <w:szCs w:val="17"/>
              </w:rPr>
              <w:t>(7)</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BD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BDB"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808080"/>
            </w:tcBorders>
            <w:shd w:val="clear" w:color="auto" w:fill="auto"/>
            <w:tcMar>
              <w:top w:w="40" w:type="dxa"/>
              <w:left w:w="0" w:type="dxa"/>
              <w:bottom w:w="40" w:type="dxa"/>
              <w:right w:w="20" w:type="dxa"/>
            </w:tcMar>
            <w:vAlign w:val="bottom"/>
          </w:tcPr>
          <w:p w14:paraId="746F0BD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BDD" w14:textId="77777777" w:rsidR="008E7A10" w:rsidRDefault="008E7A10">
            <w:pPr>
              <w:rPr>
                <w:rFonts w:ascii="宋体"/>
              </w:rPr>
            </w:pPr>
          </w:p>
        </w:tc>
      </w:tr>
      <w:tr w:rsidR="008E7A10" w14:paraId="746F0BE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DF" w14:textId="77777777" w:rsidR="008E7A10" w:rsidRDefault="00E047B2">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E0" w14:textId="77777777" w:rsidR="008E7A10" w:rsidRDefault="00E047B2">
            <w:pPr>
              <w:jc w:val="right"/>
              <w:textAlignment w:val="bottom"/>
            </w:pPr>
            <w:r>
              <w:rPr>
                <w:rFonts w:ascii="Arial" w:eastAsia="宋体" w:hAnsi="Arial" w:cs="Arial"/>
                <w:b/>
                <w:bCs/>
                <w:color w:val="000000"/>
                <w:sz w:val="17"/>
                <w:szCs w:val="17"/>
              </w:rPr>
              <w:t>39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E1"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E2" w14:textId="77777777" w:rsidR="008E7A10" w:rsidRDefault="00E047B2">
            <w:pPr>
              <w:jc w:val="right"/>
              <w:textAlignment w:val="bottom"/>
            </w:pPr>
            <w:r>
              <w:rPr>
                <w:rFonts w:ascii="Arial" w:eastAsia="宋体" w:hAnsi="Arial" w:cs="Arial"/>
                <w:b/>
                <w:bCs/>
                <w:color w:val="000000"/>
                <w:sz w:val="17"/>
                <w:szCs w:val="17"/>
              </w:rPr>
              <w:t>129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E3"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E4"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E5" w14:textId="77777777" w:rsidR="008E7A10" w:rsidRDefault="00E047B2">
            <w:pPr>
              <w:jc w:val="right"/>
              <w:textAlignment w:val="bottom"/>
            </w:pPr>
            <w:r>
              <w:rPr>
                <w:rFonts w:ascii="Arial" w:eastAsia="宋体" w:hAnsi="Arial" w:cs="Arial"/>
                <w:b/>
                <w:bCs/>
                <w:color w:val="000000"/>
                <w:sz w:val="17"/>
                <w:szCs w:val="17"/>
              </w:rPr>
              <w:t>171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E6"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E7" w14:textId="77777777" w:rsidR="008E7A10" w:rsidRDefault="00E047B2">
            <w:pPr>
              <w:jc w:val="right"/>
              <w:textAlignment w:val="bottom"/>
            </w:pPr>
            <w:r>
              <w:rPr>
                <w:rFonts w:ascii="Arial" w:eastAsia="宋体" w:hAnsi="Arial" w:cs="Arial"/>
                <w:b/>
                <w:bCs/>
                <w:color w:val="000000"/>
                <w:sz w:val="17"/>
                <w:szCs w:val="17"/>
              </w:rPr>
              <w:t>256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E8"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E9" w14:textId="77777777" w:rsidR="008E7A10" w:rsidRDefault="008E7A10">
            <w:pPr>
              <w:rPr>
                <w:rFonts w:ascii="宋体"/>
              </w:rPr>
            </w:pPr>
          </w:p>
        </w:tc>
      </w:tr>
      <w:tr w:rsidR="008E7A10" w14:paraId="746F0BF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EB" w14:textId="77777777" w:rsidR="008E7A10" w:rsidRDefault="00E047B2">
            <w:pPr>
              <w:textAlignment w:val="bottom"/>
            </w:pPr>
            <w:r>
              <w:rPr>
                <w:rFonts w:ascii="Arial" w:eastAsia="宋体" w:hAnsi="Arial" w:cs="Arial"/>
                <w:color w:val="000000"/>
                <w:sz w:val="17"/>
                <w:szCs w:val="17"/>
              </w:rPr>
              <w:t>Gains (losses) on other</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EC"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ED"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EE"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EF"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F0"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F1" w14:textId="77777777" w:rsidR="008E7A10" w:rsidRDefault="00E047B2">
            <w:pPr>
              <w:jc w:val="right"/>
              <w:textAlignment w:val="bottom"/>
            </w:pPr>
            <w:r>
              <w:rPr>
                <w:rFonts w:ascii="Arial" w:eastAsia="宋体" w:hAnsi="Arial" w:cs="Arial"/>
                <w:color w:val="000000"/>
                <w:sz w:val="17"/>
                <w:szCs w:val="17"/>
              </w:rPr>
              <w:t>(7)</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F2"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F3"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F4" w14:textId="77777777" w:rsidR="008E7A10" w:rsidRDefault="008E7A10">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F5" w14:textId="77777777" w:rsidR="008E7A10" w:rsidRDefault="00E047B2">
            <w:pPr>
              <w:jc w:val="right"/>
              <w:textAlignment w:val="bottom"/>
            </w:pPr>
            <w:r>
              <w:rPr>
                <w:rFonts w:ascii="Arial" w:eastAsia="宋体" w:hAnsi="Arial" w:cs="Arial"/>
                <w:color w:val="000000"/>
                <w:sz w:val="17"/>
                <w:szCs w:val="17"/>
              </w:rPr>
              <w:t>Other (income) expense, net</w:t>
            </w:r>
          </w:p>
        </w:tc>
      </w:tr>
      <w:tr w:rsidR="008E7A10" w14:paraId="746F0C0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BF7" w14:textId="77777777" w:rsidR="008E7A10" w:rsidRDefault="00E047B2">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F8"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F9"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FA" w14:textId="77777777" w:rsidR="008E7A10" w:rsidRDefault="00E047B2">
            <w:pPr>
              <w:jc w:val="right"/>
              <w:textAlignment w:val="bottom"/>
            </w:pPr>
            <w:r>
              <w:rPr>
                <w:rFonts w:ascii="Arial" w:eastAsia="宋体" w:hAnsi="Arial" w:cs="Arial"/>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vAlign w:val="bottom"/>
          </w:tcPr>
          <w:p w14:paraId="746F0BFB"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BFC"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BFD" w14:textId="77777777" w:rsidR="008E7A10" w:rsidRDefault="00E047B2">
            <w:pPr>
              <w:jc w:val="right"/>
              <w:textAlignment w:val="bottom"/>
            </w:pPr>
            <w:r>
              <w:rPr>
                <w:rFonts w:ascii="Arial" w:eastAsia="宋体" w:hAnsi="Arial" w:cs="Arial"/>
                <w:color w:val="000000"/>
                <w:sz w:val="17"/>
                <w:szCs w:val="17"/>
              </w:rPr>
              <w:t>(7)</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BF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BF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C00"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C01" w14:textId="77777777" w:rsidR="008E7A10" w:rsidRDefault="008E7A10">
            <w:pPr>
              <w:rPr>
                <w:rFonts w:ascii="宋体"/>
              </w:rPr>
            </w:pPr>
          </w:p>
        </w:tc>
      </w:tr>
      <w:tr w:rsidR="008E7A10" w14:paraId="746F0C0E"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0C03" w14:textId="77777777" w:rsidR="008E7A10" w:rsidRDefault="00E047B2">
            <w:pPr>
              <w:textAlignment w:val="bottom"/>
            </w:pPr>
            <w:r>
              <w:rPr>
                <w:rFonts w:ascii="Arial" w:eastAsia="宋体" w:hAnsi="Arial" w:cs="Arial"/>
                <w:color w:val="000000"/>
                <w:sz w:val="17"/>
                <w:szCs w:val="17"/>
              </w:rPr>
              <w:t>Tax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04"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0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C06"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C07"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C08"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09"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0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C0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C0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0C0D" w14:textId="77777777" w:rsidR="008E7A10" w:rsidRDefault="008E7A10">
            <w:pPr>
              <w:rPr>
                <w:rFonts w:ascii="宋体"/>
              </w:rPr>
            </w:pPr>
          </w:p>
        </w:tc>
      </w:tr>
      <w:tr w:rsidR="008E7A10" w14:paraId="746F0C1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0F" w14:textId="77777777" w:rsidR="008E7A10" w:rsidRDefault="00E047B2">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C10"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11"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C12" w14:textId="77777777" w:rsidR="008E7A10" w:rsidRDefault="00E047B2">
            <w:pPr>
              <w:jc w:val="right"/>
              <w:textAlignment w:val="bottom"/>
            </w:pPr>
            <w:r>
              <w:rPr>
                <w:rFonts w:ascii="Arial" w:eastAsia="宋体" w:hAnsi="Arial" w:cs="Arial"/>
                <w:b/>
                <w:bCs/>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vAlign w:val="bottom"/>
          </w:tcPr>
          <w:p w14:paraId="746F0C13"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C14"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0C15" w14:textId="77777777" w:rsidR="008E7A10" w:rsidRDefault="00E047B2">
            <w:pPr>
              <w:jc w:val="right"/>
              <w:textAlignment w:val="bottom"/>
            </w:pPr>
            <w:r>
              <w:rPr>
                <w:rFonts w:ascii="Arial" w:eastAsia="宋体" w:hAnsi="Arial" w:cs="Arial"/>
                <w:b/>
                <w:bCs/>
                <w:color w:val="000000"/>
                <w:sz w:val="17"/>
                <w:szCs w:val="17"/>
              </w:rPr>
              <w:t>(7)</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16"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0C17" w14:textId="77777777" w:rsidR="008E7A10" w:rsidRDefault="00E047B2">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C18"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C19" w14:textId="77777777" w:rsidR="008E7A10" w:rsidRDefault="008E7A10">
            <w:pPr>
              <w:rPr>
                <w:rFonts w:ascii="宋体"/>
              </w:rPr>
            </w:pPr>
          </w:p>
        </w:tc>
      </w:tr>
      <w:tr w:rsidR="008E7A10" w14:paraId="746F0C2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1B" w14:textId="77777777" w:rsidR="008E7A10" w:rsidRDefault="00E047B2">
            <w:pPr>
              <w:textAlignment w:val="bottom"/>
            </w:pPr>
            <w:r>
              <w:rPr>
                <w:rFonts w:ascii="Arial" w:eastAsia="宋体" w:hAnsi="Arial" w:cs="Arial"/>
                <w:b/>
                <w:bCs/>
                <w:color w:val="000000"/>
                <w:sz w:val="17"/>
                <w:szCs w:val="17"/>
              </w:rPr>
              <w:t>Total net gain (loss) reclassified for the period</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0C1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C1D" w14:textId="77777777" w:rsidR="008E7A10" w:rsidRDefault="00E047B2">
            <w:pPr>
              <w:jc w:val="right"/>
              <w:textAlignment w:val="bottom"/>
            </w:pPr>
            <w:r>
              <w:rPr>
                <w:rFonts w:ascii="Arial" w:eastAsia="宋体" w:hAnsi="Arial" w:cs="Arial"/>
                <w:b/>
                <w:bCs/>
                <w:color w:val="000000"/>
                <w:sz w:val="17"/>
                <w:szCs w:val="17"/>
              </w:rPr>
              <w:t>41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1E"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C1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C20" w14:textId="77777777" w:rsidR="008E7A10" w:rsidRDefault="00E047B2">
            <w:pPr>
              <w:jc w:val="right"/>
              <w:textAlignment w:val="bottom"/>
            </w:pPr>
            <w:r>
              <w:rPr>
                <w:rFonts w:ascii="Arial" w:eastAsia="宋体" w:hAnsi="Arial" w:cs="Arial"/>
                <w:b/>
                <w:bCs/>
                <w:color w:val="000000"/>
                <w:sz w:val="17"/>
                <w:szCs w:val="17"/>
              </w:rPr>
              <w:t>128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C21"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C22"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C2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C24" w14:textId="77777777" w:rsidR="008E7A10" w:rsidRDefault="00E047B2">
            <w:pPr>
              <w:jc w:val="right"/>
              <w:textAlignment w:val="bottom"/>
            </w:pPr>
            <w:r>
              <w:rPr>
                <w:rFonts w:ascii="Arial" w:eastAsia="宋体" w:hAnsi="Arial" w:cs="Arial"/>
                <w:b/>
                <w:bCs/>
                <w:color w:val="000000"/>
                <w:sz w:val="17"/>
                <w:szCs w:val="17"/>
              </w:rPr>
              <w:t>165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25"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C2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C27" w14:textId="77777777" w:rsidR="008E7A10" w:rsidRDefault="00E047B2">
            <w:pPr>
              <w:jc w:val="right"/>
              <w:textAlignment w:val="bottom"/>
            </w:pPr>
            <w:r>
              <w:rPr>
                <w:rFonts w:ascii="Arial" w:eastAsia="宋体" w:hAnsi="Arial" w:cs="Arial"/>
                <w:b/>
                <w:bCs/>
                <w:color w:val="000000"/>
                <w:sz w:val="17"/>
                <w:szCs w:val="17"/>
              </w:rPr>
              <w:t>256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C28"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C29" w14:textId="77777777" w:rsidR="008E7A10" w:rsidRDefault="008E7A10">
            <w:pPr>
              <w:rPr>
                <w:rFonts w:ascii="宋体"/>
              </w:rPr>
            </w:pPr>
          </w:p>
        </w:tc>
      </w:tr>
      <w:tr w:rsidR="008E7A10" w14:paraId="746F0C32" w14:textId="77777777">
        <w:trPr>
          <w:trHeight w:val="300"/>
        </w:trPr>
        <w:tc>
          <w:tcPr>
            <w:tcW w:w="0" w:type="auto"/>
            <w:gridSpan w:val="3"/>
            <w:tcBorders>
              <w:top w:val="single" w:sz="8" w:space="0" w:color="E87722"/>
            </w:tcBorders>
            <w:shd w:val="clear" w:color="auto" w:fill="auto"/>
            <w:tcMar>
              <w:top w:w="0" w:type="dxa"/>
              <w:left w:w="20" w:type="dxa"/>
              <w:bottom w:w="0" w:type="dxa"/>
              <w:right w:w="20" w:type="dxa"/>
            </w:tcMar>
          </w:tcPr>
          <w:p w14:paraId="746F0C2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C2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C2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C2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C2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C3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C31" w14:textId="77777777" w:rsidR="008E7A10" w:rsidRDefault="008E7A10">
            <w:pPr>
              <w:rPr>
                <w:rFonts w:ascii="宋体"/>
              </w:rPr>
            </w:pPr>
          </w:p>
        </w:tc>
      </w:tr>
    </w:tbl>
    <w:p w14:paraId="746F0C33" w14:textId="77777777" w:rsidR="008E7A10" w:rsidRDefault="00E047B2">
      <w:pPr>
        <w:spacing w:before="120" w:after="120"/>
      </w:pPr>
      <w:r>
        <w:rPr>
          <w:rFonts w:ascii="Arial" w:eastAsia="宋体" w:hAnsi="Arial" w:cs="Arial"/>
          <w:color w:val="E87722"/>
          <w:sz w:val="17"/>
          <w:szCs w:val="17"/>
        </w:rPr>
        <w:t>18</w:t>
      </w:r>
      <w:r>
        <w:rPr>
          <w:rFonts w:ascii="sans-serif" w:eastAsia="sans-serif" w:hAnsi="sans-serif" w:cs="sans-serif"/>
          <w:color w:val="000000"/>
          <w:sz w:val="17"/>
          <w:szCs w:val="17"/>
        </w:rPr>
        <w:t xml:space="preserve"> </w:t>
      </w:r>
    </w:p>
    <w:p w14:paraId="746F0C34" w14:textId="77777777" w:rsidR="008E7A10" w:rsidRDefault="00E047B2">
      <w:r>
        <w:pict w14:anchorId="746F201A">
          <v:rect id="_x0000_i1044" style="width:415.3pt;height:1.5pt" o:hralign="center" o:hrstd="t" o:hr="t" fillcolor="#a0a0a0" stroked="f"/>
        </w:pict>
      </w:r>
    </w:p>
    <w:p w14:paraId="746F0C35" w14:textId="77777777" w:rsidR="008E7A10" w:rsidRDefault="008E7A10"/>
    <w:p w14:paraId="746F0C36" w14:textId="77777777" w:rsidR="008E7A10" w:rsidRDefault="00E047B2">
      <w:hyperlink r:id="rId89" w:anchor="i31a624617c6c41b38f8f700fa0df5bde_7" w:history="1">
        <w:r>
          <w:rPr>
            <w:rStyle w:val="a5"/>
            <w:rFonts w:ascii="sans-serif" w:eastAsia="sans-serif" w:hAnsi="sans-serif" w:cs="sans-serif"/>
            <w:sz w:val="17"/>
            <w:szCs w:val="17"/>
          </w:rPr>
          <w:t>Table of Contents</w:t>
        </w:r>
      </w:hyperlink>
    </w:p>
    <w:p w14:paraId="746F0C37" w14:textId="77777777" w:rsidR="008E7A10" w:rsidRDefault="008E7A10"/>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0C3B" w14:textId="77777777">
        <w:tc>
          <w:tcPr>
            <w:tcW w:w="50" w:type="pct"/>
            <w:shd w:val="clear" w:color="auto" w:fill="auto"/>
          </w:tcPr>
          <w:p w14:paraId="746F0C38" w14:textId="77777777" w:rsidR="008E7A10" w:rsidRDefault="008E7A10">
            <w:pPr>
              <w:rPr>
                <w:rFonts w:ascii="宋体"/>
              </w:rPr>
            </w:pPr>
          </w:p>
        </w:tc>
        <w:tc>
          <w:tcPr>
            <w:tcW w:w="4945" w:type="pct"/>
            <w:shd w:val="clear" w:color="auto" w:fill="auto"/>
          </w:tcPr>
          <w:p w14:paraId="746F0C39" w14:textId="77777777" w:rsidR="008E7A10" w:rsidRDefault="008E7A10">
            <w:pPr>
              <w:rPr>
                <w:rFonts w:ascii="宋体"/>
              </w:rPr>
            </w:pPr>
          </w:p>
        </w:tc>
        <w:tc>
          <w:tcPr>
            <w:tcW w:w="5" w:type="pct"/>
            <w:shd w:val="clear" w:color="auto" w:fill="auto"/>
          </w:tcPr>
          <w:p w14:paraId="746F0C3A" w14:textId="77777777" w:rsidR="008E7A10" w:rsidRDefault="008E7A10">
            <w:pPr>
              <w:rPr>
                <w:rFonts w:ascii="宋体"/>
              </w:rPr>
            </w:pPr>
          </w:p>
        </w:tc>
      </w:tr>
      <w:tr w:rsidR="008E7A10" w14:paraId="746F0C3D" w14:textId="77777777">
        <w:tc>
          <w:tcPr>
            <w:tcW w:w="0" w:type="auto"/>
            <w:gridSpan w:val="3"/>
            <w:shd w:val="clear" w:color="auto" w:fill="auto"/>
            <w:tcMar>
              <w:top w:w="40" w:type="dxa"/>
              <w:left w:w="20" w:type="dxa"/>
              <w:bottom w:w="40" w:type="dxa"/>
              <w:right w:w="20" w:type="dxa"/>
            </w:tcMar>
            <w:vAlign w:val="bottom"/>
          </w:tcPr>
          <w:p w14:paraId="746F0C3C" w14:textId="77777777" w:rsidR="008E7A10" w:rsidRDefault="00E047B2">
            <w:pPr>
              <w:textAlignment w:val="bottom"/>
            </w:pPr>
            <w:r>
              <w:rPr>
                <w:rFonts w:ascii="sans-serif" w:eastAsia="sans-serif" w:hAnsi="sans-serif" w:cs="sans-serif"/>
                <w:b/>
                <w:bCs/>
                <w:color w:val="E87722"/>
                <w:sz w:val="36"/>
                <w:szCs w:val="36"/>
              </w:rPr>
              <w:t>NOTE 11 — REVENUES</w:t>
            </w:r>
          </w:p>
        </w:tc>
      </w:tr>
    </w:tbl>
    <w:p w14:paraId="746F0C3E" w14:textId="77777777" w:rsidR="008E7A10" w:rsidRDefault="00E047B2">
      <w:pPr>
        <w:spacing w:before="120" w:after="120"/>
      </w:pPr>
      <w:r>
        <w:rPr>
          <w:rFonts w:ascii="sans-serif" w:eastAsia="sans-serif" w:hAnsi="sans-serif" w:cs="sans-serif"/>
          <w:b/>
          <w:bCs/>
          <w:color w:val="000000"/>
          <w:sz w:val="28"/>
          <w:szCs w:val="28"/>
        </w:rPr>
        <w:t>DISAGGREGATION OF REVENUES</w:t>
      </w:r>
    </w:p>
    <w:p w14:paraId="746F0C3F" w14:textId="77777777" w:rsidR="008E7A10" w:rsidRDefault="00E047B2">
      <w:pPr>
        <w:spacing w:before="120"/>
      </w:pPr>
      <w:r>
        <w:rPr>
          <w:rFonts w:ascii="Arial" w:eastAsia="宋体" w:hAnsi="Arial" w:cs="Arial"/>
          <w:color w:val="000000"/>
          <w:sz w:val="17"/>
          <w:szCs w:val="17"/>
        </w:rPr>
        <w:t xml:space="preserve">The following tables </w:t>
      </w:r>
      <w:r>
        <w:rPr>
          <w:rFonts w:ascii="Arial" w:eastAsia="宋体" w:hAnsi="Arial" w:cs="Arial"/>
          <w:color w:val="000000"/>
          <w:sz w:val="17"/>
          <w:szCs w:val="17"/>
        </w:rPr>
        <w:t>present the Company's revenues disaggregated by reportable operating segment, major product line and by distribution channel:</w:t>
      </w:r>
    </w:p>
    <w:tbl>
      <w:tblPr>
        <w:tblW w:w="4985" w:type="pct"/>
        <w:tblCellMar>
          <w:top w:w="15" w:type="dxa"/>
          <w:left w:w="15" w:type="dxa"/>
          <w:bottom w:w="15" w:type="dxa"/>
          <w:right w:w="15" w:type="dxa"/>
        </w:tblCellMar>
        <w:tblLook w:val="04A0" w:firstRow="1" w:lastRow="0" w:firstColumn="1" w:lastColumn="0" w:noHBand="0" w:noVBand="1"/>
      </w:tblPr>
      <w:tblGrid>
        <w:gridCol w:w="42"/>
        <w:gridCol w:w="1146"/>
        <w:gridCol w:w="39"/>
        <w:gridCol w:w="116"/>
        <w:gridCol w:w="614"/>
        <w:gridCol w:w="36"/>
        <w:gridCol w:w="116"/>
        <w:gridCol w:w="573"/>
        <w:gridCol w:w="36"/>
        <w:gridCol w:w="116"/>
        <w:gridCol w:w="600"/>
        <w:gridCol w:w="36"/>
        <w:gridCol w:w="116"/>
        <w:gridCol w:w="614"/>
        <w:gridCol w:w="36"/>
        <w:gridCol w:w="116"/>
        <w:gridCol w:w="672"/>
        <w:gridCol w:w="36"/>
        <w:gridCol w:w="115"/>
        <w:gridCol w:w="568"/>
        <w:gridCol w:w="36"/>
        <w:gridCol w:w="116"/>
        <w:gridCol w:w="700"/>
        <w:gridCol w:w="36"/>
        <w:gridCol w:w="116"/>
        <w:gridCol w:w="809"/>
        <w:gridCol w:w="36"/>
        <w:gridCol w:w="115"/>
        <w:gridCol w:w="568"/>
        <w:gridCol w:w="36"/>
      </w:tblGrid>
      <w:tr w:rsidR="008E7A10" w14:paraId="746F0C5E" w14:textId="77777777">
        <w:tc>
          <w:tcPr>
            <w:tcW w:w="50" w:type="pct"/>
            <w:shd w:val="clear" w:color="auto" w:fill="auto"/>
          </w:tcPr>
          <w:p w14:paraId="746F0C40" w14:textId="77777777" w:rsidR="008E7A10" w:rsidRDefault="008E7A10">
            <w:pPr>
              <w:rPr>
                <w:rFonts w:ascii="宋体"/>
              </w:rPr>
            </w:pPr>
          </w:p>
        </w:tc>
        <w:tc>
          <w:tcPr>
            <w:tcW w:w="1129" w:type="pct"/>
            <w:shd w:val="clear" w:color="auto" w:fill="auto"/>
          </w:tcPr>
          <w:p w14:paraId="746F0C41" w14:textId="77777777" w:rsidR="008E7A10" w:rsidRDefault="008E7A10">
            <w:pPr>
              <w:rPr>
                <w:rFonts w:ascii="宋体"/>
              </w:rPr>
            </w:pPr>
          </w:p>
        </w:tc>
        <w:tc>
          <w:tcPr>
            <w:tcW w:w="5" w:type="pct"/>
            <w:shd w:val="clear" w:color="auto" w:fill="auto"/>
          </w:tcPr>
          <w:p w14:paraId="746F0C42" w14:textId="77777777" w:rsidR="008E7A10" w:rsidRDefault="008E7A10">
            <w:pPr>
              <w:rPr>
                <w:rFonts w:ascii="宋体"/>
              </w:rPr>
            </w:pPr>
          </w:p>
        </w:tc>
        <w:tc>
          <w:tcPr>
            <w:tcW w:w="50" w:type="pct"/>
            <w:shd w:val="clear" w:color="auto" w:fill="auto"/>
          </w:tcPr>
          <w:p w14:paraId="746F0C43" w14:textId="77777777" w:rsidR="008E7A10" w:rsidRDefault="008E7A10">
            <w:pPr>
              <w:rPr>
                <w:rFonts w:ascii="宋体"/>
              </w:rPr>
            </w:pPr>
          </w:p>
        </w:tc>
        <w:tc>
          <w:tcPr>
            <w:tcW w:w="355" w:type="pct"/>
            <w:shd w:val="clear" w:color="auto" w:fill="auto"/>
          </w:tcPr>
          <w:p w14:paraId="746F0C44" w14:textId="77777777" w:rsidR="008E7A10" w:rsidRDefault="008E7A10">
            <w:pPr>
              <w:rPr>
                <w:rFonts w:ascii="宋体"/>
              </w:rPr>
            </w:pPr>
          </w:p>
        </w:tc>
        <w:tc>
          <w:tcPr>
            <w:tcW w:w="5" w:type="pct"/>
            <w:shd w:val="clear" w:color="auto" w:fill="auto"/>
          </w:tcPr>
          <w:p w14:paraId="746F0C45" w14:textId="77777777" w:rsidR="008E7A10" w:rsidRDefault="008E7A10">
            <w:pPr>
              <w:rPr>
                <w:rFonts w:ascii="宋体"/>
              </w:rPr>
            </w:pPr>
          </w:p>
        </w:tc>
        <w:tc>
          <w:tcPr>
            <w:tcW w:w="50" w:type="pct"/>
            <w:shd w:val="clear" w:color="auto" w:fill="auto"/>
          </w:tcPr>
          <w:p w14:paraId="746F0C46" w14:textId="77777777" w:rsidR="008E7A10" w:rsidRDefault="008E7A10">
            <w:pPr>
              <w:rPr>
                <w:rFonts w:ascii="宋体"/>
              </w:rPr>
            </w:pPr>
          </w:p>
        </w:tc>
        <w:tc>
          <w:tcPr>
            <w:tcW w:w="355" w:type="pct"/>
            <w:shd w:val="clear" w:color="auto" w:fill="auto"/>
          </w:tcPr>
          <w:p w14:paraId="746F0C47" w14:textId="77777777" w:rsidR="008E7A10" w:rsidRDefault="008E7A10">
            <w:pPr>
              <w:rPr>
                <w:rFonts w:ascii="宋体"/>
              </w:rPr>
            </w:pPr>
          </w:p>
        </w:tc>
        <w:tc>
          <w:tcPr>
            <w:tcW w:w="5" w:type="pct"/>
            <w:shd w:val="clear" w:color="auto" w:fill="auto"/>
          </w:tcPr>
          <w:p w14:paraId="746F0C48" w14:textId="77777777" w:rsidR="008E7A10" w:rsidRDefault="008E7A10">
            <w:pPr>
              <w:rPr>
                <w:rFonts w:ascii="宋体"/>
              </w:rPr>
            </w:pPr>
          </w:p>
        </w:tc>
        <w:tc>
          <w:tcPr>
            <w:tcW w:w="50" w:type="pct"/>
            <w:shd w:val="clear" w:color="auto" w:fill="auto"/>
          </w:tcPr>
          <w:p w14:paraId="746F0C49" w14:textId="77777777" w:rsidR="008E7A10" w:rsidRDefault="008E7A10">
            <w:pPr>
              <w:rPr>
                <w:rFonts w:ascii="宋体"/>
              </w:rPr>
            </w:pPr>
          </w:p>
        </w:tc>
        <w:tc>
          <w:tcPr>
            <w:tcW w:w="355" w:type="pct"/>
            <w:shd w:val="clear" w:color="auto" w:fill="auto"/>
          </w:tcPr>
          <w:p w14:paraId="746F0C4A" w14:textId="77777777" w:rsidR="008E7A10" w:rsidRDefault="008E7A10">
            <w:pPr>
              <w:rPr>
                <w:rFonts w:ascii="宋体"/>
              </w:rPr>
            </w:pPr>
          </w:p>
        </w:tc>
        <w:tc>
          <w:tcPr>
            <w:tcW w:w="5" w:type="pct"/>
            <w:shd w:val="clear" w:color="auto" w:fill="auto"/>
          </w:tcPr>
          <w:p w14:paraId="746F0C4B" w14:textId="77777777" w:rsidR="008E7A10" w:rsidRDefault="008E7A10">
            <w:pPr>
              <w:rPr>
                <w:rFonts w:ascii="宋体"/>
              </w:rPr>
            </w:pPr>
          </w:p>
        </w:tc>
        <w:tc>
          <w:tcPr>
            <w:tcW w:w="50" w:type="pct"/>
            <w:shd w:val="clear" w:color="auto" w:fill="auto"/>
          </w:tcPr>
          <w:p w14:paraId="746F0C4C" w14:textId="77777777" w:rsidR="008E7A10" w:rsidRDefault="008E7A10">
            <w:pPr>
              <w:rPr>
                <w:rFonts w:ascii="宋体"/>
              </w:rPr>
            </w:pPr>
          </w:p>
        </w:tc>
        <w:tc>
          <w:tcPr>
            <w:tcW w:w="355" w:type="pct"/>
            <w:shd w:val="clear" w:color="auto" w:fill="auto"/>
          </w:tcPr>
          <w:p w14:paraId="746F0C4D" w14:textId="77777777" w:rsidR="008E7A10" w:rsidRDefault="008E7A10">
            <w:pPr>
              <w:rPr>
                <w:rFonts w:ascii="宋体"/>
              </w:rPr>
            </w:pPr>
          </w:p>
        </w:tc>
        <w:tc>
          <w:tcPr>
            <w:tcW w:w="5" w:type="pct"/>
            <w:shd w:val="clear" w:color="auto" w:fill="auto"/>
          </w:tcPr>
          <w:p w14:paraId="746F0C4E" w14:textId="77777777" w:rsidR="008E7A10" w:rsidRDefault="008E7A10">
            <w:pPr>
              <w:rPr>
                <w:rFonts w:ascii="宋体"/>
              </w:rPr>
            </w:pPr>
          </w:p>
        </w:tc>
        <w:tc>
          <w:tcPr>
            <w:tcW w:w="50" w:type="pct"/>
            <w:shd w:val="clear" w:color="auto" w:fill="auto"/>
          </w:tcPr>
          <w:p w14:paraId="746F0C4F" w14:textId="77777777" w:rsidR="008E7A10" w:rsidRDefault="008E7A10">
            <w:pPr>
              <w:rPr>
                <w:rFonts w:ascii="宋体"/>
              </w:rPr>
            </w:pPr>
          </w:p>
        </w:tc>
        <w:tc>
          <w:tcPr>
            <w:tcW w:w="370" w:type="pct"/>
            <w:shd w:val="clear" w:color="auto" w:fill="auto"/>
          </w:tcPr>
          <w:p w14:paraId="746F0C50" w14:textId="77777777" w:rsidR="008E7A10" w:rsidRDefault="008E7A10">
            <w:pPr>
              <w:rPr>
                <w:rFonts w:ascii="宋体"/>
              </w:rPr>
            </w:pPr>
          </w:p>
        </w:tc>
        <w:tc>
          <w:tcPr>
            <w:tcW w:w="5" w:type="pct"/>
            <w:shd w:val="clear" w:color="auto" w:fill="auto"/>
          </w:tcPr>
          <w:p w14:paraId="746F0C51" w14:textId="77777777" w:rsidR="008E7A10" w:rsidRDefault="008E7A10">
            <w:pPr>
              <w:rPr>
                <w:rFonts w:ascii="宋体"/>
              </w:rPr>
            </w:pPr>
          </w:p>
        </w:tc>
        <w:tc>
          <w:tcPr>
            <w:tcW w:w="50" w:type="pct"/>
            <w:shd w:val="clear" w:color="auto" w:fill="auto"/>
          </w:tcPr>
          <w:p w14:paraId="746F0C52" w14:textId="77777777" w:rsidR="008E7A10" w:rsidRDefault="008E7A10">
            <w:pPr>
              <w:rPr>
                <w:rFonts w:ascii="宋体"/>
              </w:rPr>
            </w:pPr>
          </w:p>
        </w:tc>
        <w:tc>
          <w:tcPr>
            <w:tcW w:w="355" w:type="pct"/>
            <w:shd w:val="clear" w:color="auto" w:fill="auto"/>
          </w:tcPr>
          <w:p w14:paraId="746F0C53" w14:textId="77777777" w:rsidR="008E7A10" w:rsidRDefault="008E7A10">
            <w:pPr>
              <w:rPr>
                <w:rFonts w:ascii="宋体"/>
              </w:rPr>
            </w:pPr>
          </w:p>
        </w:tc>
        <w:tc>
          <w:tcPr>
            <w:tcW w:w="5" w:type="pct"/>
            <w:shd w:val="clear" w:color="auto" w:fill="auto"/>
          </w:tcPr>
          <w:p w14:paraId="746F0C54" w14:textId="77777777" w:rsidR="008E7A10" w:rsidRDefault="008E7A10">
            <w:pPr>
              <w:rPr>
                <w:rFonts w:ascii="宋体"/>
              </w:rPr>
            </w:pPr>
          </w:p>
        </w:tc>
        <w:tc>
          <w:tcPr>
            <w:tcW w:w="50" w:type="pct"/>
            <w:shd w:val="clear" w:color="auto" w:fill="auto"/>
          </w:tcPr>
          <w:p w14:paraId="746F0C55" w14:textId="77777777" w:rsidR="008E7A10" w:rsidRDefault="008E7A10">
            <w:pPr>
              <w:rPr>
                <w:rFonts w:ascii="宋体"/>
              </w:rPr>
            </w:pPr>
          </w:p>
        </w:tc>
        <w:tc>
          <w:tcPr>
            <w:tcW w:w="386" w:type="pct"/>
            <w:shd w:val="clear" w:color="auto" w:fill="auto"/>
          </w:tcPr>
          <w:p w14:paraId="746F0C56" w14:textId="77777777" w:rsidR="008E7A10" w:rsidRDefault="008E7A10">
            <w:pPr>
              <w:rPr>
                <w:rFonts w:ascii="宋体"/>
              </w:rPr>
            </w:pPr>
          </w:p>
        </w:tc>
        <w:tc>
          <w:tcPr>
            <w:tcW w:w="5" w:type="pct"/>
            <w:shd w:val="clear" w:color="auto" w:fill="auto"/>
          </w:tcPr>
          <w:p w14:paraId="746F0C57" w14:textId="77777777" w:rsidR="008E7A10" w:rsidRDefault="008E7A10">
            <w:pPr>
              <w:rPr>
                <w:rFonts w:ascii="宋体"/>
              </w:rPr>
            </w:pPr>
          </w:p>
        </w:tc>
        <w:tc>
          <w:tcPr>
            <w:tcW w:w="50" w:type="pct"/>
            <w:shd w:val="clear" w:color="auto" w:fill="auto"/>
          </w:tcPr>
          <w:p w14:paraId="746F0C58" w14:textId="77777777" w:rsidR="008E7A10" w:rsidRDefault="008E7A10">
            <w:pPr>
              <w:rPr>
                <w:rFonts w:ascii="宋体"/>
              </w:rPr>
            </w:pPr>
          </w:p>
        </w:tc>
        <w:tc>
          <w:tcPr>
            <w:tcW w:w="432" w:type="pct"/>
            <w:shd w:val="clear" w:color="auto" w:fill="auto"/>
          </w:tcPr>
          <w:p w14:paraId="746F0C59" w14:textId="77777777" w:rsidR="008E7A10" w:rsidRDefault="008E7A10">
            <w:pPr>
              <w:rPr>
                <w:rFonts w:ascii="宋体"/>
              </w:rPr>
            </w:pPr>
          </w:p>
        </w:tc>
        <w:tc>
          <w:tcPr>
            <w:tcW w:w="5" w:type="pct"/>
            <w:shd w:val="clear" w:color="auto" w:fill="auto"/>
          </w:tcPr>
          <w:p w14:paraId="746F0C5A" w14:textId="77777777" w:rsidR="008E7A10" w:rsidRDefault="008E7A10">
            <w:pPr>
              <w:rPr>
                <w:rFonts w:ascii="宋体"/>
              </w:rPr>
            </w:pPr>
          </w:p>
        </w:tc>
        <w:tc>
          <w:tcPr>
            <w:tcW w:w="50" w:type="pct"/>
            <w:shd w:val="clear" w:color="auto" w:fill="auto"/>
          </w:tcPr>
          <w:p w14:paraId="746F0C5B" w14:textId="77777777" w:rsidR="008E7A10" w:rsidRDefault="008E7A10">
            <w:pPr>
              <w:rPr>
                <w:rFonts w:ascii="宋体"/>
              </w:rPr>
            </w:pPr>
          </w:p>
        </w:tc>
        <w:tc>
          <w:tcPr>
            <w:tcW w:w="355" w:type="pct"/>
            <w:shd w:val="clear" w:color="auto" w:fill="auto"/>
          </w:tcPr>
          <w:p w14:paraId="746F0C5C" w14:textId="77777777" w:rsidR="008E7A10" w:rsidRDefault="008E7A10">
            <w:pPr>
              <w:rPr>
                <w:rFonts w:ascii="宋体"/>
              </w:rPr>
            </w:pPr>
          </w:p>
        </w:tc>
        <w:tc>
          <w:tcPr>
            <w:tcW w:w="5" w:type="pct"/>
            <w:shd w:val="clear" w:color="auto" w:fill="auto"/>
          </w:tcPr>
          <w:p w14:paraId="746F0C5D" w14:textId="77777777" w:rsidR="008E7A10" w:rsidRDefault="008E7A10">
            <w:pPr>
              <w:rPr>
                <w:rFonts w:ascii="宋体"/>
              </w:rPr>
            </w:pPr>
          </w:p>
        </w:tc>
      </w:tr>
      <w:tr w:rsidR="008E7A10" w14:paraId="746F0C61" w14:textId="77777777">
        <w:tc>
          <w:tcPr>
            <w:tcW w:w="0" w:type="auto"/>
            <w:gridSpan w:val="3"/>
            <w:shd w:val="clear" w:color="auto" w:fill="auto"/>
            <w:tcMar>
              <w:top w:w="0" w:type="dxa"/>
              <w:left w:w="20" w:type="dxa"/>
              <w:bottom w:w="0" w:type="dxa"/>
              <w:right w:w="20" w:type="dxa"/>
            </w:tcMar>
          </w:tcPr>
          <w:p w14:paraId="746F0C5F" w14:textId="77777777" w:rsidR="008E7A10" w:rsidRDefault="008E7A10">
            <w:pPr>
              <w:rPr>
                <w:rFonts w:ascii="宋体"/>
              </w:rPr>
            </w:pPr>
          </w:p>
        </w:tc>
        <w:tc>
          <w:tcPr>
            <w:tcW w:w="0" w:type="auto"/>
            <w:gridSpan w:val="27"/>
            <w:shd w:val="clear" w:color="auto" w:fill="auto"/>
            <w:tcMar>
              <w:top w:w="40" w:type="dxa"/>
              <w:left w:w="20" w:type="dxa"/>
              <w:bottom w:w="40" w:type="dxa"/>
              <w:right w:w="20" w:type="dxa"/>
            </w:tcMar>
            <w:vAlign w:val="bottom"/>
          </w:tcPr>
          <w:p w14:paraId="746F0C60" w14:textId="77777777" w:rsidR="008E7A10" w:rsidRDefault="00E047B2">
            <w:pPr>
              <w:jc w:val="center"/>
              <w:textAlignment w:val="bottom"/>
            </w:pPr>
            <w:r>
              <w:rPr>
                <w:rFonts w:ascii="sans-serif" w:eastAsia="sans-serif" w:hAnsi="sans-serif" w:cs="sans-serif"/>
                <w:b/>
                <w:bCs/>
                <w:color w:val="000000"/>
                <w:sz w:val="17"/>
                <w:szCs w:val="17"/>
              </w:rPr>
              <w:t>THREE MONTHS ENDED NOVEMBER 30, 2020</w:t>
            </w:r>
          </w:p>
        </w:tc>
      </w:tr>
      <w:tr w:rsidR="008E7A10" w14:paraId="746F0C6C" w14:textId="77777777">
        <w:tc>
          <w:tcPr>
            <w:tcW w:w="0" w:type="auto"/>
            <w:gridSpan w:val="3"/>
            <w:shd w:val="clear" w:color="auto" w:fill="auto"/>
            <w:tcMar>
              <w:top w:w="40" w:type="dxa"/>
              <w:left w:w="20" w:type="dxa"/>
              <w:bottom w:w="40" w:type="dxa"/>
              <w:right w:w="20" w:type="dxa"/>
            </w:tcMar>
            <w:vAlign w:val="bottom"/>
          </w:tcPr>
          <w:p w14:paraId="746F0C62"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63" w14:textId="77777777" w:rsidR="008E7A10" w:rsidRDefault="00E047B2">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64" w14:textId="77777777" w:rsidR="008E7A10" w:rsidRDefault="00E047B2">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65" w14:textId="77777777" w:rsidR="008E7A10" w:rsidRDefault="00E047B2">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66" w14:textId="77777777" w:rsidR="008E7A10" w:rsidRDefault="00E047B2">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67" w14:textId="77777777" w:rsidR="008E7A10" w:rsidRDefault="00E047B2">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68" w14:textId="77777777" w:rsidR="008E7A10" w:rsidRDefault="00E047B2">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69" w14:textId="77777777" w:rsidR="008E7A10" w:rsidRDefault="00E047B2">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6A" w14:textId="77777777" w:rsidR="008E7A10" w:rsidRDefault="00E047B2">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6B" w14:textId="77777777" w:rsidR="008E7A10" w:rsidRDefault="00E047B2">
            <w:pPr>
              <w:jc w:val="right"/>
              <w:textAlignment w:val="bottom"/>
            </w:pPr>
            <w:r>
              <w:rPr>
                <w:rFonts w:ascii="sans-serif" w:eastAsia="sans-serif" w:hAnsi="sans-serif" w:cs="sans-serif"/>
                <w:b/>
                <w:bCs/>
                <w:color w:val="000000"/>
                <w:sz w:val="17"/>
                <w:szCs w:val="17"/>
              </w:rPr>
              <w:t>TOTAL NIKE, INC.</w:t>
            </w:r>
          </w:p>
        </w:tc>
      </w:tr>
      <w:tr w:rsidR="008E7A10" w14:paraId="746F0C7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6D"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746F0C6E"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6F"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70"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71"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72"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73"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74"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75"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76" w14:textId="77777777" w:rsidR="008E7A10" w:rsidRDefault="008E7A10">
            <w:pPr>
              <w:rPr>
                <w:rFonts w:ascii="宋体"/>
              </w:rPr>
            </w:pPr>
          </w:p>
        </w:tc>
      </w:tr>
      <w:tr w:rsidR="008E7A10" w14:paraId="746F0C9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C78" w14:textId="77777777" w:rsidR="008E7A10" w:rsidRDefault="00E047B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C7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C7A" w14:textId="77777777" w:rsidR="008E7A10" w:rsidRDefault="00E047B2">
            <w:pPr>
              <w:jc w:val="right"/>
              <w:textAlignment w:val="bottom"/>
            </w:pPr>
            <w:r>
              <w:rPr>
                <w:rFonts w:ascii="Arial" w:eastAsia="宋体" w:hAnsi="Arial" w:cs="Arial"/>
                <w:color w:val="000000"/>
                <w:sz w:val="17"/>
                <w:szCs w:val="17"/>
              </w:rPr>
              <w:t>2,512 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7B"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C7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C7D" w14:textId="77777777" w:rsidR="008E7A10" w:rsidRDefault="00E047B2">
            <w:pPr>
              <w:jc w:val="right"/>
              <w:textAlignment w:val="bottom"/>
            </w:pPr>
            <w:r>
              <w:rPr>
                <w:rFonts w:ascii="Arial" w:eastAsia="宋体" w:hAnsi="Arial" w:cs="Arial"/>
                <w:color w:val="000000"/>
                <w:sz w:val="17"/>
                <w:szCs w:val="17"/>
              </w:rPr>
              <w:t>1,731 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7E"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C7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C80" w14:textId="77777777" w:rsidR="008E7A10" w:rsidRDefault="00E047B2">
            <w:pPr>
              <w:jc w:val="right"/>
              <w:textAlignment w:val="bottom"/>
            </w:pPr>
            <w:r>
              <w:rPr>
                <w:rFonts w:ascii="Arial" w:eastAsia="宋体" w:hAnsi="Arial" w:cs="Arial"/>
                <w:color w:val="000000"/>
                <w:sz w:val="17"/>
                <w:szCs w:val="17"/>
              </w:rPr>
              <w:t>1,567 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81"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C8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C83" w14:textId="77777777" w:rsidR="008E7A10" w:rsidRDefault="00E047B2">
            <w:pPr>
              <w:jc w:val="right"/>
              <w:textAlignment w:val="bottom"/>
            </w:pPr>
            <w:r>
              <w:rPr>
                <w:rFonts w:ascii="Arial" w:eastAsia="宋体" w:hAnsi="Arial" w:cs="Arial"/>
                <w:color w:val="000000"/>
                <w:sz w:val="17"/>
                <w:szCs w:val="17"/>
              </w:rPr>
              <w:t>991 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84"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C8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C86"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87"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C8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C89" w14:textId="77777777" w:rsidR="008E7A10" w:rsidRDefault="00E047B2">
            <w:pPr>
              <w:jc w:val="right"/>
              <w:textAlignment w:val="bottom"/>
            </w:pPr>
            <w:r>
              <w:rPr>
                <w:rFonts w:ascii="Arial" w:eastAsia="宋体" w:hAnsi="Arial" w:cs="Arial"/>
                <w:color w:val="000000"/>
                <w:sz w:val="17"/>
                <w:szCs w:val="17"/>
              </w:rPr>
              <w:t>6,801 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8A"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C8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C8C" w14:textId="77777777" w:rsidR="008E7A10" w:rsidRDefault="00E047B2">
            <w:pPr>
              <w:jc w:val="right"/>
              <w:textAlignment w:val="bottom"/>
            </w:pPr>
            <w:r>
              <w:rPr>
                <w:rFonts w:ascii="Arial" w:eastAsia="宋体" w:hAnsi="Arial" w:cs="Arial"/>
                <w:color w:val="000000"/>
                <w:sz w:val="17"/>
                <w:szCs w:val="17"/>
              </w:rPr>
              <w:t>416 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8D"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C8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C8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90"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C9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C92" w14:textId="77777777" w:rsidR="008E7A10" w:rsidRDefault="00E047B2">
            <w:pPr>
              <w:jc w:val="right"/>
              <w:textAlignment w:val="bottom"/>
            </w:pPr>
            <w:r>
              <w:rPr>
                <w:rFonts w:ascii="Arial" w:eastAsia="宋体" w:hAnsi="Arial" w:cs="Arial"/>
                <w:color w:val="000000"/>
                <w:sz w:val="17"/>
                <w:szCs w:val="17"/>
              </w:rPr>
              <w:t>7,217 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93" w14:textId="77777777" w:rsidR="008E7A10" w:rsidRDefault="008E7A10">
            <w:pPr>
              <w:jc w:val="right"/>
              <w:rPr>
                <w:rFonts w:ascii="宋体"/>
              </w:rPr>
            </w:pPr>
          </w:p>
        </w:tc>
      </w:tr>
      <w:tr w:rsidR="008E7A10" w14:paraId="746F0CA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C95" w14:textId="77777777" w:rsidR="008E7A10" w:rsidRDefault="00E047B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96" w14:textId="77777777" w:rsidR="008E7A10" w:rsidRDefault="00E047B2">
            <w:pPr>
              <w:jc w:val="right"/>
              <w:textAlignment w:val="bottom"/>
            </w:pPr>
            <w:r>
              <w:rPr>
                <w:rFonts w:ascii="Arial" w:eastAsia="宋体" w:hAnsi="Arial" w:cs="Arial"/>
                <w:color w:val="000000"/>
                <w:sz w:val="17"/>
                <w:szCs w:val="17"/>
              </w:rPr>
              <w:t>1,368 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97"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98" w14:textId="77777777" w:rsidR="008E7A10" w:rsidRDefault="00E047B2">
            <w:pPr>
              <w:jc w:val="right"/>
              <w:textAlignment w:val="bottom"/>
            </w:pPr>
            <w:r>
              <w:rPr>
                <w:rFonts w:ascii="Arial" w:eastAsia="宋体" w:hAnsi="Arial" w:cs="Arial"/>
                <w:color w:val="000000"/>
                <w:sz w:val="17"/>
                <w:szCs w:val="17"/>
              </w:rPr>
              <w:t>1,104 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99"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9A" w14:textId="77777777" w:rsidR="008E7A10" w:rsidRDefault="00E047B2">
            <w:pPr>
              <w:jc w:val="right"/>
              <w:textAlignment w:val="bottom"/>
            </w:pPr>
            <w:r>
              <w:rPr>
                <w:rFonts w:ascii="Arial" w:eastAsia="宋体" w:hAnsi="Arial" w:cs="Arial"/>
                <w:color w:val="000000"/>
                <w:sz w:val="17"/>
                <w:szCs w:val="17"/>
              </w:rPr>
              <w:t>681 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9B"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9C" w14:textId="77777777" w:rsidR="008E7A10" w:rsidRDefault="00E047B2">
            <w:pPr>
              <w:jc w:val="right"/>
              <w:textAlignment w:val="bottom"/>
            </w:pPr>
            <w:r>
              <w:rPr>
                <w:rFonts w:ascii="Arial" w:eastAsia="宋体" w:hAnsi="Arial" w:cs="Arial"/>
                <w:color w:val="000000"/>
                <w:sz w:val="17"/>
                <w:szCs w:val="17"/>
              </w:rPr>
              <w:t>432 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9D"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9E"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9F"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A0" w14:textId="77777777" w:rsidR="008E7A10" w:rsidRDefault="00E047B2">
            <w:pPr>
              <w:jc w:val="right"/>
              <w:textAlignment w:val="bottom"/>
            </w:pPr>
            <w:r>
              <w:rPr>
                <w:rFonts w:ascii="Arial" w:eastAsia="宋体" w:hAnsi="Arial" w:cs="Arial"/>
                <w:color w:val="000000"/>
                <w:sz w:val="17"/>
                <w:szCs w:val="17"/>
              </w:rPr>
              <w:t>3,585 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A1"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A2" w14:textId="77777777" w:rsidR="008E7A10" w:rsidRDefault="00E047B2">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A3"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A4"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A5"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A6" w14:textId="77777777" w:rsidR="008E7A10" w:rsidRDefault="00E047B2">
            <w:pPr>
              <w:jc w:val="right"/>
              <w:textAlignment w:val="bottom"/>
            </w:pPr>
            <w:r>
              <w:rPr>
                <w:rFonts w:ascii="Arial" w:eastAsia="宋体" w:hAnsi="Arial" w:cs="Arial"/>
                <w:color w:val="000000"/>
                <w:sz w:val="17"/>
                <w:szCs w:val="17"/>
              </w:rPr>
              <w:t>3,617 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A7" w14:textId="77777777" w:rsidR="008E7A10" w:rsidRDefault="008E7A10">
            <w:pPr>
              <w:jc w:val="right"/>
              <w:rPr>
                <w:rFonts w:ascii="宋体"/>
              </w:rPr>
            </w:pPr>
          </w:p>
        </w:tc>
      </w:tr>
      <w:tr w:rsidR="008E7A10" w14:paraId="746F0CB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CA9" w14:textId="77777777" w:rsidR="008E7A10" w:rsidRDefault="00E047B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AA" w14:textId="77777777" w:rsidR="008E7A10" w:rsidRDefault="00E047B2">
            <w:pPr>
              <w:jc w:val="right"/>
              <w:textAlignment w:val="bottom"/>
            </w:pPr>
            <w:r>
              <w:rPr>
                <w:rFonts w:ascii="Arial" w:eastAsia="宋体" w:hAnsi="Arial" w:cs="Arial"/>
                <w:color w:val="000000"/>
                <w:sz w:val="17"/>
                <w:szCs w:val="17"/>
              </w:rPr>
              <w:t>126 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AB"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AC" w14:textId="77777777" w:rsidR="008E7A10" w:rsidRDefault="00E047B2">
            <w:pPr>
              <w:jc w:val="right"/>
              <w:textAlignment w:val="bottom"/>
            </w:pPr>
            <w:r>
              <w:rPr>
                <w:rFonts w:ascii="Arial" w:eastAsia="宋体" w:hAnsi="Arial" w:cs="Arial"/>
                <w:color w:val="000000"/>
                <w:sz w:val="17"/>
                <w:szCs w:val="17"/>
              </w:rPr>
              <w:t>123 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AD"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AE" w14:textId="77777777" w:rsidR="008E7A10" w:rsidRDefault="00E047B2">
            <w:pPr>
              <w:jc w:val="right"/>
              <w:textAlignment w:val="bottom"/>
            </w:pPr>
            <w:r>
              <w:rPr>
                <w:rFonts w:ascii="Arial" w:eastAsia="宋体" w:hAnsi="Arial" w:cs="Arial"/>
                <w:color w:val="000000"/>
                <w:sz w:val="17"/>
                <w:szCs w:val="17"/>
              </w:rPr>
              <w:t>50 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AF"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B0" w14:textId="77777777" w:rsidR="008E7A10" w:rsidRDefault="00E047B2">
            <w:pPr>
              <w:jc w:val="right"/>
              <w:textAlignment w:val="bottom"/>
            </w:pPr>
            <w:r>
              <w:rPr>
                <w:rFonts w:ascii="Arial" w:eastAsia="宋体" w:hAnsi="Arial" w:cs="Arial"/>
                <w:color w:val="000000"/>
                <w:sz w:val="17"/>
                <w:szCs w:val="17"/>
              </w:rPr>
              <w:t>48 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B1"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B2"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B3"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B4" w14:textId="77777777" w:rsidR="008E7A10" w:rsidRDefault="00E047B2">
            <w:pPr>
              <w:jc w:val="right"/>
              <w:textAlignment w:val="bottom"/>
            </w:pPr>
            <w:r>
              <w:rPr>
                <w:rFonts w:ascii="Arial" w:eastAsia="宋体" w:hAnsi="Arial" w:cs="Arial"/>
                <w:color w:val="000000"/>
                <w:sz w:val="17"/>
                <w:szCs w:val="17"/>
              </w:rPr>
              <w:t>347 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B5"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B6"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B7"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B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B9"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BA" w14:textId="77777777" w:rsidR="008E7A10" w:rsidRDefault="00E047B2">
            <w:pPr>
              <w:jc w:val="right"/>
              <w:textAlignment w:val="bottom"/>
            </w:pPr>
            <w:r>
              <w:rPr>
                <w:rFonts w:ascii="Arial" w:eastAsia="宋体" w:hAnsi="Arial" w:cs="Arial"/>
                <w:color w:val="000000"/>
                <w:sz w:val="17"/>
                <w:szCs w:val="17"/>
              </w:rPr>
              <w:t>354 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BB" w14:textId="77777777" w:rsidR="008E7A10" w:rsidRDefault="008E7A10">
            <w:pPr>
              <w:jc w:val="right"/>
              <w:rPr>
                <w:rFonts w:ascii="宋体"/>
              </w:rPr>
            </w:pPr>
          </w:p>
        </w:tc>
      </w:tr>
      <w:tr w:rsidR="008E7A10" w14:paraId="746F0CD0"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CBD" w14:textId="77777777" w:rsidR="008E7A10" w:rsidRDefault="00E047B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BE"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BF"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C0"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C1"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C2"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C3"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C4"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C5"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C6"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C7"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C8"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C9"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CA" w14:textId="77777777" w:rsidR="008E7A10" w:rsidRDefault="00E047B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CB"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CC" w14:textId="77777777" w:rsidR="008E7A10" w:rsidRDefault="00E047B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CD"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CCE" w14:textId="77777777" w:rsidR="008E7A10" w:rsidRDefault="00E047B2">
            <w:pPr>
              <w:jc w:val="right"/>
              <w:textAlignment w:val="bottom"/>
            </w:pPr>
            <w:r>
              <w:rPr>
                <w:rFonts w:ascii="Arial" w:eastAsia="宋体" w:hAnsi="Arial" w:cs="Arial"/>
                <w:color w:val="000000"/>
                <w:sz w:val="17"/>
                <w:szCs w:val="17"/>
              </w:rPr>
              <w:t>55 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CF" w14:textId="77777777" w:rsidR="008E7A10" w:rsidRDefault="008E7A10">
            <w:pPr>
              <w:jc w:val="right"/>
              <w:rPr>
                <w:rFonts w:ascii="宋体"/>
              </w:rPr>
            </w:pPr>
          </w:p>
        </w:tc>
      </w:tr>
      <w:tr w:rsidR="008E7A10" w14:paraId="746F0CE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D1"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0CD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CD3" w14:textId="77777777" w:rsidR="008E7A10" w:rsidRDefault="00E047B2">
            <w:pPr>
              <w:jc w:val="right"/>
              <w:textAlignment w:val="bottom"/>
            </w:pPr>
            <w:r>
              <w:rPr>
                <w:rFonts w:ascii="Arial" w:eastAsia="宋体" w:hAnsi="Arial" w:cs="Arial"/>
                <w:b/>
                <w:bCs/>
                <w:color w:val="000000"/>
                <w:sz w:val="17"/>
                <w:szCs w:val="17"/>
              </w:rPr>
              <w:t>4,006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D4"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CD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CD6" w14:textId="77777777" w:rsidR="008E7A10" w:rsidRDefault="00E047B2">
            <w:pPr>
              <w:jc w:val="right"/>
              <w:textAlignment w:val="bottom"/>
            </w:pPr>
            <w:r>
              <w:rPr>
                <w:rFonts w:ascii="Arial" w:eastAsia="宋体" w:hAnsi="Arial" w:cs="Arial"/>
                <w:b/>
                <w:bCs/>
                <w:color w:val="000000"/>
                <w:sz w:val="17"/>
                <w:szCs w:val="17"/>
              </w:rPr>
              <w:t>2,958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D7"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CD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CD9" w14:textId="77777777" w:rsidR="008E7A10" w:rsidRDefault="00E047B2">
            <w:pPr>
              <w:jc w:val="right"/>
              <w:textAlignment w:val="bottom"/>
            </w:pPr>
            <w:r>
              <w:rPr>
                <w:rFonts w:ascii="Arial" w:eastAsia="宋体" w:hAnsi="Arial" w:cs="Arial"/>
                <w:b/>
                <w:bCs/>
                <w:color w:val="000000"/>
                <w:sz w:val="17"/>
                <w:szCs w:val="17"/>
              </w:rPr>
              <w:t>2,298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DA"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CD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CDC" w14:textId="77777777" w:rsidR="008E7A10" w:rsidRDefault="00E047B2">
            <w:pPr>
              <w:jc w:val="right"/>
              <w:textAlignment w:val="bottom"/>
            </w:pPr>
            <w:r>
              <w:rPr>
                <w:rFonts w:ascii="Arial" w:eastAsia="宋体" w:hAnsi="Arial" w:cs="Arial"/>
                <w:b/>
                <w:bCs/>
                <w:color w:val="000000"/>
                <w:sz w:val="17"/>
                <w:szCs w:val="17"/>
              </w:rPr>
              <w:t>1,471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DD"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CD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CDF" w14:textId="77777777" w:rsidR="008E7A10" w:rsidRDefault="00E047B2">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E0"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CE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CE2" w14:textId="77777777" w:rsidR="008E7A10" w:rsidRDefault="00E047B2">
            <w:pPr>
              <w:jc w:val="right"/>
              <w:textAlignment w:val="bottom"/>
            </w:pPr>
            <w:r>
              <w:rPr>
                <w:rFonts w:ascii="Arial" w:eastAsia="宋体" w:hAnsi="Arial" w:cs="Arial"/>
                <w:b/>
                <w:bCs/>
                <w:color w:val="000000"/>
                <w:sz w:val="17"/>
                <w:szCs w:val="17"/>
              </w:rPr>
              <w:t>10,741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E3"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CE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CE5" w14:textId="77777777" w:rsidR="008E7A10" w:rsidRDefault="00E047B2">
            <w:pPr>
              <w:jc w:val="right"/>
              <w:textAlignment w:val="bottom"/>
            </w:pPr>
            <w:r>
              <w:rPr>
                <w:rFonts w:ascii="Arial" w:eastAsia="宋体" w:hAnsi="Arial" w:cs="Arial"/>
                <w:b/>
                <w:bCs/>
                <w:color w:val="000000"/>
                <w:sz w:val="17"/>
                <w:szCs w:val="17"/>
              </w:rPr>
              <w:t>476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E6"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CE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CE8" w14:textId="77777777" w:rsidR="008E7A10" w:rsidRDefault="00E047B2">
            <w:pPr>
              <w:jc w:val="right"/>
              <w:textAlignment w:val="bottom"/>
            </w:pPr>
            <w:r>
              <w:rPr>
                <w:rFonts w:ascii="Arial" w:eastAsia="宋体" w:hAnsi="Arial" w:cs="Arial"/>
                <w:b/>
                <w:bCs/>
                <w:color w:val="000000"/>
                <w:sz w:val="17"/>
                <w:szCs w:val="17"/>
              </w:rPr>
              <w:t>26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E9"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CE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CEB" w14:textId="77777777" w:rsidR="008E7A10" w:rsidRDefault="00E047B2">
            <w:pPr>
              <w:jc w:val="right"/>
              <w:textAlignment w:val="bottom"/>
            </w:pPr>
            <w:r>
              <w:rPr>
                <w:rFonts w:ascii="Arial" w:eastAsia="宋体" w:hAnsi="Arial" w:cs="Arial"/>
                <w:b/>
                <w:bCs/>
                <w:color w:val="000000"/>
                <w:sz w:val="17"/>
                <w:szCs w:val="17"/>
              </w:rPr>
              <w:t>11,243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CEC" w14:textId="77777777" w:rsidR="008E7A10" w:rsidRDefault="008E7A10">
            <w:pPr>
              <w:jc w:val="right"/>
              <w:rPr>
                <w:rFonts w:ascii="宋体"/>
              </w:rPr>
            </w:pPr>
          </w:p>
        </w:tc>
      </w:tr>
      <w:tr w:rsidR="008E7A10" w14:paraId="746F0CF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CEE"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746F0CEF"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F0"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F1"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F2"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F3"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F4"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F5"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F6"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CF7" w14:textId="77777777" w:rsidR="008E7A10" w:rsidRDefault="008E7A10">
            <w:pPr>
              <w:rPr>
                <w:rFonts w:ascii="宋体"/>
              </w:rPr>
            </w:pPr>
          </w:p>
        </w:tc>
      </w:tr>
      <w:tr w:rsidR="008E7A10" w14:paraId="746F0D1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CF9" w14:textId="77777777" w:rsidR="008E7A10" w:rsidRDefault="00E047B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CF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CFB" w14:textId="77777777" w:rsidR="008E7A10" w:rsidRDefault="00E047B2">
            <w:pPr>
              <w:jc w:val="right"/>
              <w:textAlignment w:val="bottom"/>
            </w:pPr>
            <w:r>
              <w:rPr>
                <w:rFonts w:ascii="Arial" w:eastAsia="宋体" w:hAnsi="Arial" w:cs="Arial"/>
                <w:color w:val="000000"/>
                <w:sz w:val="17"/>
                <w:szCs w:val="17"/>
              </w:rPr>
              <w:t>2,354 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FC"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CF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CFE" w14:textId="77777777" w:rsidR="008E7A10" w:rsidRDefault="00E047B2">
            <w:pPr>
              <w:jc w:val="right"/>
              <w:textAlignment w:val="bottom"/>
            </w:pPr>
            <w:r>
              <w:rPr>
                <w:rFonts w:ascii="Arial" w:eastAsia="宋体" w:hAnsi="Arial" w:cs="Arial"/>
                <w:color w:val="000000"/>
                <w:sz w:val="17"/>
                <w:szCs w:val="17"/>
              </w:rPr>
              <w:t>1,985 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CFF"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D0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D01" w14:textId="77777777" w:rsidR="008E7A10" w:rsidRDefault="00E047B2">
            <w:pPr>
              <w:jc w:val="right"/>
              <w:textAlignment w:val="bottom"/>
            </w:pPr>
            <w:r>
              <w:rPr>
                <w:rFonts w:ascii="Arial" w:eastAsia="宋体" w:hAnsi="Arial" w:cs="Arial"/>
                <w:color w:val="000000"/>
                <w:sz w:val="17"/>
                <w:szCs w:val="17"/>
              </w:rPr>
              <w:t>1,159 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02"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D03"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D04" w14:textId="77777777" w:rsidR="008E7A10" w:rsidRDefault="00E047B2">
            <w:pPr>
              <w:jc w:val="right"/>
              <w:textAlignment w:val="bottom"/>
            </w:pPr>
            <w:r>
              <w:rPr>
                <w:rFonts w:ascii="Arial" w:eastAsia="宋体" w:hAnsi="Arial" w:cs="Arial"/>
                <w:color w:val="000000"/>
                <w:sz w:val="17"/>
                <w:szCs w:val="17"/>
              </w:rPr>
              <w:t>925 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05"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D0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D07"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08"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D0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D0A" w14:textId="77777777" w:rsidR="008E7A10" w:rsidRDefault="00E047B2">
            <w:pPr>
              <w:jc w:val="right"/>
              <w:textAlignment w:val="bottom"/>
            </w:pPr>
            <w:r>
              <w:rPr>
                <w:rFonts w:ascii="Arial" w:eastAsia="宋体" w:hAnsi="Arial" w:cs="Arial"/>
                <w:color w:val="000000"/>
                <w:sz w:val="17"/>
                <w:szCs w:val="17"/>
              </w:rPr>
              <w:t>6,423 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0B"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D0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D0D" w14:textId="77777777" w:rsidR="008E7A10" w:rsidRDefault="00E047B2">
            <w:pPr>
              <w:jc w:val="right"/>
              <w:textAlignment w:val="bottom"/>
            </w:pPr>
            <w:r>
              <w:rPr>
                <w:rFonts w:ascii="Arial" w:eastAsia="宋体" w:hAnsi="Arial" w:cs="Arial"/>
                <w:color w:val="000000"/>
                <w:sz w:val="17"/>
                <w:szCs w:val="17"/>
              </w:rPr>
              <w:t>259 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0E"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D0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D10"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11"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D1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D13" w14:textId="77777777" w:rsidR="008E7A10" w:rsidRDefault="00E047B2">
            <w:pPr>
              <w:jc w:val="right"/>
              <w:textAlignment w:val="bottom"/>
            </w:pPr>
            <w:r>
              <w:rPr>
                <w:rFonts w:ascii="Arial" w:eastAsia="宋体" w:hAnsi="Arial" w:cs="Arial"/>
                <w:color w:val="000000"/>
                <w:sz w:val="17"/>
                <w:szCs w:val="17"/>
              </w:rPr>
              <w:t>6,682 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14" w14:textId="77777777" w:rsidR="008E7A10" w:rsidRDefault="008E7A10">
            <w:pPr>
              <w:jc w:val="right"/>
              <w:rPr>
                <w:rFonts w:ascii="宋体"/>
              </w:rPr>
            </w:pPr>
          </w:p>
        </w:tc>
      </w:tr>
      <w:tr w:rsidR="008E7A10" w14:paraId="746F0D2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D16" w14:textId="77777777" w:rsidR="008E7A10" w:rsidRDefault="00E047B2">
            <w:pPr>
              <w:textAlignment w:val="bottom"/>
            </w:pPr>
            <w:r>
              <w:rPr>
                <w:rFonts w:ascii="Arial" w:eastAsia="宋体" w:hAnsi="Arial" w:cs="Arial"/>
                <w:color w:val="000000"/>
                <w:sz w:val="17"/>
                <w:szCs w:val="17"/>
              </w:rPr>
              <w:t>Sales through Direct to Consumer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17" w14:textId="77777777" w:rsidR="008E7A10" w:rsidRDefault="00E047B2">
            <w:pPr>
              <w:jc w:val="right"/>
              <w:textAlignment w:val="bottom"/>
            </w:pPr>
            <w:r>
              <w:rPr>
                <w:rFonts w:ascii="Arial" w:eastAsia="宋体" w:hAnsi="Arial" w:cs="Arial"/>
                <w:color w:val="000000"/>
                <w:sz w:val="17"/>
                <w:szCs w:val="17"/>
              </w:rPr>
              <w:t>1,652 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18"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19" w14:textId="77777777" w:rsidR="008E7A10" w:rsidRDefault="00E047B2">
            <w:pPr>
              <w:jc w:val="right"/>
              <w:textAlignment w:val="bottom"/>
            </w:pPr>
            <w:r>
              <w:rPr>
                <w:rFonts w:ascii="Arial" w:eastAsia="宋体" w:hAnsi="Arial" w:cs="Arial"/>
                <w:color w:val="000000"/>
                <w:sz w:val="17"/>
                <w:szCs w:val="17"/>
              </w:rPr>
              <w:t>973 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1A"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1B" w14:textId="77777777" w:rsidR="008E7A10" w:rsidRDefault="00E047B2">
            <w:pPr>
              <w:jc w:val="right"/>
              <w:textAlignment w:val="bottom"/>
            </w:pPr>
            <w:r>
              <w:rPr>
                <w:rFonts w:ascii="Arial" w:eastAsia="宋体" w:hAnsi="Arial" w:cs="Arial"/>
                <w:color w:val="000000"/>
                <w:sz w:val="17"/>
                <w:szCs w:val="17"/>
              </w:rPr>
              <w:t>1,139 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1C"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1D" w14:textId="77777777" w:rsidR="008E7A10" w:rsidRDefault="00E047B2">
            <w:pPr>
              <w:jc w:val="right"/>
              <w:textAlignment w:val="bottom"/>
            </w:pPr>
            <w:r>
              <w:rPr>
                <w:rFonts w:ascii="Arial" w:eastAsia="宋体" w:hAnsi="Arial" w:cs="Arial"/>
                <w:color w:val="000000"/>
                <w:sz w:val="17"/>
                <w:szCs w:val="17"/>
              </w:rPr>
              <w:t>546 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1E"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1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20"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21" w14:textId="77777777" w:rsidR="008E7A10" w:rsidRDefault="00E047B2">
            <w:pPr>
              <w:jc w:val="right"/>
              <w:textAlignment w:val="bottom"/>
            </w:pPr>
            <w:r>
              <w:rPr>
                <w:rFonts w:ascii="Arial" w:eastAsia="宋体" w:hAnsi="Arial" w:cs="Arial"/>
                <w:color w:val="000000"/>
                <w:sz w:val="17"/>
                <w:szCs w:val="17"/>
              </w:rPr>
              <w:t>4,310 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22"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23" w14:textId="77777777" w:rsidR="008E7A10" w:rsidRDefault="00E047B2">
            <w:pPr>
              <w:jc w:val="right"/>
              <w:textAlignment w:val="bottom"/>
            </w:pPr>
            <w:r>
              <w:rPr>
                <w:rFonts w:ascii="Arial" w:eastAsia="宋体" w:hAnsi="Arial" w:cs="Arial"/>
                <w:color w:val="000000"/>
                <w:sz w:val="17"/>
                <w:szCs w:val="17"/>
              </w:rPr>
              <w:t>196 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24"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25"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26"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27" w14:textId="77777777" w:rsidR="008E7A10" w:rsidRDefault="00E047B2">
            <w:pPr>
              <w:jc w:val="right"/>
              <w:textAlignment w:val="bottom"/>
            </w:pPr>
            <w:r>
              <w:rPr>
                <w:rFonts w:ascii="Arial" w:eastAsia="宋体" w:hAnsi="Arial" w:cs="Arial"/>
                <w:color w:val="000000"/>
                <w:sz w:val="17"/>
                <w:szCs w:val="17"/>
              </w:rPr>
              <w:t>4,506 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28" w14:textId="77777777" w:rsidR="008E7A10" w:rsidRDefault="008E7A10">
            <w:pPr>
              <w:jc w:val="right"/>
              <w:rPr>
                <w:rFonts w:ascii="宋体"/>
              </w:rPr>
            </w:pPr>
          </w:p>
        </w:tc>
      </w:tr>
      <w:tr w:rsidR="008E7A10" w14:paraId="746F0D3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D2A" w14:textId="77777777" w:rsidR="008E7A10" w:rsidRDefault="00E047B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2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2C"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2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2E"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2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30"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31"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32"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33"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34"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35"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36"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37" w14:textId="77777777" w:rsidR="008E7A10" w:rsidRDefault="00E047B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38"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39" w14:textId="77777777" w:rsidR="008E7A10" w:rsidRDefault="00E047B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3A"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D3B" w14:textId="77777777" w:rsidR="008E7A10" w:rsidRDefault="00E047B2">
            <w:pPr>
              <w:jc w:val="right"/>
              <w:textAlignment w:val="bottom"/>
            </w:pPr>
            <w:r>
              <w:rPr>
                <w:rFonts w:ascii="Arial" w:eastAsia="宋体" w:hAnsi="Arial" w:cs="Arial"/>
                <w:color w:val="000000"/>
                <w:sz w:val="17"/>
                <w:szCs w:val="17"/>
              </w:rPr>
              <w:t>55 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D3C" w14:textId="77777777" w:rsidR="008E7A10" w:rsidRDefault="008E7A10">
            <w:pPr>
              <w:jc w:val="right"/>
              <w:rPr>
                <w:rFonts w:ascii="宋体"/>
              </w:rPr>
            </w:pPr>
          </w:p>
        </w:tc>
      </w:tr>
      <w:tr w:rsidR="008E7A10" w14:paraId="746F0D5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D3E"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D3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D40" w14:textId="77777777" w:rsidR="008E7A10" w:rsidRDefault="00E047B2">
            <w:pPr>
              <w:jc w:val="right"/>
              <w:textAlignment w:val="bottom"/>
            </w:pPr>
            <w:r>
              <w:rPr>
                <w:rFonts w:ascii="Arial" w:eastAsia="宋体" w:hAnsi="Arial" w:cs="Arial"/>
                <w:b/>
                <w:bCs/>
                <w:color w:val="000000"/>
                <w:sz w:val="17"/>
                <w:szCs w:val="17"/>
              </w:rPr>
              <w:t>4,006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D41"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D4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D43" w14:textId="77777777" w:rsidR="008E7A10" w:rsidRDefault="00E047B2">
            <w:pPr>
              <w:jc w:val="right"/>
              <w:textAlignment w:val="bottom"/>
            </w:pPr>
            <w:r>
              <w:rPr>
                <w:rFonts w:ascii="Arial" w:eastAsia="宋体" w:hAnsi="Arial" w:cs="Arial"/>
                <w:b/>
                <w:bCs/>
                <w:color w:val="000000"/>
                <w:sz w:val="17"/>
                <w:szCs w:val="17"/>
              </w:rPr>
              <w:t>2,958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D44"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D4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D46" w14:textId="77777777" w:rsidR="008E7A10" w:rsidRDefault="00E047B2">
            <w:pPr>
              <w:jc w:val="right"/>
              <w:textAlignment w:val="bottom"/>
            </w:pPr>
            <w:r>
              <w:rPr>
                <w:rFonts w:ascii="Arial" w:eastAsia="宋体" w:hAnsi="Arial" w:cs="Arial"/>
                <w:b/>
                <w:bCs/>
                <w:color w:val="000000"/>
                <w:sz w:val="17"/>
                <w:szCs w:val="17"/>
              </w:rPr>
              <w:t>2,298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D47"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D4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D49" w14:textId="77777777" w:rsidR="008E7A10" w:rsidRDefault="00E047B2">
            <w:pPr>
              <w:jc w:val="right"/>
              <w:textAlignment w:val="bottom"/>
            </w:pPr>
            <w:r>
              <w:rPr>
                <w:rFonts w:ascii="Arial" w:eastAsia="宋体" w:hAnsi="Arial" w:cs="Arial"/>
                <w:b/>
                <w:bCs/>
                <w:color w:val="000000"/>
                <w:sz w:val="17"/>
                <w:szCs w:val="17"/>
              </w:rPr>
              <w:t>1,471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D4A"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D4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D4C" w14:textId="77777777" w:rsidR="008E7A10" w:rsidRDefault="00E047B2">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D4D"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D4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D4F" w14:textId="77777777" w:rsidR="008E7A10" w:rsidRDefault="00E047B2">
            <w:pPr>
              <w:jc w:val="right"/>
              <w:textAlignment w:val="bottom"/>
            </w:pPr>
            <w:r>
              <w:rPr>
                <w:rFonts w:ascii="Arial" w:eastAsia="宋体" w:hAnsi="Arial" w:cs="Arial"/>
                <w:b/>
                <w:bCs/>
                <w:color w:val="000000"/>
                <w:sz w:val="17"/>
                <w:szCs w:val="17"/>
              </w:rPr>
              <w:t>10,741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D50"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D5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D52" w14:textId="77777777" w:rsidR="008E7A10" w:rsidRDefault="00E047B2">
            <w:pPr>
              <w:jc w:val="right"/>
              <w:textAlignment w:val="bottom"/>
            </w:pPr>
            <w:r>
              <w:rPr>
                <w:rFonts w:ascii="Arial" w:eastAsia="宋体" w:hAnsi="Arial" w:cs="Arial"/>
                <w:b/>
                <w:bCs/>
                <w:color w:val="000000"/>
                <w:sz w:val="17"/>
                <w:szCs w:val="17"/>
              </w:rPr>
              <w:t>476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D53"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D5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D55" w14:textId="77777777" w:rsidR="008E7A10" w:rsidRDefault="00E047B2">
            <w:pPr>
              <w:jc w:val="right"/>
              <w:textAlignment w:val="bottom"/>
            </w:pPr>
            <w:r>
              <w:rPr>
                <w:rFonts w:ascii="Arial" w:eastAsia="宋体" w:hAnsi="Arial" w:cs="Arial"/>
                <w:b/>
                <w:bCs/>
                <w:color w:val="000000"/>
                <w:sz w:val="17"/>
                <w:szCs w:val="17"/>
              </w:rPr>
              <w:t>26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D56"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D5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D58" w14:textId="77777777" w:rsidR="008E7A10" w:rsidRDefault="00E047B2">
            <w:pPr>
              <w:jc w:val="right"/>
              <w:textAlignment w:val="bottom"/>
            </w:pPr>
            <w:r>
              <w:rPr>
                <w:rFonts w:ascii="Arial" w:eastAsia="宋体" w:hAnsi="Arial" w:cs="Arial"/>
                <w:b/>
                <w:bCs/>
                <w:color w:val="000000"/>
                <w:sz w:val="17"/>
                <w:szCs w:val="17"/>
              </w:rPr>
              <w:t>11,243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D59" w14:textId="77777777" w:rsidR="008E7A10" w:rsidRDefault="008E7A10">
            <w:pPr>
              <w:jc w:val="right"/>
              <w:rPr>
                <w:rFonts w:ascii="宋体"/>
              </w:rPr>
            </w:pPr>
          </w:p>
        </w:tc>
      </w:tr>
    </w:tbl>
    <w:p w14:paraId="746F0D5B" w14:textId="77777777" w:rsidR="008E7A10" w:rsidRDefault="008E7A10"/>
    <w:tbl>
      <w:tblPr>
        <w:tblW w:w="4985" w:type="pct"/>
        <w:tblCellMar>
          <w:top w:w="15" w:type="dxa"/>
          <w:left w:w="15" w:type="dxa"/>
          <w:bottom w:w="15" w:type="dxa"/>
          <w:right w:w="15" w:type="dxa"/>
        </w:tblCellMar>
        <w:tblLook w:val="04A0" w:firstRow="1" w:lastRow="0" w:firstColumn="1" w:lastColumn="0" w:noHBand="0" w:noVBand="1"/>
      </w:tblPr>
      <w:tblGrid>
        <w:gridCol w:w="42"/>
        <w:gridCol w:w="1241"/>
        <w:gridCol w:w="39"/>
        <w:gridCol w:w="116"/>
        <w:gridCol w:w="614"/>
        <w:gridCol w:w="36"/>
        <w:gridCol w:w="116"/>
        <w:gridCol w:w="573"/>
        <w:gridCol w:w="36"/>
        <w:gridCol w:w="116"/>
        <w:gridCol w:w="600"/>
        <w:gridCol w:w="36"/>
        <w:gridCol w:w="116"/>
        <w:gridCol w:w="614"/>
        <w:gridCol w:w="36"/>
        <w:gridCol w:w="116"/>
        <w:gridCol w:w="672"/>
        <w:gridCol w:w="36"/>
        <w:gridCol w:w="115"/>
        <w:gridCol w:w="473"/>
        <w:gridCol w:w="36"/>
        <w:gridCol w:w="116"/>
        <w:gridCol w:w="700"/>
        <w:gridCol w:w="36"/>
        <w:gridCol w:w="116"/>
        <w:gridCol w:w="809"/>
        <w:gridCol w:w="36"/>
        <w:gridCol w:w="115"/>
        <w:gridCol w:w="568"/>
        <w:gridCol w:w="36"/>
      </w:tblGrid>
      <w:tr w:rsidR="008E7A10" w14:paraId="746F0D7A" w14:textId="77777777">
        <w:tc>
          <w:tcPr>
            <w:tcW w:w="50" w:type="pct"/>
            <w:shd w:val="clear" w:color="auto" w:fill="auto"/>
          </w:tcPr>
          <w:p w14:paraId="746F0D5C" w14:textId="77777777" w:rsidR="008E7A10" w:rsidRDefault="008E7A10">
            <w:pPr>
              <w:rPr>
                <w:rFonts w:ascii="宋体"/>
              </w:rPr>
            </w:pPr>
          </w:p>
        </w:tc>
        <w:tc>
          <w:tcPr>
            <w:tcW w:w="1129" w:type="pct"/>
            <w:shd w:val="clear" w:color="auto" w:fill="auto"/>
          </w:tcPr>
          <w:p w14:paraId="746F0D5D" w14:textId="77777777" w:rsidR="008E7A10" w:rsidRDefault="008E7A10">
            <w:pPr>
              <w:rPr>
                <w:rFonts w:ascii="宋体"/>
              </w:rPr>
            </w:pPr>
          </w:p>
        </w:tc>
        <w:tc>
          <w:tcPr>
            <w:tcW w:w="5" w:type="pct"/>
            <w:shd w:val="clear" w:color="auto" w:fill="auto"/>
          </w:tcPr>
          <w:p w14:paraId="746F0D5E" w14:textId="77777777" w:rsidR="008E7A10" w:rsidRDefault="008E7A10">
            <w:pPr>
              <w:rPr>
                <w:rFonts w:ascii="宋体"/>
              </w:rPr>
            </w:pPr>
          </w:p>
        </w:tc>
        <w:tc>
          <w:tcPr>
            <w:tcW w:w="50" w:type="pct"/>
            <w:shd w:val="clear" w:color="auto" w:fill="auto"/>
          </w:tcPr>
          <w:p w14:paraId="746F0D5F" w14:textId="77777777" w:rsidR="008E7A10" w:rsidRDefault="008E7A10">
            <w:pPr>
              <w:rPr>
                <w:rFonts w:ascii="宋体"/>
              </w:rPr>
            </w:pPr>
          </w:p>
        </w:tc>
        <w:tc>
          <w:tcPr>
            <w:tcW w:w="355" w:type="pct"/>
            <w:shd w:val="clear" w:color="auto" w:fill="auto"/>
          </w:tcPr>
          <w:p w14:paraId="746F0D60" w14:textId="77777777" w:rsidR="008E7A10" w:rsidRDefault="008E7A10">
            <w:pPr>
              <w:rPr>
                <w:rFonts w:ascii="宋体"/>
              </w:rPr>
            </w:pPr>
          </w:p>
        </w:tc>
        <w:tc>
          <w:tcPr>
            <w:tcW w:w="5" w:type="pct"/>
            <w:shd w:val="clear" w:color="auto" w:fill="auto"/>
          </w:tcPr>
          <w:p w14:paraId="746F0D61" w14:textId="77777777" w:rsidR="008E7A10" w:rsidRDefault="008E7A10">
            <w:pPr>
              <w:rPr>
                <w:rFonts w:ascii="宋体"/>
              </w:rPr>
            </w:pPr>
          </w:p>
        </w:tc>
        <w:tc>
          <w:tcPr>
            <w:tcW w:w="50" w:type="pct"/>
            <w:shd w:val="clear" w:color="auto" w:fill="auto"/>
          </w:tcPr>
          <w:p w14:paraId="746F0D62" w14:textId="77777777" w:rsidR="008E7A10" w:rsidRDefault="008E7A10">
            <w:pPr>
              <w:rPr>
                <w:rFonts w:ascii="宋体"/>
              </w:rPr>
            </w:pPr>
          </w:p>
        </w:tc>
        <w:tc>
          <w:tcPr>
            <w:tcW w:w="355" w:type="pct"/>
            <w:shd w:val="clear" w:color="auto" w:fill="auto"/>
          </w:tcPr>
          <w:p w14:paraId="746F0D63" w14:textId="77777777" w:rsidR="008E7A10" w:rsidRDefault="008E7A10">
            <w:pPr>
              <w:rPr>
                <w:rFonts w:ascii="宋体"/>
              </w:rPr>
            </w:pPr>
          </w:p>
        </w:tc>
        <w:tc>
          <w:tcPr>
            <w:tcW w:w="5" w:type="pct"/>
            <w:shd w:val="clear" w:color="auto" w:fill="auto"/>
          </w:tcPr>
          <w:p w14:paraId="746F0D64" w14:textId="77777777" w:rsidR="008E7A10" w:rsidRDefault="008E7A10">
            <w:pPr>
              <w:rPr>
                <w:rFonts w:ascii="宋体"/>
              </w:rPr>
            </w:pPr>
          </w:p>
        </w:tc>
        <w:tc>
          <w:tcPr>
            <w:tcW w:w="50" w:type="pct"/>
            <w:shd w:val="clear" w:color="auto" w:fill="auto"/>
          </w:tcPr>
          <w:p w14:paraId="746F0D65" w14:textId="77777777" w:rsidR="008E7A10" w:rsidRDefault="008E7A10">
            <w:pPr>
              <w:rPr>
                <w:rFonts w:ascii="宋体"/>
              </w:rPr>
            </w:pPr>
          </w:p>
        </w:tc>
        <w:tc>
          <w:tcPr>
            <w:tcW w:w="355" w:type="pct"/>
            <w:shd w:val="clear" w:color="auto" w:fill="auto"/>
          </w:tcPr>
          <w:p w14:paraId="746F0D66" w14:textId="77777777" w:rsidR="008E7A10" w:rsidRDefault="008E7A10">
            <w:pPr>
              <w:rPr>
                <w:rFonts w:ascii="宋体"/>
              </w:rPr>
            </w:pPr>
          </w:p>
        </w:tc>
        <w:tc>
          <w:tcPr>
            <w:tcW w:w="5" w:type="pct"/>
            <w:shd w:val="clear" w:color="auto" w:fill="auto"/>
          </w:tcPr>
          <w:p w14:paraId="746F0D67" w14:textId="77777777" w:rsidR="008E7A10" w:rsidRDefault="008E7A10">
            <w:pPr>
              <w:rPr>
                <w:rFonts w:ascii="宋体"/>
              </w:rPr>
            </w:pPr>
          </w:p>
        </w:tc>
        <w:tc>
          <w:tcPr>
            <w:tcW w:w="50" w:type="pct"/>
            <w:shd w:val="clear" w:color="auto" w:fill="auto"/>
          </w:tcPr>
          <w:p w14:paraId="746F0D68" w14:textId="77777777" w:rsidR="008E7A10" w:rsidRDefault="008E7A10">
            <w:pPr>
              <w:rPr>
                <w:rFonts w:ascii="宋体"/>
              </w:rPr>
            </w:pPr>
          </w:p>
        </w:tc>
        <w:tc>
          <w:tcPr>
            <w:tcW w:w="355" w:type="pct"/>
            <w:shd w:val="clear" w:color="auto" w:fill="auto"/>
          </w:tcPr>
          <w:p w14:paraId="746F0D69" w14:textId="77777777" w:rsidR="008E7A10" w:rsidRDefault="008E7A10">
            <w:pPr>
              <w:rPr>
                <w:rFonts w:ascii="宋体"/>
              </w:rPr>
            </w:pPr>
          </w:p>
        </w:tc>
        <w:tc>
          <w:tcPr>
            <w:tcW w:w="5" w:type="pct"/>
            <w:shd w:val="clear" w:color="auto" w:fill="auto"/>
          </w:tcPr>
          <w:p w14:paraId="746F0D6A" w14:textId="77777777" w:rsidR="008E7A10" w:rsidRDefault="008E7A10">
            <w:pPr>
              <w:rPr>
                <w:rFonts w:ascii="宋体"/>
              </w:rPr>
            </w:pPr>
          </w:p>
        </w:tc>
        <w:tc>
          <w:tcPr>
            <w:tcW w:w="50" w:type="pct"/>
            <w:shd w:val="clear" w:color="auto" w:fill="auto"/>
          </w:tcPr>
          <w:p w14:paraId="746F0D6B" w14:textId="77777777" w:rsidR="008E7A10" w:rsidRDefault="008E7A10">
            <w:pPr>
              <w:rPr>
                <w:rFonts w:ascii="宋体"/>
              </w:rPr>
            </w:pPr>
          </w:p>
        </w:tc>
        <w:tc>
          <w:tcPr>
            <w:tcW w:w="370" w:type="pct"/>
            <w:shd w:val="clear" w:color="auto" w:fill="auto"/>
          </w:tcPr>
          <w:p w14:paraId="746F0D6C" w14:textId="77777777" w:rsidR="008E7A10" w:rsidRDefault="008E7A10">
            <w:pPr>
              <w:rPr>
                <w:rFonts w:ascii="宋体"/>
              </w:rPr>
            </w:pPr>
          </w:p>
        </w:tc>
        <w:tc>
          <w:tcPr>
            <w:tcW w:w="5" w:type="pct"/>
            <w:shd w:val="clear" w:color="auto" w:fill="auto"/>
          </w:tcPr>
          <w:p w14:paraId="746F0D6D" w14:textId="77777777" w:rsidR="008E7A10" w:rsidRDefault="008E7A10">
            <w:pPr>
              <w:rPr>
                <w:rFonts w:ascii="宋体"/>
              </w:rPr>
            </w:pPr>
          </w:p>
        </w:tc>
        <w:tc>
          <w:tcPr>
            <w:tcW w:w="50" w:type="pct"/>
            <w:shd w:val="clear" w:color="auto" w:fill="auto"/>
          </w:tcPr>
          <w:p w14:paraId="746F0D6E" w14:textId="77777777" w:rsidR="008E7A10" w:rsidRDefault="008E7A10">
            <w:pPr>
              <w:rPr>
                <w:rFonts w:ascii="宋体"/>
              </w:rPr>
            </w:pPr>
          </w:p>
        </w:tc>
        <w:tc>
          <w:tcPr>
            <w:tcW w:w="355" w:type="pct"/>
            <w:shd w:val="clear" w:color="auto" w:fill="auto"/>
          </w:tcPr>
          <w:p w14:paraId="746F0D6F" w14:textId="77777777" w:rsidR="008E7A10" w:rsidRDefault="008E7A10">
            <w:pPr>
              <w:rPr>
                <w:rFonts w:ascii="宋体"/>
              </w:rPr>
            </w:pPr>
          </w:p>
        </w:tc>
        <w:tc>
          <w:tcPr>
            <w:tcW w:w="5" w:type="pct"/>
            <w:shd w:val="clear" w:color="auto" w:fill="auto"/>
          </w:tcPr>
          <w:p w14:paraId="746F0D70" w14:textId="77777777" w:rsidR="008E7A10" w:rsidRDefault="008E7A10">
            <w:pPr>
              <w:rPr>
                <w:rFonts w:ascii="宋体"/>
              </w:rPr>
            </w:pPr>
          </w:p>
        </w:tc>
        <w:tc>
          <w:tcPr>
            <w:tcW w:w="50" w:type="pct"/>
            <w:shd w:val="clear" w:color="auto" w:fill="auto"/>
          </w:tcPr>
          <w:p w14:paraId="746F0D71" w14:textId="77777777" w:rsidR="008E7A10" w:rsidRDefault="008E7A10">
            <w:pPr>
              <w:rPr>
                <w:rFonts w:ascii="宋体"/>
              </w:rPr>
            </w:pPr>
          </w:p>
        </w:tc>
        <w:tc>
          <w:tcPr>
            <w:tcW w:w="386" w:type="pct"/>
            <w:shd w:val="clear" w:color="auto" w:fill="auto"/>
          </w:tcPr>
          <w:p w14:paraId="746F0D72" w14:textId="77777777" w:rsidR="008E7A10" w:rsidRDefault="008E7A10">
            <w:pPr>
              <w:rPr>
                <w:rFonts w:ascii="宋体"/>
              </w:rPr>
            </w:pPr>
          </w:p>
        </w:tc>
        <w:tc>
          <w:tcPr>
            <w:tcW w:w="5" w:type="pct"/>
            <w:shd w:val="clear" w:color="auto" w:fill="auto"/>
          </w:tcPr>
          <w:p w14:paraId="746F0D73" w14:textId="77777777" w:rsidR="008E7A10" w:rsidRDefault="008E7A10">
            <w:pPr>
              <w:rPr>
                <w:rFonts w:ascii="宋体"/>
              </w:rPr>
            </w:pPr>
          </w:p>
        </w:tc>
        <w:tc>
          <w:tcPr>
            <w:tcW w:w="50" w:type="pct"/>
            <w:shd w:val="clear" w:color="auto" w:fill="auto"/>
          </w:tcPr>
          <w:p w14:paraId="746F0D74" w14:textId="77777777" w:rsidR="008E7A10" w:rsidRDefault="008E7A10">
            <w:pPr>
              <w:rPr>
                <w:rFonts w:ascii="宋体"/>
              </w:rPr>
            </w:pPr>
          </w:p>
        </w:tc>
        <w:tc>
          <w:tcPr>
            <w:tcW w:w="432" w:type="pct"/>
            <w:shd w:val="clear" w:color="auto" w:fill="auto"/>
          </w:tcPr>
          <w:p w14:paraId="746F0D75" w14:textId="77777777" w:rsidR="008E7A10" w:rsidRDefault="008E7A10">
            <w:pPr>
              <w:rPr>
                <w:rFonts w:ascii="宋体"/>
              </w:rPr>
            </w:pPr>
          </w:p>
        </w:tc>
        <w:tc>
          <w:tcPr>
            <w:tcW w:w="5" w:type="pct"/>
            <w:shd w:val="clear" w:color="auto" w:fill="auto"/>
          </w:tcPr>
          <w:p w14:paraId="746F0D76" w14:textId="77777777" w:rsidR="008E7A10" w:rsidRDefault="008E7A10">
            <w:pPr>
              <w:rPr>
                <w:rFonts w:ascii="宋体"/>
              </w:rPr>
            </w:pPr>
          </w:p>
        </w:tc>
        <w:tc>
          <w:tcPr>
            <w:tcW w:w="50" w:type="pct"/>
            <w:shd w:val="clear" w:color="auto" w:fill="auto"/>
          </w:tcPr>
          <w:p w14:paraId="746F0D77" w14:textId="77777777" w:rsidR="008E7A10" w:rsidRDefault="008E7A10">
            <w:pPr>
              <w:rPr>
                <w:rFonts w:ascii="宋体"/>
              </w:rPr>
            </w:pPr>
          </w:p>
        </w:tc>
        <w:tc>
          <w:tcPr>
            <w:tcW w:w="355" w:type="pct"/>
            <w:shd w:val="clear" w:color="auto" w:fill="auto"/>
          </w:tcPr>
          <w:p w14:paraId="746F0D78" w14:textId="77777777" w:rsidR="008E7A10" w:rsidRDefault="008E7A10">
            <w:pPr>
              <w:rPr>
                <w:rFonts w:ascii="宋体"/>
              </w:rPr>
            </w:pPr>
          </w:p>
        </w:tc>
        <w:tc>
          <w:tcPr>
            <w:tcW w:w="5" w:type="pct"/>
            <w:shd w:val="clear" w:color="auto" w:fill="auto"/>
          </w:tcPr>
          <w:p w14:paraId="746F0D79" w14:textId="77777777" w:rsidR="008E7A10" w:rsidRDefault="008E7A10">
            <w:pPr>
              <w:rPr>
                <w:rFonts w:ascii="宋体"/>
              </w:rPr>
            </w:pPr>
          </w:p>
        </w:tc>
      </w:tr>
      <w:tr w:rsidR="008E7A10" w14:paraId="746F0D7D" w14:textId="77777777">
        <w:tc>
          <w:tcPr>
            <w:tcW w:w="0" w:type="auto"/>
            <w:gridSpan w:val="3"/>
            <w:shd w:val="clear" w:color="auto" w:fill="auto"/>
            <w:tcMar>
              <w:top w:w="0" w:type="dxa"/>
              <w:left w:w="20" w:type="dxa"/>
              <w:bottom w:w="0" w:type="dxa"/>
              <w:right w:w="20" w:type="dxa"/>
            </w:tcMar>
          </w:tcPr>
          <w:p w14:paraId="746F0D7B" w14:textId="77777777" w:rsidR="008E7A10" w:rsidRDefault="008E7A10">
            <w:pPr>
              <w:rPr>
                <w:rFonts w:ascii="宋体"/>
              </w:rPr>
            </w:pPr>
          </w:p>
        </w:tc>
        <w:tc>
          <w:tcPr>
            <w:tcW w:w="0" w:type="auto"/>
            <w:gridSpan w:val="27"/>
            <w:shd w:val="clear" w:color="auto" w:fill="auto"/>
            <w:tcMar>
              <w:top w:w="40" w:type="dxa"/>
              <w:left w:w="20" w:type="dxa"/>
              <w:bottom w:w="40" w:type="dxa"/>
              <w:right w:w="20" w:type="dxa"/>
            </w:tcMar>
            <w:vAlign w:val="bottom"/>
          </w:tcPr>
          <w:p w14:paraId="746F0D7C" w14:textId="77777777" w:rsidR="008E7A10" w:rsidRDefault="00E047B2">
            <w:pPr>
              <w:jc w:val="center"/>
              <w:textAlignment w:val="bottom"/>
            </w:pPr>
            <w:r>
              <w:rPr>
                <w:rFonts w:ascii="sans-serif" w:eastAsia="sans-serif" w:hAnsi="sans-serif" w:cs="sans-serif"/>
                <w:b/>
                <w:bCs/>
                <w:color w:val="000000"/>
                <w:sz w:val="17"/>
                <w:szCs w:val="17"/>
              </w:rPr>
              <w:t>THREE MONTHS ENDED NOVEMBER 30, 2019</w:t>
            </w:r>
          </w:p>
        </w:tc>
      </w:tr>
      <w:tr w:rsidR="008E7A10" w14:paraId="746F0D88" w14:textId="77777777">
        <w:tc>
          <w:tcPr>
            <w:tcW w:w="0" w:type="auto"/>
            <w:gridSpan w:val="3"/>
            <w:shd w:val="clear" w:color="auto" w:fill="auto"/>
            <w:tcMar>
              <w:top w:w="40" w:type="dxa"/>
              <w:left w:w="20" w:type="dxa"/>
              <w:bottom w:w="40" w:type="dxa"/>
              <w:right w:w="20" w:type="dxa"/>
            </w:tcMar>
            <w:vAlign w:val="bottom"/>
          </w:tcPr>
          <w:p w14:paraId="746F0D7E"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D7F" w14:textId="77777777" w:rsidR="008E7A10" w:rsidRDefault="00E047B2">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D80" w14:textId="77777777" w:rsidR="008E7A10" w:rsidRDefault="00E047B2">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D81" w14:textId="77777777" w:rsidR="008E7A10" w:rsidRDefault="00E047B2">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D82" w14:textId="77777777" w:rsidR="008E7A10" w:rsidRDefault="00E047B2">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D83" w14:textId="77777777" w:rsidR="008E7A10" w:rsidRDefault="00E047B2">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D84" w14:textId="77777777" w:rsidR="008E7A10" w:rsidRDefault="00E047B2">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D85" w14:textId="77777777" w:rsidR="008E7A10" w:rsidRDefault="00E047B2">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D86" w14:textId="77777777" w:rsidR="008E7A10" w:rsidRDefault="00E047B2">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D87" w14:textId="77777777" w:rsidR="008E7A10" w:rsidRDefault="00E047B2">
            <w:pPr>
              <w:jc w:val="right"/>
              <w:textAlignment w:val="bottom"/>
            </w:pPr>
            <w:r>
              <w:rPr>
                <w:rFonts w:ascii="sans-serif" w:eastAsia="sans-serif" w:hAnsi="sans-serif" w:cs="sans-serif"/>
                <w:b/>
                <w:bCs/>
                <w:color w:val="000000"/>
                <w:sz w:val="17"/>
                <w:szCs w:val="17"/>
              </w:rPr>
              <w:t>TOTAL NIKE, INC.</w:t>
            </w:r>
          </w:p>
        </w:tc>
      </w:tr>
      <w:tr w:rsidR="008E7A10" w14:paraId="746F0D9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D89"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tcPr>
          <w:p w14:paraId="746F0D8A"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D8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D8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D8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D8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D8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D9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D9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D92" w14:textId="77777777" w:rsidR="008E7A10" w:rsidRDefault="008E7A10">
            <w:pPr>
              <w:rPr>
                <w:rFonts w:ascii="宋体"/>
              </w:rPr>
            </w:pPr>
          </w:p>
        </w:tc>
      </w:tr>
      <w:tr w:rsidR="008E7A10" w14:paraId="746F0DB0"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D94" w14:textId="77777777" w:rsidR="008E7A10" w:rsidRDefault="00E047B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auto"/>
            <w:tcMar>
              <w:top w:w="40" w:type="dxa"/>
              <w:left w:w="20" w:type="dxa"/>
              <w:bottom w:w="40" w:type="dxa"/>
              <w:right w:w="0" w:type="dxa"/>
            </w:tcMar>
            <w:vAlign w:val="bottom"/>
          </w:tcPr>
          <w:p w14:paraId="746F0D9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D96" w14:textId="77777777" w:rsidR="008E7A10" w:rsidRDefault="00E047B2">
            <w:pPr>
              <w:jc w:val="right"/>
              <w:textAlignment w:val="bottom"/>
            </w:pPr>
            <w:r>
              <w:rPr>
                <w:rFonts w:ascii="Arial" w:eastAsia="宋体" w:hAnsi="Arial" w:cs="Arial"/>
                <w:color w:val="000000"/>
                <w:sz w:val="17"/>
                <w:szCs w:val="17"/>
              </w:rPr>
              <w:t>2,426 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97"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D9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D99" w14:textId="77777777" w:rsidR="008E7A10" w:rsidRDefault="00E047B2">
            <w:pPr>
              <w:jc w:val="right"/>
              <w:textAlignment w:val="bottom"/>
            </w:pPr>
            <w:r>
              <w:rPr>
                <w:rFonts w:ascii="Arial" w:eastAsia="宋体" w:hAnsi="Arial" w:cs="Arial"/>
                <w:color w:val="000000"/>
                <w:sz w:val="17"/>
                <w:szCs w:val="17"/>
              </w:rPr>
              <w:t>1,536 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9A"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D9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D9C" w14:textId="77777777" w:rsidR="008E7A10" w:rsidRDefault="00E047B2">
            <w:pPr>
              <w:jc w:val="right"/>
              <w:textAlignment w:val="bottom"/>
            </w:pPr>
            <w:r>
              <w:rPr>
                <w:rFonts w:ascii="Arial" w:eastAsia="宋体" w:hAnsi="Arial" w:cs="Arial"/>
                <w:color w:val="000000"/>
                <w:sz w:val="17"/>
                <w:szCs w:val="17"/>
              </w:rPr>
              <w:t>1,247 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9D"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D9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D9F" w14:textId="77777777" w:rsidR="008E7A10" w:rsidRDefault="00E047B2">
            <w:pPr>
              <w:jc w:val="right"/>
              <w:textAlignment w:val="bottom"/>
            </w:pPr>
            <w:r>
              <w:rPr>
                <w:rFonts w:ascii="Arial" w:eastAsia="宋体" w:hAnsi="Arial" w:cs="Arial"/>
                <w:color w:val="000000"/>
                <w:sz w:val="17"/>
                <w:szCs w:val="17"/>
              </w:rPr>
              <w:t>997 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A0"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DA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DA2"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A3"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DA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DA5" w14:textId="77777777" w:rsidR="008E7A10" w:rsidRDefault="00E047B2">
            <w:pPr>
              <w:jc w:val="right"/>
              <w:textAlignment w:val="bottom"/>
            </w:pPr>
            <w:r>
              <w:rPr>
                <w:rFonts w:ascii="Arial" w:eastAsia="宋体" w:hAnsi="Arial" w:cs="Arial"/>
                <w:color w:val="000000"/>
                <w:sz w:val="17"/>
                <w:szCs w:val="17"/>
              </w:rPr>
              <w:t>6,206 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A6"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DA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DA8" w14:textId="77777777" w:rsidR="008E7A10" w:rsidRDefault="00E047B2">
            <w:pPr>
              <w:jc w:val="right"/>
              <w:textAlignment w:val="bottom"/>
            </w:pPr>
            <w:r>
              <w:rPr>
                <w:rFonts w:ascii="Arial" w:eastAsia="宋体" w:hAnsi="Arial" w:cs="Arial"/>
                <w:color w:val="000000"/>
                <w:sz w:val="17"/>
                <w:szCs w:val="17"/>
              </w:rPr>
              <w:t>416 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A9"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DA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DA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AC"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DA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DAE" w14:textId="77777777" w:rsidR="008E7A10" w:rsidRDefault="00E047B2">
            <w:pPr>
              <w:jc w:val="right"/>
              <w:textAlignment w:val="bottom"/>
            </w:pPr>
            <w:r>
              <w:rPr>
                <w:rFonts w:ascii="Arial" w:eastAsia="宋体" w:hAnsi="Arial" w:cs="Arial"/>
                <w:color w:val="000000"/>
                <w:sz w:val="17"/>
                <w:szCs w:val="17"/>
              </w:rPr>
              <w:t>6,622 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AF" w14:textId="77777777" w:rsidR="008E7A10" w:rsidRDefault="008E7A10">
            <w:pPr>
              <w:jc w:val="right"/>
              <w:rPr>
                <w:rFonts w:ascii="宋体"/>
              </w:rPr>
            </w:pPr>
          </w:p>
        </w:tc>
      </w:tr>
      <w:tr w:rsidR="008E7A10" w14:paraId="746F0DC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DB1" w14:textId="77777777" w:rsidR="008E7A10" w:rsidRDefault="00E047B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B2" w14:textId="77777777" w:rsidR="008E7A10" w:rsidRDefault="00E047B2">
            <w:pPr>
              <w:jc w:val="right"/>
              <w:textAlignment w:val="bottom"/>
            </w:pPr>
            <w:r>
              <w:rPr>
                <w:rFonts w:ascii="Arial" w:eastAsia="宋体" w:hAnsi="Arial" w:cs="Arial"/>
                <w:color w:val="000000"/>
                <w:sz w:val="17"/>
                <w:szCs w:val="17"/>
              </w:rPr>
              <w:t>1,417 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B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B4" w14:textId="77777777" w:rsidR="008E7A10" w:rsidRDefault="00E047B2">
            <w:pPr>
              <w:jc w:val="right"/>
              <w:textAlignment w:val="bottom"/>
            </w:pPr>
            <w:r>
              <w:rPr>
                <w:rFonts w:ascii="Arial" w:eastAsia="宋体" w:hAnsi="Arial" w:cs="Arial"/>
                <w:color w:val="000000"/>
                <w:sz w:val="17"/>
                <w:szCs w:val="17"/>
              </w:rPr>
              <w:t>897 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B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B6" w14:textId="77777777" w:rsidR="008E7A10" w:rsidRDefault="00E047B2">
            <w:pPr>
              <w:jc w:val="right"/>
              <w:textAlignment w:val="bottom"/>
            </w:pPr>
            <w:r>
              <w:rPr>
                <w:rFonts w:ascii="Arial" w:eastAsia="宋体" w:hAnsi="Arial" w:cs="Arial"/>
                <w:color w:val="000000"/>
                <w:sz w:val="17"/>
                <w:szCs w:val="17"/>
              </w:rPr>
              <w:t>563 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B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B8" w14:textId="77777777" w:rsidR="008E7A10" w:rsidRDefault="00E047B2">
            <w:pPr>
              <w:jc w:val="right"/>
              <w:textAlignment w:val="bottom"/>
            </w:pPr>
            <w:r>
              <w:rPr>
                <w:rFonts w:ascii="Arial" w:eastAsia="宋体" w:hAnsi="Arial" w:cs="Arial"/>
                <w:color w:val="000000"/>
                <w:sz w:val="17"/>
                <w:szCs w:val="17"/>
              </w:rPr>
              <w:t>410 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B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BA"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B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BC" w14:textId="77777777" w:rsidR="008E7A10" w:rsidRDefault="00E047B2">
            <w:pPr>
              <w:jc w:val="right"/>
              <w:textAlignment w:val="bottom"/>
            </w:pPr>
            <w:r>
              <w:rPr>
                <w:rFonts w:ascii="Arial" w:eastAsia="宋体" w:hAnsi="Arial" w:cs="Arial"/>
                <w:color w:val="000000"/>
                <w:sz w:val="17"/>
                <w:szCs w:val="17"/>
              </w:rPr>
              <w:t>3,287 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B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BE" w14:textId="77777777" w:rsidR="008E7A10" w:rsidRDefault="00E047B2">
            <w:pPr>
              <w:jc w:val="right"/>
              <w:textAlignment w:val="bottom"/>
            </w:pPr>
            <w:r>
              <w:rPr>
                <w:rFonts w:ascii="Arial" w:eastAsia="宋体" w:hAnsi="Arial" w:cs="Arial"/>
                <w:color w:val="000000"/>
                <w:sz w:val="17"/>
                <w:szCs w:val="17"/>
              </w:rPr>
              <w:t>30 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B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C0"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C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C2" w14:textId="77777777" w:rsidR="008E7A10" w:rsidRDefault="00E047B2">
            <w:pPr>
              <w:jc w:val="right"/>
              <w:textAlignment w:val="bottom"/>
            </w:pPr>
            <w:r>
              <w:rPr>
                <w:rFonts w:ascii="Arial" w:eastAsia="宋体" w:hAnsi="Arial" w:cs="Arial"/>
                <w:color w:val="000000"/>
                <w:sz w:val="17"/>
                <w:szCs w:val="17"/>
              </w:rPr>
              <w:t>3,317 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C3" w14:textId="77777777" w:rsidR="008E7A10" w:rsidRDefault="008E7A10">
            <w:pPr>
              <w:jc w:val="right"/>
              <w:rPr>
                <w:rFonts w:ascii="宋体"/>
              </w:rPr>
            </w:pPr>
          </w:p>
        </w:tc>
      </w:tr>
      <w:tr w:rsidR="008E7A10" w14:paraId="746F0DD8"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DC5" w14:textId="77777777" w:rsidR="008E7A10" w:rsidRDefault="00E047B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C6" w14:textId="77777777" w:rsidR="008E7A10" w:rsidRDefault="00E047B2">
            <w:pPr>
              <w:jc w:val="right"/>
              <w:textAlignment w:val="bottom"/>
            </w:pPr>
            <w:r>
              <w:rPr>
                <w:rFonts w:ascii="Arial" w:eastAsia="宋体" w:hAnsi="Arial" w:cs="Arial"/>
                <w:color w:val="000000"/>
                <w:sz w:val="17"/>
                <w:szCs w:val="17"/>
              </w:rPr>
              <w:t>139 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C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C8" w14:textId="77777777" w:rsidR="008E7A10" w:rsidRDefault="00E047B2">
            <w:pPr>
              <w:jc w:val="right"/>
              <w:textAlignment w:val="bottom"/>
            </w:pPr>
            <w:r>
              <w:rPr>
                <w:rFonts w:ascii="Arial" w:eastAsia="宋体" w:hAnsi="Arial" w:cs="Arial"/>
                <w:color w:val="000000"/>
                <w:sz w:val="17"/>
                <w:szCs w:val="17"/>
              </w:rPr>
              <w:t>104 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C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CA" w14:textId="77777777" w:rsidR="008E7A10" w:rsidRDefault="00E047B2">
            <w:pPr>
              <w:jc w:val="right"/>
              <w:textAlignment w:val="bottom"/>
            </w:pPr>
            <w:r>
              <w:rPr>
                <w:rFonts w:ascii="Arial" w:eastAsia="宋体" w:hAnsi="Arial" w:cs="Arial"/>
                <w:color w:val="000000"/>
                <w:sz w:val="17"/>
                <w:szCs w:val="17"/>
              </w:rPr>
              <w:t>37 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C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CC" w14:textId="77777777" w:rsidR="008E7A10" w:rsidRDefault="00E047B2">
            <w:pPr>
              <w:jc w:val="right"/>
              <w:textAlignment w:val="bottom"/>
            </w:pPr>
            <w:r>
              <w:rPr>
                <w:rFonts w:ascii="Arial" w:eastAsia="宋体" w:hAnsi="Arial" w:cs="Arial"/>
                <w:color w:val="000000"/>
                <w:sz w:val="17"/>
                <w:szCs w:val="17"/>
              </w:rPr>
              <w:t>61 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C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CE"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C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D0" w14:textId="77777777" w:rsidR="008E7A10" w:rsidRDefault="00E047B2">
            <w:pPr>
              <w:jc w:val="right"/>
              <w:textAlignment w:val="bottom"/>
            </w:pPr>
            <w:r>
              <w:rPr>
                <w:rFonts w:ascii="Arial" w:eastAsia="宋体" w:hAnsi="Arial" w:cs="Arial"/>
                <w:color w:val="000000"/>
                <w:sz w:val="17"/>
                <w:szCs w:val="17"/>
              </w:rPr>
              <w:t>341 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D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D2" w14:textId="77777777" w:rsidR="008E7A10" w:rsidRDefault="00E047B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D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D4"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D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D6" w14:textId="77777777" w:rsidR="008E7A10" w:rsidRDefault="00E047B2">
            <w:pPr>
              <w:jc w:val="right"/>
              <w:textAlignment w:val="bottom"/>
            </w:pPr>
            <w:r>
              <w:rPr>
                <w:rFonts w:ascii="Arial" w:eastAsia="宋体" w:hAnsi="Arial" w:cs="Arial"/>
                <w:color w:val="000000"/>
                <w:sz w:val="17"/>
                <w:szCs w:val="17"/>
              </w:rPr>
              <w:t>347 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D7" w14:textId="77777777" w:rsidR="008E7A10" w:rsidRDefault="008E7A10">
            <w:pPr>
              <w:jc w:val="right"/>
              <w:rPr>
                <w:rFonts w:ascii="宋体"/>
              </w:rPr>
            </w:pPr>
          </w:p>
        </w:tc>
      </w:tr>
      <w:tr w:rsidR="008E7A10" w14:paraId="746F0DE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DD9" w14:textId="77777777" w:rsidR="008E7A10" w:rsidRDefault="00E047B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DA"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D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DC"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D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DE"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D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E0"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E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E2"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E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E4"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E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E6" w14:textId="77777777" w:rsidR="008E7A10" w:rsidRDefault="00E047B2">
            <w:pPr>
              <w:jc w:val="right"/>
              <w:textAlignment w:val="bottom"/>
            </w:pPr>
            <w:r>
              <w:rPr>
                <w:rFonts w:ascii="Arial" w:eastAsia="宋体" w:hAnsi="Arial" w:cs="Arial"/>
                <w:color w:val="000000"/>
                <w:sz w:val="17"/>
                <w:szCs w:val="17"/>
              </w:rPr>
              <w:t>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E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E8"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E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DEA"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DEB" w14:textId="77777777" w:rsidR="008E7A10" w:rsidRDefault="008E7A10">
            <w:pPr>
              <w:jc w:val="right"/>
              <w:rPr>
                <w:rFonts w:ascii="宋体"/>
              </w:rPr>
            </w:pPr>
          </w:p>
        </w:tc>
      </w:tr>
      <w:tr w:rsidR="008E7A10" w14:paraId="746F0E0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DED"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746F0DE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DEF" w14:textId="77777777" w:rsidR="008E7A10" w:rsidRDefault="00E047B2">
            <w:pPr>
              <w:jc w:val="right"/>
              <w:textAlignment w:val="bottom"/>
            </w:pPr>
            <w:r>
              <w:rPr>
                <w:rFonts w:ascii="Arial" w:eastAsia="宋体" w:hAnsi="Arial" w:cs="Arial"/>
                <w:b/>
                <w:bCs/>
                <w:color w:val="000000"/>
                <w:sz w:val="17"/>
                <w:szCs w:val="17"/>
              </w:rPr>
              <w:t>3,982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DF0"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DF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DF2" w14:textId="77777777" w:rsidR="008E7A10" w:rsidRDefault="00E047B2">
            <w:pPr>
              <w:jc w:val="right"/>
              <w:textAlignment w:val="bottom"/>
            </w:pPr>
            <w:r>
              <w:rPr>
                <w:rFonts w:ascii="Arial" w:eastAsia="宋体" w:hAnsi="Arial" w:cs="Arial"/>
                <w:b/>
                <w:bCs/>
                <w:color w:val="000000"/>
                <w:sz w:val="17"/>
                <w:szCs w:val="17"/>
              </w:rPr>
              <w:t>2,537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DF3"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DF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DF5" w14:textId="77777777" w:rsidR="008E7A10" w:rsidRDefault="00E047B2">
            <w:pPr>
              <w:jc w:val="right"/>
              <w:textAlignment w:val="bottom"/>
            </w:pPr>
            <w:r>
              <w:rPr>
                <w:rFonts w:ascii="Arial" w:eastAsia="宋体" w:hAnsi="Arial" w:cs="Arial"/>
                <w:b/>
                <w:bCs/>
                <w:color w:val="000000"/>
                <w:sz w:val="17"/>
                <w:szCs w:val="17"/>
              </w:rPr>
              <w:t>1,847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DF6"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DF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DF8" w14:textId="77777777" w:rsidR="008E7A10" w:rsidRDefault="00E047B2">
            <w:pPr>
              <w:jc w:val="right"/>
              <w:textAlignment w:val="bottom"/>
            </w:pPr>
            <w:r>
              <w:rPr>
                <w:rFonts w:ascii="Arial" w:eastAsia="宋体" w:hAnsi="Arial" w:cs="Arial"/>
                <w:b/>
                <w:bCs/>
                <w:color w:val="000000"/>
                <w:sz w:val="17"/>
                <w:szCs w:val="17"/>
              </w:rPr>
              <w:t>1,468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DF9"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DF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DFB" w14:textId="77777777" w:rsidR="008E7A10" w:rsidRDefault="00E047B2">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DFC"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DF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DFE" w14:textId="77777777" w:rsidR="008E7A10" w:rsidRDefault="00E047B2">
            <w:pPr>
              <w:jc w:val="right"/>
              <w:textAlignment w:val="bottom"/>
            </w:pPr>
            <w:r>
              <w:rPr>
                <w:rFonts w:ascii="Arial" w:eastAsia="宋体" w:hAnsi="Arial" w:cs="Arial"/>
                <w:b/>
                <w:bCs/>
                <w:color w:val="000000"/>
                <w:sz w:val="17"/>
                <w:szCs w:val="17"/>
              </w:rPr>
              <w:t>9,844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DFF"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E0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E01" w14:textId="77777777" w:rsidR="008E7A10" w:rsidRDefault="00E047B2">
            <w:pPr>
              <w:jc w:val="right"/>
              <w:textAlignment w:val="bottom"/>
            </w:pPr>
            <w:r>
              <w:rPr>
                <w:rFonts w:ascii="Arial" w:eastAsia="宋体" w:hAnsi="Arial" w:cs="Arial"/>
                <w:b/>
                <w:bCs/>
                <w:color w:val="000000"/>
                <w:sz w:val="17"/>
                <w:szCs w:val="17"/>
              </w:rPr>
              <w:t>480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E02"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E0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E04" w14:textId="77777777" w:rsidR="008E7A10" w:rsidRDefault="00E047B2">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E05"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0E0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0E07" w14:textId="77777777" w:rsidR="008E7A10" w:rsidRDefault="00E047B2">
            <w:pPr>
              <w:jc w:val="right"/>
              <w:textAlignment w:val="bottom"/>
            </w:pPr>
            <w:r>
              <w:rPr>
                <w:rFonts w:ascii="Arial" w:eastAsia="宋体" w:hAnsi="Arial" w:cs="Arial"/>
                <w:b/>
                <w:bCs/>
                <w:color w:val="000000"/>
                <w:sz w:val="17"/>
                <w:szCs w:val="17"/>
              </w:rPr>
              <w:t>10,326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0E08" w14:textId="77777777" w:rsidR="008E7A10" w:rsidRDefault="008E7A10">
            <w:pPr>
              <w:jc w:val="right"/>
              <w:rPr>
                <w:rFonts w:ascii="宋体"/>
              </w:rPr>
            </w:pPr>
          </w:p>
        </w:tc>
      </w:tr>
      <w:tr w:rsidR="008E7A10" w14:paraId="746F0E1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E0A"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tcPr>
          <w:p w14:paraId="746F0E0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E0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E0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E0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E0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E1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E1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E12"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E13" w14:textId="77777777" w:rsidR="008E7A10" w:rsidRDefault="008E7A10">
            <w:pPr>
              <w:rPr>
                <w:rFonts w:ascii="宋体"/>
              </w:rPr>
            </w:pPr>
          </w:p>
        </w:tc>
      </w:tr>
      <w:tr w:rsidR="008E7A10" w14:paraId="746F0E3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E15" w14:textId="77777777" w:rsidR="008E7A10" w:rsidRDefault="00E047B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auto"/>
            <w:tcMar>
              <w:top w:w="40" w:type="dxa"/>
              <w:left w:w="20" w:type="dxa"/>
              <w:bottom w:w="40" w:type="dxa"/>
              <w:right w:w="0" w:type="dxa"/>
            </w:tcMar>
            <w:vAlign w:val="bottom"/>
          </w:tcPr>
          <w:p w14:paraId="746F0E1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E17" w14:textId="77777777" w:rsidR="008E7A10" w:rsidRDefault="00E047B2">
            <w:pPr>
              <w:jc w:val="right"/>
              <w:textAlignment w:val="bottom"/>
            </w:pPr>
            <w:r>
              <w:rPr>
                <w:rFonts w:ascii="Arial" w:eastAsia="宋体" w:hAnsi="Arial" w:cs="Arial"/>
                <w:color w:val="000000"/>
                <w:sz w:val="17"/>
                <w:szCs w:val="17"/>
              </w:rPr>
              <w:t>2,734 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18"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E1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E1A" w14:textId="77777777" w:rsidR="008E7A10" w:rsidRDefault="00E047B2">
            <w:pPr>
              <w:jc w:val="right"/>
              <w:textAlignment w:val="bottom"/>
            </w:pPr>
            <w:r>
              <w:rPr>
                <w:rFonts w:ascii="Arial" w:eastAsia="宋体" w:hAnsi="Arial" w:cs="Arial"/>
                <w:color w:val="000000"/>
                <w:sz w:val="17"/>
                <w:szCs w:val="17"/>
              </w:rPr>
              <w:t>1,794 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1B"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E1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E1D" w14:textId="77777777" w:rsidR="008E7A10" w:rsidRDefault="00E047B2">
            <w:pPr>
              <w:jc w:val="right"/>
              <w:textAlignment w:val="bottom"/>
            </w:pPr>
            <w:r>
              <w:rPr>
                <w:rFonts w:ascii="Arial" w:eastAsia="宋体" w:hAnsi="Arial" w:cs="Arial"/>
                <w:color w:val="000000"/>
                <w:sz w:val="17"/>
                <w:szCs w:val="17"/>
              </w:rPr>
              <w:t>1,028 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1E"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E1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E20" w14:textId="77777777" w:rsidR="008E7A10" w:rsidRDefault="00E047B2">
            <w:pPr>
              <w:jc w:val="right"/>
              <w:textAlignment w:val="bottom"/>
            </w:pPr>
            <w:r>
              <w:rPr>
                <w:rFonts w:ascii="Arial" w:eastAsia="宋体" w:hAnsi="Arial" w:cs="Arial"/>
                <w:color w:val="000000"/>
                <w:sz w:val="17"/>
                <w:szCs w:val="17"/>
              </w:rPr>
              <w:t>1,022 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21"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E2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E23"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24"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E2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E26" w14:textId="77777777" w:rsidR="008E7A10" w:rsidRDefault="00E047B2">
            <w:pPr>
              <w:jc w:val="right"/>
              <w:textAlignment w:val="bottom"/>
            </w:pPr>
            <w:r>
              <w:rPr>
                <w:rFonts w:ascii="Arial" w:eastAsia="宋体" w:hAnsi="Arial" w:cs="Arial"/>
                <w:color w:val="000000"/>
                <w:sz w:val="17"/>
                <w:szCs w:val="17"/>
              </w:rPr>
              <w:t>6,578 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27"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E2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E29" w14:textId="77777777" w:rsidR="008E7A10" w:rsidRDefault="00E047B2">
            <w:pPr>
              <w:jc w:val="right"/>
              <w:textAlignment w:val="bottom"/>
            </w:pPr>
            <w:r>
              <w:rPr>
                <w:rFonts w:ascii="Arial" w:eastAsia="宋体" w:hAnsi="Arial" w:cs="Arial"/>
                <w:color w:val="000000"/>
                <w:sz w:val="17"/>
                <w:szCs w:val="17"/>
              </w:rPr>
              <w:t>286 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2A"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E2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E2C"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2D"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E2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E2F" w14:textId="77777777" w:rsidR="008E7A10" w:rsidRDefault="00E047B2">
            <w:pPr>
              <w:jc w:val="right"/>
              <w:textAlignment w:val="bottom"/>
            </w:pPr>
            <w:r>
              <w:rPr>
                <w:rFonts w:ascii="Arial" w:eastAsia="宋体" w:hAnsi="Arial" w:cs="Arial"/>
                <w:color w:val="000000"/>
                <w:sz w:val="17"/>
                <w:szCs w:val="17"/>
              </w:rPr>
              <w:t>6,864 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30" w14:textId="77777777" w:rsidR="008E7A10" w:rsidRDefault="008E7A10">
            <w:pPr>
              <w:jc w:val="right"/>
              <w:rPr>
                <w:rFonts w:ascii="宋体"/>
              </w:rPr>
            </w:pPr>
          </w:p>
        </w:tc>
      </w:tr>
      <w:tr w:rsidR="008E7A10" w14:paraId="746F0E4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E32" w14:textId="77777777" w:rsidR="008E7A10" w:rsidRDefault="00E047B2">
            <w:pPr>
              <w:textAlignment w:val="bottom"/>
            </w:pPr>
            <w:r>
              <w:rPr>
                <w:rFonts w:ascii="Arial" w:eastAsia="宋体" w:hAnsi="Arial" w:cs="Arial"/>
                <w:color w:val="000000"/>
                <w:sz w:val="17"/>
                <w:szCs w:val="17"/>
              </w:rPr>
              <w:t>Sales through Direct to Consumer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33" w14:textId="77777777" w:rsidR="008E7A10" w:rsidRDefault="00E047B2">
            <w:pPr>
              <w:jc w:val="right"/>
              <w:textAlignment w:val="bottom"/>
            </w:pPr>
            <w:r>
              <w:rPr>
                <w:rFonts w:ascii="Arial" w:eastAsia="宋体" w:hAnsi="Arial" w:cs="Arial"/>
                <w:color w:val="000000"/>
                <w:sz w:val="17"/>
                <w:szCs w:val="17"/>
              </w:rPr>
              <w:t>1,248 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3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35" w14:textId="77777777" w:rsidR="008E7A10" w:rsidRDefault="00E047B2">
            <w:pPr>
              <w:jc w:val="right"/>
              <w:textAlignment w:val="bottom"/>
            </w:pPr>
            <w:r>
              <w:rPr>
                <w:rFonts w:ascii="Arial" w:eastAsia="宋体" w:hAnsi="Arial" w:cs="Arial"/>
                <w:color w:val="000000"/>
                <w:sz w:val="17"/>
                <w:szCs w:val="17"/>
              </w:rPr>
              <w:t>743 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3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37" w14:textId="77777777" w:rsidR="008E7A10" w:rsidRDefault="00E047B2">
            <w:pPr>
              <w:jc w:val="right"/>
              <w:textAlignment w:val="bottom"/>
            </w:pPr>
            <w:r>
              <w:rPr>
                <w:rFonts w:ascii="Arial" w:eastAsia="宋体" w:hAnsi="Arial" w:cs="Arial"/>
                <w:color w:val="000000"/>
                <w:sz w:val="17"/>
                <w:szCs w:val="17"/>
              </w:rPr>
              <w:t>819 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3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39" w14:textId="77777777" w:rsidR="008E7A10" w:rsidRDefault="00E047B2">
            <w:pPr>
              <w:jc w:val="right"/>
              <w:textAlignment w:val="bottom"/>
            </w:pPr>
            <w:r>
              <w:rPr>
                <w:rFonts w:ascii="Arial" w:eastAsia="宋体" w:hAnsi="Arial" w:cs="Arial"/>
                <w:color w:val="000000"/>
                <w:sz w:val="17"/>
                <w:szCs w:val="17"/>
              </w:rPr>
              <w:t>446 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3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3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3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3D" w14:textId="77777777" w:rsidR="008E7A10" w:rsidRDefault="00E047B2">
            <w:pPr>
              <w:jc w:val="right"/>
              <w:textAlignment w:val="bottom"/>
            </w:pPr>
            <w:r>
              <w:rPr>
                <w:rFonts w:ascii="Arial" w:eastAsia="宋体" w:hAnsi="Arial" w:cs="Arial"/>
                <w:color w:val="000000"/>
                <w:sz w:val="17"/>
                <w:szCs w:val="17"/>
              </w:rPr>
              <w:t>3,256 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3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3F" w14:textId="77777777" w:rsidR="008E7A10" w:rsidRDefault="00E047B2">
            <w:pPr>
              <w:jc w:val="right"/>
              <w:textAlignment w:val="bottom"/>
            </w:pPr>
            <w:r>
              <w:rPr>
                <w:rFonts w:ascii="Arial" w:eastAsia="宋体" w:hAnsi="Arial" w:cs="Arial"/>
                <w:color w:val="000000"/>
                <w:sz w:val="17"/>
                <w:szCs w:val="17"/>
              </w:rPr>
              <w:t>166 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4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41"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4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43" w14:textId="77777777" w:rsidR="008E7A10" w:rsidRDefault="00E047B2">
            <w:pPr>
              <w:jc w:val="right"/>
              <w:textAlignment w:val="bottom"/>
            </w:pPr>
            <w:r>
              <w:rPr>
                <w:rFonts w:ascii="Arial" w:eastAsia="宋体" w:hAnsi="Arial" w:cs="Arial"/>
                <w:color w:val="000000"/>
                <w:sz w:val="17"/>
                <w:szCs w:val="17"/>
              </w:rPr>
              <w:t>3,422 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44" w14:textId="77777777" w:rsidR="008E7A10" w:rsidRDefault="008E7A10">
            <w:pPr>
              <w:jc w:val="right"/>
              <w:rPr>
                <w:rFonts w:ascii="宋体"/>
              </w:rPr>
            </w:pPr>
          </w:p>
        </w:tc>
      </w:tr>
      <w:tr w:rsidR="008E7A10" w14:paraId="746F0E5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E46" w14:textId="77777777" w:rsidR="008E7A10" w:rsidRDefault="00E047B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47"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4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49"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4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4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4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4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4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4F"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5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51"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5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53" w14:textId="77777777" w:rsidR="008E7A10" w:rsidRDefault="00E047B2">
            <w:pPr>
              <w:jc w:val="right"/>
              <w:textAlignment w:val="bottom"/>
            </w:pPr>
            <w:r>
              <w:rPr>
                <w:rFonts w:ascii="Arial" w:eastAsia="宋体" w:hAnsi="Arial" w:cs="Arial"/>
                <w:color w:val="000000"/>
                <w:sz w:val="17"/>
                <w:szCs w:val="17"/>
              </w:rPr>
              <w:t>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5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55"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5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E57"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E58" w14:textId="77777777" w:rsidR="008E7A10" w:rsidRDefault="008E7A10">
            <w:pPr>
              <w:jc w:val="right"/>
              <w:rPr>
                <w:rFonts w:ascii="宋体"/>
              </w:rPr>
            </w:pPr>
          </w:p>
        </w:tc>
      </w:tr>
      <w:tr w:rsidR="008E7A10" w14:paraId="746F0E7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E5A"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E5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E5C" w14:textId="77777777" w:rsidR="008E7A10" w:rsidRDefault="00E047B2">
            <w:pPr>
              <w:jc w:val="right"/>
              <w:textAlignment w:val="bottom"/>
            </w:pPr>
            <w:r>
              <w:rPr>
                <w:rFonts w:ascii="Arial" w:eastAsia="宋体" w:hAnsi="Arial" w:cs="Arial"/>
                <w:b/>
                <w:bCs/>
                <w:color w:val="000000"/>
                <w:sz w:val="17"/>
                <w:szCs w:val="17"/>
              </w:rPr>
              <w:t>3,982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E5D"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E5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E5F" w14:textId="77777777" w:rsidR="008E7A10" w:rsidRDefault="00E047B2">
            <w:pPr>
              <w:jc w:val="right"/>
              <w:textAlignment w:val="bottom"/>
            </w:pPr>
            <w:r>
              <w:rPr>
                <w:rFonts w:ascii="Arial" w:eastAsia="宋体" w:hAnsi="Arial" w:cs="Arial"/>
                <w:b/>
                <w:bCs/>
                <w:color w:val="000000"/>
                <w:sz w:val="17"/>
                <w:szCs w:val="17"/>
              </w:rPr>
              <w:t>2,537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E60"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E6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E62" w14:textId="77777777" w:rsidR="008E7A10" w:rsidRDefault="00E047B2">
            <w:pPr>
              <w:jc w:val="right"/>
              <w:textAlignment w:val="bottom"/>
            </w:pPr>
            <w:r>
              <w:rPr>
                <w:rFonts w:ascii="Arial" w:eastAsia="宋体" w:hAnsi="Arial" w:cs="Arial"/>
                <w:b/>
                <w:bCs/>
                <w:color w:val="000000"/>
                <w:sz w:val="17"/>
                <w:szCs w:val="17"/>
              </w:rPr>
              <w:t>1,847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E63"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E6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E65" w14:textId="77777777" w:rsidR="008E7A10" w:rsidRDefault="00E047B2">
            <w:pPr>
              <w:jc w:val="right"/>
              <w:textAlignment w:val="bottom"/>
            </w:pPr>
            <w:r>
              <w:rPr>
                <w:rFonts w:ascii="Arial" w:eastAsia="宋体" w:hAnsi="Arial" w:cs="Arial"/>
                <w:b/>
                <w:bCs/>
                <w:color w:val="000000"/>
                <w:sz w:val="17"/>
                <w:szCs w:val="17"/>
              </w:rPr>
              <w:t>1,468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E66"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E6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E68" w14:textId="77777777" w:rsidR="008E7A10" w:rsidRDefault="00E047B2">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E69"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E6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E6B" w14:textId="77777777" w:rsidR="008E7A10" w:rsidRDefault="00E047B2">
            <w:pPr>
              <w:jc w:val="right"/>
              <w:textAlignment w:val="bottom"/>
            </w:pPr>
            <w:r>
              <w:rPr>
                <w:rFonts w:ascii="Arial" w:eastAsia="宋体" w:hAnsi="Arial" w:cs="Arial"/>
                <w:b/>
                <w:bCs/>
                <w:color w:val="000000"/>
                <w:sz w:val="17"/>
                <w:szCs w:val="17"/>
              </w:rPr>
              <w:t>9,844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E6C"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E6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E6E" w14:textId="77777777" w:rsidR="008E7A10" w:rsidRDefault="00E047B2">
            <w:pPr>
              <w:jc w:val="right"/>
              <w:textAlignment w:val="bottom"/>
            </w:pPr>
            <w:r>
              <w:rPr>
                <w:rFonts w:ascii="Arial" w:eastAsia="宋体" w:hAnsi="Arial" w:cs="Arial"/>
                <w:b/>
                <w:bCs/>
                <w:color w:val="000000"/>
                <w:sz w:val="17"/>
                <w:szCs w:val="17"/>
              </w:rPr>
              <w:t>480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E6F"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E7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E71" w14:textId="77777777" w:rsidR="008E7A10" w:rsidRDefault="00E047B2">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E72"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0E7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0E74" w14:textId="77777777" w:rsidR="008E7A10" w:rsidRDefault="00E047B2">
            <w:pPr>
              <w:jc w:val="right"/>
              <w:textAlignment w:val="bottom"/>
            </w:pPr>
            <w:r>
              <w:rPr>
                <w:rFonts w:ascii="Arial" w:eastAsia="宋体" w:hAnsi="Arial" w:cs="Arial"/>
                <w:b/>
                <w:bCs/>
                <w:color w:val="000000"/>
                <w:sz w:val="17"/>
                <w:szCs w:val="17"/>
              </w:rPr>
              <w:t>10,326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0E75" w14:textId="77777777" w:rsidR="008E7A10" w:rsidRDefault="008E7A10">
            <w:pPr>
              <w:jc w:val="right"/>
              <w:rPr>
                <w:rFonts w:ascii="宋体"/>
              </w:rPr>
            </w:pPr>
          </w:p>
        </w:tc>
      </w:tr>
    </w:tbl>
    <w:p w14:paraId="746F0E77" w14:textId="77777777" w:rsidR="008E7A10" w:rsidRDefault="00E047B2">
      <w:pPr>
        <w:spacing w:before="120" w:after="120"/>
        <w:jc w:val="right"/>
      </w:pPr>
      <w:r>
        <w:rPr>
          <w:rFonts w:ascii="Arial" w:eastAsia="宋体" w:hAnsi="Arial" w:cs="Arial"/>
          <w:color w:val="E87722"/>
          <w:sz w:val="17"/>
          <w:szCs w:val="17"/>
        </w:rPr>
        <w:t>19</w:t>
      </w:r>
    </w:p>
    <w:p w14:paraId="746F0E78" w14:textId="77777777" w:rsidR="008E7A10" w:rsidRDefault="00E047B2">
      <w:r>
        <w:pict w14:anchorId="746F201B">
          <v:rect id="_x0000_i1045" style="width:415.3pt;height:1.5pt" o:hralign="center" o:hrstd="t" o:hr="t" fillcolor="#a0a0a0" stroked="f"/>
        </w:pict>
      </w:r>
    </w:p>
    <w:p w14:paraId="746F0E79" w14:textId="77777777" w:rsidR="008E7A10" w:rsidRDefault="008E7A10"/>
    <w:p w14:paraId="746F0E7A" w14:textId="77777777" w:rsidR="008E7A10" w:rsidRDefault="00E047B2">
      <w:hyperlink r:id="rId90" w:anchor="i31a624617c6c41b38f8f700fa0df5bde_7" w:history="1">
        <w:r>
          <w:rPr>
            <w:rStyle w:val="a5"/>
            <w:rFonts w:ascii="sans-serif" w:eastAsia="sans-serif" w:hAnsi="sans-serif" w:cs="sans-serif"/>
            <w:sz w:val="17"/>
            <w:szCs w:val="17"/>
          </w:rPr>
          <w:t>Table of C</w:t>
        </w:r>
        <w:r>
          <w:rPr>
            <w:rStyle w:val="a5"/>
            <w:rFonts w:ascii="sans-serif" w:eastAsia="sans-serif" w:hAnsi="sans-serif" w:cs="sans-serif"/>
            <w:sz w:val="17"/>
            <w:szCs w:val="17"/>
          </w:rPr>
          <w:t>ontents</w:t>
        </w:r>
      </w:hyperlink>
    </w:p>
    <w:p w14:paraId="746F0E7B" w14:textId="77777777" w:rsidR="008E7A10" w:rsidRDefault="008E7A10"/>
    <w:p w14:paraId="746F0E7C" w14:textId="77777777" w:rsidR="008E7A10" w:rsidRDefault="008E7A10"/>
    <w:tbl>
      <w:tblPr>
        <w:tblW w:w="4985" w:type="pct"/>
        <w:tblCellMar>
          <w:top w:w="15" w:type="dxa"/>
          <w:left w:w="15" w:type="dxa"/>
          <w:bottom w:w="15" w:type="dxa"/>
          <w:right w:w="15" w:type="dxa"/>
        </w:tblCellMar>
        <w:tblLook w:val="04A0" w:firstRow="1" w:lastRow="0" w:firstColumn="1" w:lastColumn="0" w:noHBand="0" w:noVBand="1"/>
      </w:tblPr>
      <w:tblGrid>
        <w:gridCol w:w="42"/>
        <w:gridCol w:w="1146"/>
        <w:gridCol w:w="39"/>
        <w:gridCol w:w="116"/>
        <w:gridCol w:w="614"/>
        <w:gridCol w:w="36"/>
        <w:gridCol w:w="116"/>
        <w:gridCol w:w="573"/>
        <w:gridCol w:w="36"/>
        <w:gridCol w:w="116"/>
        <w:gridCol w:w="600"/>
        <w:gridCol w:w="36"/>
        <w:gridCol w:w="116"/>
        <w:gridCol w:w="614"/>
        <w:gridCol w:w="36"/>
        <w:gridCol w:w="116"/>
        <w:gridCol w:w="672"/>
        <w:gridCol w:w="36"/>
        <w:gridCol w:w="115"/>
        <w:gridCol w:w="568"/>
        <w:gridCol w:w="36"/>
        <w:gridCol w:w="116"/>
        <w:gridCol w:w="700"/>
        <w:gridCol w:w="36"/>
        <w:gridCol w:w="116"/>
        <w:gridCol w:w="809"/>
        <w:gridCol w:w="36"/>
        <w:gridCol w:w="115"/>
        <w:gridCol w:w="568"/>
        <w:gridCol w:w="36"/>
      </w:tblGrid>
      <w:tr w:rsidR="008E7A10" w14:paraId="746F0E9B" w14:textId="77777777">
        <w:tc>
          <w:tcPr>
            <w:tcW w:w="50" w:type="pct"/>
            <w:shd w:val="clear" w:color="auto" w:fill="auto"/>
          </w:tcPr>
          <w:p w14:paraId="746F0E7D" w14:textId="77777777" w:rsidR="008E7A10" w:rsidRDefault="008E7A10">
            <w:pPr>
              <w:rPr>
                <w:rFonts w:ascii="宋体"/>
              </w:rPr>
            </w:pPr>
          </w:p>
        </w:tc>
        <w:tc>
          <w:tcPr>
            <w:tcW w:w="1129" w:type="pct"/>
            <w:shd w:val="clear" w:color="auto" w:fill="auto"/>
          </w:tcPr>
          <w:p w14:paraId="746F0E7E" w14:textId="77777777" w:rsidR="008E7A10" w:rsidRDefault="008E7A10">
            <w:pPr>
              <w:rPr>
                <w:rFonts w:ascii="宋体"/>
              </w:rPr>
            </w:pPr>
          </w:p>
        </w:tc>
        <w:tc>
          <w:tcPr>
            <w:tcW w:w="5" w:type="pct"/>
            <w:shd w:val="clear" w:color="auto" w:fill="auto"/>
          </w:tcPr>
          <w:p w14:paraId="746F0E7F" w14:textId="77777777" w:rsidR="008E7A10" w:rsidRDefault="008E7A10">
            <w:pPr>
              <w:rPr>
                <w:rFonts w:ascii="宋体"/>
              </w:rPr>
            </w:pPr>
          </w:p>
        </w:tc>
        <w:tc>
          <w:tcPr>
            <w:tcW w:w="50" w:type="pct"/>
            <w:shd w:val="clear" w:color="auto" w:fill="auto"/>
          </w:tcPr>
          <w:p w14:paraId="746F0E80" w14:textId="77777777" w:rsidR="008E7A10" w:rsidRDefault="008E7A10">
            <w:pPr>
              <w:rPr>
                <w:rFonts w:ascii="宋体"/>
              </w:rPr>
            </w:pPr>
          </w:p>
        </w:tc>
        <w:tc>
          <w:tcPr>
            <w:tcW w:w="355" w:type="pct"/>
            <w:shd w:val="clear" w:color="auto" w:fill="auto"/>
          </w:tcPr>
          <w:p w14:paraId="746F0E81" w14:textId="77777777" w:rsidR="008E7A10" w:rsidRDefault="008E7A10">
            <w:pPr>
              <w:rPr>
                <w:rFonts w:ascii="宋体"/>
              </w:rPr>
            </w:pPr>
          </w:p>
        </w:tc>
        <w:tc>
          <w:tcPr>
            <w:tcW w:w="5" w:type="pct"/>
            <w:shd w:val="clear" w:color="auto" w:fill="auto"/>
          </w:tcPr>
          <w:p w14:paraId="746F0E82" w14:textId="77777777" w:rsidR="008E7A10" w:rsidRDefault="008E7A10">
            <w:pPr>
              <w:rPr>
                <w:rFonts w:ascii="宋体"/>
              </w:rPr>
            </w:pPr>
          </w:p>
        </w:tc>
        <w:tc>
          <w:tcPr>
            <w:tcW w:w="50" w:type="pct"/>
            <w:shd w:val="clear" w:color="auto" w:fill="auto"/>
          </w:tcPr>
          <w:p w14:paraId="746F0E83" w14:textId="77777777" w:rsidR="008E7A10" w:rsidRDefault="008E7A10">
            <w:pPr>
              <w:rPr>
                <w:rFonts w:ascii="宋体"/>
              </w:rPr>
            </w:pPr>
          </w:p>
        </w:tc>
        <w:tc>
          <w:tcPr>
            <w:tcW w:w="355" w:type="pct"/>
            <w:shd w:val="clear" w:color="auto" w:fill="auto"/>
          </w:tcPr>
          <w:p w14:paraId="746F0E84" w14:textId="77777777" w:rsidR="008E7A10" w:rsidRDefault="008E7A10">
            <w:pPr>
              <w:rPr>
                <w:rFonts w:ascii="宋体"/>
              </w:rPr>
            </w:pPr>
          </w:p>
        </w:tc>
        <w:tc>
          <w:tcPr>
            <w:tcW w:w="5" w:type="pct"/>
            <w:shd w:val="clear" w:color="auto" w:fill="auto"/>
          </w:tcPr>
          <w:p w14:paraId="746F0E85" w14:textId="77777777" w:rsidR="008E7A10" w:rsidRDefault="008E7A10">
            <w:pPr>
              <w:rPr>
                <w:rFonts w:ascii="宋体"/>
              </w:rPr>
            </w:pPr>
          </w:p>
        </w:tc>
        <w:tc>
          <w:tcPr>
            <w:tcW w:w="50" w:type="pct"/>
            <w:shd w:val="clear" w:color="auto" w:fill="auto"/>
          </w:tcPr>
          <w:p w14:paraId="746F0E86" w14:textId="77777777" w:rsidR="008E7A10" w:rsidRDefault="008E7A10">
            <w:pPr>
              <w:rPr>
                <w:rFonts w:ascii="宋体"/>
              </w:rPr>
            </w:pPr>
          </w:p>
        </w:tc>
        <w:tc>
          <w:tcPr>
            <w:tcW w:w="355" w:type="pct"/>
            <w:shd w:val="clear" w:color="auto" w:fill="auto"/>
          </w:tcPr>
          <w:p w14:paraId="746F0E87" w14:textId="77777777" w:rsidR="008E7A10" w:rsidRDefault="008E7A10">
            <w:pPr>
              <w:rPr>
                <w:rFonts w:ascii="宋体"/>
              </w:rPr>
            </w:pPr>
          </w:p>
        </w:tc>
        <w:tc>
          <w:tcPr>
            <w:tcW w:w="5" w:type="pct"/>
            <w:shd w:val="clear" w:color="auto" w:fill="auto"/>
          </w:tcPr>
          <w:p w14:paraId="746F0E88" w14:textId="77777777" w:rsidR="008E7A10" w:rsidRDefault="008E7A10">
            <w:pPr>
              <w:rPr>
                <w:rFonts w:ascii="宋体"/>
              </w:rPr>
            </w:pPr>
          </w:p>
        </w:tc>
        <w:tc>
          <w:tcPr>
            <w:tcW w:w="50" w:type="pct"/>
            <w:shd w:val="clear" w:color="auto" w:fill="auto"/>
          </w:tcPr>
          <w:p w14:paraId="746F0E89" w14:textId="77777777" w:rsidR="008E7A10" w:rsidRDefault="008E7A10">
            <w:pPr>
              <w:rPr>
                <w:rFonts w:ascii="宋体"/>
              </w:rPr>
            </w:pPr>
          </w:p>
        </w:tc>
        <w:tc>
          <w:tcPr>
            <w:tcW w:w="355" w:type="pct"/>
            <w:shd w:val="clear" w:color="auto" w:fill="auto"/>
          </w:tcPr>
          <w:p w14:paraId="746F0E8A" w14:textId="77777777" w:rsidR="008E7A10" w:rsidRDefault="008E7A10">
            <w:pPr>
              <w:rPr>
                <w:rFonts w:ascii="宋体"/>
              </w:rPr>
            </w:pPr>
          </w:p>
        </w:tc>
        <w:tc>
          <w:tcPr>
            <w:tcW w:w="5" w:type="pct"/>
            <w:shd w:val="clear" w:color="auto" w:fill="auto"/>
          </w:tcPr>
          <w:p w14:paraId="746F0E8B" w14:textId="77777777" w:rsidR="008E7A10" w:rsidRDefault="008E7A10">
            <w:pPr>
              <w:rPr>
                <w:rFonts w:ascii="宋体"/>
              </w:rPr>
            </w:pPr>
          </w:p>
        </w:tc>
        <w:tc>
          <w:tcPr>
            <w:tcW w:w="50" w:type="pct"/>
            <w:shd w:val="clear" w:color="auto" w:fill="auto"/>
          </w:tcPr>
          <w:p w14:paraId="746F0E8C" w14:textId="77777777" w:rsidR="008E7A10" w:rsidRDefault="008E7A10">
            <w:pPr>
              <w:rPr>
                <w:rFonts w:ascii="宋体"/>
              </w:rPr>
            </w:pPr>
          </w:p>
        </w:tc>
        <w:tc>
          <w:tcPr>
            <w:tcW w:w="370" w:type="pct"/>
            <w:shd w:val="clear" w:color="auto" w:fill="auto"/>
          </w:tcPr>
          <w:p w14:paraId="746F0E8D" w14:textId="77777777" w:rsidR="008E7A10" w:rsidRDefault="008E7A10">
            <w:pPr>
              <w:rPr>
                <w:rFonts w:ascii="宋体"/>
              </w:rPr>
            </w:pPr>
          </w:p>
        </w:tc>
        <w:tc>
          <w:tcPr>
            <w:tcW w:w="5" w:type="pct"/>
            <w:shd w:val="clear" w:color="auto" w:fill="auto"/>
          </w:tcPr>
          <w:p w14:paraId="746F0E8E" w14:textId="77777777" w:rsidR="008E7A10" w:rsidRDefault="008E7A10">
            <w:pPr>
              <w:rPr>
                <w:rFonts w:ascii="宋体"/>
              </w:rPr>
            </w:pPr>
          </w:p>
        </w:tc>
        <w:tc>
          <w:tcPr>
            <w:tcW w:w="50" w:type="pct"/>
            <w:shd w:val="clear" w:color="auto" w:fill="auto"/>
          </w:tcPr>
          <w:p w14:paraId="746F0E8F" w14:textId="77777777" w:rsidR="008E7A10" w:rsidRDefault="008E7A10">
            <w:pPr>
              <w:rPr>
                <w:rFonts w:ascii="宋体"/>
              </w:rPr>
            </w:pPr>
          </w:p>
        </w:tc>
        <w:tc>
          <w:tcPr>
            <w:tcW w:w="355" w:type="pct"/>
            <w:shd w:val="clear" w:color="auto" w:fill="auto"/>
          </w:tcPr>
          <w:p w14:paraId="746F0E90" w14:textId="77777777" w:rsidR="008E7A10" w:rsidRDefault="008E7A10">
            <w:pPr>
              <w:rPr>
                <w:rFonts w:ascii="宋体"/>
              </w:rPr>
            </w:pPr>
          </w:p>
        </w:tc>
        <w:tc>
          <w:tcPr>
            <w:tcW w:w="5" w:type="pct"/>
            <w:shd w:val="clear" w:color="auto" w:fill="auto"/>
          </w:tcPr>
          <w:p w14:paraId="746F0E91" w14:textId="77777777" w:rsidR="008E7A10" w:rsidRDefault="008E7A10">
            <w:pPr>
              <w:rPr>
                <w:rFonts w:ascii="宋体"/>
              </w:rPr>
            </w:pPr>
          </w:p>
        </w:tc>
        <w:tc>
          <w:tcPr>
            <w:tcW w:w="50" w:type="pct"/>
            <w:shd w:val="clear" w:color="auto" w:fill="auto"/>
          </w:tcPr>
          <w:p w14:paraId="746F0E92" w14:textId="77777777" w:rsidR="008E7A10" w:rsidRDefault="008E7A10">
            <w:pPr>
              <w:rPr>
                <w:rFonts w:ascii="宋体"/>
              </w:rPr>
            </w:pPr>
          </w:p>
        </w:tc>
        <w:tc>
          <w:tcPr>
            <w:tcW w:w="386" w:type="pct"/>
            <w:shd w:val="clear" w:color="auto" w:fill="auto"/>
          </w:tcPr>
          <w:p w14:paraId="746F0E93" w14:textId="77777777" w:rsidR="008E7A10" w:rsidRDefault="008E7A10">
            <w:pPr>
              <w:rPr>
                <w:rFonts w:ascii="宋体"/>
              </w:rPr>
            </w:pPr>
          </w:p>
        </w:tc>
        <w:tc>
          <w:tcPr>
            <w:tcW w:w="5" w:type="pct"/>
            <w:shd w:val="clear" w:color="auto" w:fill="auto"/>
          </w:tcPr>
          <w:p w14:paraId="746F0E94" w14:textId="77777777" w:rsidR="008E7A10" w:rsidRDefault="008E7A10">
            <w:pPr>
              <w:rPr>
                <w:rFonts w:ascii="宋体"/>
              </w:rPr>
            </w:pPr>
          </w:p>
        </w:tc>
        <w:tc>
          <w:tcPr>
            <w:tcW w:w="50" w:type="pct"/>
            <w:shd w:val="clear" w:color="auto" w:fill="auto"/>
          </w:tcPr>
          <w:p w14:paraId="746F0E95" w14:textId="77777777" w:rsidR="008E7A10" w:rsidRDefault="008E7A10">
            <w:pPr>
              <w:rPr>
                <w:rFonts w:ascii="宋体"/>
              </w:rPr>
            </w:pPr>
          </w:p>
        </w:tc>
        <w:tc>
          <w:tcPr>
            <w:tcW w:w="432" w:type="pct"/>
            <w:shd w:val="clear" w:color="auto" w:fill="auto"/>
          </w:tcPr>
          <w:p w14:paraId="746F0E96" w14:textId="77777777" w:rsidR="008E7A10" w:rsidRDefault="008E7A10">
            <w:pPr>
              <w:rPr>
                <w:rFonts w:ascii="宋体"/>
              </w:rPr>
            </w:pPr>
          </w:p>
        </w:tc>
        <w:tc>
          <w:tcPr>
            <w:tcW w:w="5" w:type="pct"/>
            <w:shd w:val="clear" w:color="auto" w:fill="auto"/>
          </w:tcPr>
          <w:p w14:paraId="746F0E97" w14:textId="77777777" w:rsidR="008E7A10" w:rsidRDefault="008E7A10">
            <w:pPr>
              <w:rPr>
                <w:rFonts w:ascii="宋体"/>
              </w:rPr>
            </w:pPr>
          </w:p>
        </w:tc>
        <w:tc>
          <w:tcPr>
            <w:tcW w:w="50" w:type="pct"/>
            <w:shd w:val="clear" w:color="auto" w:fill="auto"/>
          </w:tcPr>
          <w:p w14:paraId="746F0E98" w14:textId="77777777" w:rsidR="008E7A10" w:rsidRDefault="008E7A10">
            <w:pPr>
              <w:rPr>
                <w:rFonts w:ascii="宋体"/>
              </w:rPr>
            </w:pPr>
          </w:p>
        </w:tc>
        <w:tc>
          <w:tcPr>
            <w:tcW w:w="355" w:type="pct"/>
            <w:shd w:val="clear" w:color="auto" w:fill="auto"/>
          </w:tcPr>
          <w:p w14:paraId="746F0E99" w14:textId="77777777" w:rsidR="008E7A10" w:rsidRDefault="008E7A10">
            <w:pPr>
              <w:rPr>
                <w:rFonts w:ascii="宋体"/>
              </w:rPr>
            </w:pPr>
          </w:p>
        </w:tc>
        <w:tc>
          <w:tcPr>
            <w:tcW w:w="5" w:type="pct"/>
            <w:shd w:val="clear" w:color="auto" w:fill="auto"/>
          </w:tcPr>
          <w:p w14:paraId="746F0E9A" w14:textId="77777777" w:rsidR="008E7A10" w:rsidRDefault="008E7A10">
            <w:pPr>
              <w:rPr>
                <w:rFonts w:ascii="宋体"/>
              </w:rPr>
            </w:pPr>
          </w:p>
        </w:tc>
      </w:tr>
      <w:tr w:rsidR="008E7A10" w14:paraId="746F0E9E" w14:textId="77777777">
        <w:tc>
          <w:tcPr>
            <w:tcW w:w="0" w:type="auto"/>
            <w:gridSpan w:val="3"/>
            <w:shd w:val="clear" w:color="auto" w:fill="auto"/>
            <w:tcMar>
              <w:top w:w="0" w:type="dxa"/>
              <w:left w:w="20" w:type="dxa"/>
              <w:bottom w:w="0" w:type="dxa"/>
              <w:right w:w="20" w:type="dxa"/>
            </w:tcMar>
          </w:tcPr>
          <w:p w14:paraId="746F0E9C" w14:textId="77777777" w:rsidR="008E7A10" w:rsidRDefault="008E7A10">
            <w:pPr>
              <w:rPr>
                <w:rFonts w:ascii="宋体"/>
              </w:rPr>
            </w:pPr>
          </w:p>
        </w:tc>
        <w:tc>
          <w:tcPr>
            <w:tcW w:w="0" w:type="auto"/>
            <w:gridSpan w:val="27"/>
            <w:shd w:val="clear" w:color="auto" w:fill="auto"/>
            <w:tcMar>
              <w:top w:w="40" w:type="dxa"/>
              <w:left w:w="20" w:type="dxa"/>
              <w:bottom w:w="40" w:type="dxa"/>
              <w:right w:w="20" w:type="dxa"/>
            </w:tcMar>
            <w:vAlign w:val="bottom"/>
          </w:tcPr>
          <w:p w14:paraId="746F0E9D" w14:textId="77777777" w:rsidR="008E7A10" w:rsidRDefault="00E047B2">
            <w:pPr>
              <w:jc w:val="center"/>
              <w:textAlignment w:val="bottom"/>
            </w:pPr>
            <w:r>
              <w:rPr>
                <w:rFonts w:ascii="sans-serif" w:eastAsia="sans-serif" w:hAnsi="sans-serif" w:cs="sans-serif"/>
                <w:b/>
                <w:bCs/>
                <w:color w:val="000000"/>
                <w:sz w:val="17"/>
                <w:szCs w:val="17"/>
              </w:rPr>
              <w:t>SIX MONTHS ENDED NOVEMBER 30, 2020</w:t>
            </w:r>
          </w:p>
        </w:tc>
      </w:tr>
      <w:tr w:rsidR="008E7A10" w14:paraId="746F0EA9" w14:textId="77777777">
        <w:tc>
          <w:tcPr>
            <w:tcW w:w="0" w:type="auto"/>
            <w:gridSpan w:val="3"/>
            <w:shd w:val="clear" w:color="auto" w:fill="auto"/>
            <w:tcMar>
              <w:top w:w="40" w:type="dxa"/>
              <w:left w:w="20" w:type="dxa"/>
              <w:bottom w:w="40" w:type="dxa"/>
              <w:right w:w="20" w:type="dxa"/>
            </w:tcMar>
            <w:vAlign w:val="bottom"/>
          </w:tcPr>
          <w:p w14:paraId="746F0E9F"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EA0" w14:textId="77777777" w:rsidR="008E7A10" w:rsidRDefault="00E047B2">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EA1" w14:textId="77777777" w:rsidR="008E7A10" w:rsidRDefault="00E047B2">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EA2" w14:textId="77777777" w:rsidR="008E7A10" w:rsidRDefault="00E047B2">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EA3" w14:textId="77777777" w:rsidR="008E7A10" w:rsidRDefault="00E047B2">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EA4" w14:textId="77777777" w:rsidR="008E7A10" w:rsidRDefault="00E047B2">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EA5" w14:textId="77777777" w:rsidR="008E7A10" w:rsidRDefault="00E047B2">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EA6" w14:textId="77777777" w:rsidR="008E7A10" w:rsidRDefault="00E047B2">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EA7" w14:textId="77777777" w:rsidR="008E7A10" w:rsidRDefault="00E047B2">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EA8" w14:textId="77777777" w:rsidR="008E7A10" w:rsidRDefault="00E047B2">
            <w:pPr>
              <w:jc w:val="right"/>
              <w:textAlignment w:val="bottom"/>
            </w:pPr>
            <w:r>
              <w:rPr>
                <w:rFonts w:ascii="sans-serif" w:eastAsia="sans-serif" w:hAnsi="sans-serif" w:cs="sans-serif"/>
                <w:b/>
                <w:bCs/>
                <w:color w:val="000000"/>
                <w:sz w:val="17"/>
                <w:szCs w:val="17"/>
              </w:rPr>
              <w:t>TOTAL NIKE, INC.</w:t>
            </w:r>
          </w:p>
        </w:tc>
      </w:tr>
      <w:tr w:rsidR="008E7A10" w14:paraId="746F0EB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EAA"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746F0EAB"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EAC"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EAD"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EAE"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EAF"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EB0"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EB1"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EB2"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EB3" w14:textId="77777777" w:rsidR="008E7A10" w:rsidRDefault="008E7A10">
            <w:pPr>
              <w:rPr>
                <w:rFonts w:ascii="宋体"/>
              </w:rPr>
            </w:pPr>
          </w:p>
        </w:tc>
      </w:tr>
      <w:tr w:rsidR="008E7A10" w14:paraId="746F0ED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EB5" w14:textId="77777777" w:rsidR="008E7A10" w:rsidRDefault="00E047B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EB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EB7" w14:textId="77777777" w:rsidR="008E7A10" w:rsidRDefault="00E047B2">
            <w:pPr>
              <w:jc w:val="right"/>
              <w:textAlignment w:val="bottom"/>
            </w:pPr>
            <w:r>
              <w:rPr>
                <w:rFonts w:ascii="Arial" w:eastAsia="宋体" w:hAnsi="Arial" w:cs="Arial"/>
                <w:color w:val="000000"/>
                <w:sz w:val="17"/>
                <w:szCs w:val="17"/>
              </w:rPr>
              <w:t>5,469 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B8"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EB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EBA" w14:textId="77777777" w:rsidR="008E7A10" w:rsidRDefault="00E047B2">
            <w:pPr>
              <w:jc w:val="right"/>
              <w:textAlignment w:val="bottom"/>
            </w:pPr>
            <w:r>
              <w:rPr>
                <w:rFonts w:ascii="Arial" w:eastAsia="宋体" w:hAnsi="Arial" w:cs="Arial"/>
                <w:color w:val="000000"/>
                <w:sz w:val="17"/>
                <w:szCs w:val="17"/>
              </w:rPr>
              <w:t>3,533 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BB"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EB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EBD" w14:textId="77777777" w:rsidR="008E7A10" w:rsidRDefault="00E047B2">
            <w:pPr>
              <w:jc w:val="right"/>
              <w:textAlignment w:val="bottom"/>
            </w:pPr>
            <w:r>
              <w:rPr>
                <w:rFonts w:ascii="Arial" w:eastAsia="宋体" w:hAnsi="Arial" w:cs="Arial"/>
                <w:color w:val="000000"/>
                <w:sz w:val="17"/>
                <w:szCs w:val="17"/>
              </w:rPr>
              <w:t>2,818 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BE"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EB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EC0" w14:textId="77777777" w:rsidR="008E7A10" w:rsidRDefault="00E047B2">
            <w:pPr>
              <w:jc w:val="right"/>
              <w:textAlignment w:val="bottom"/>
            </w:pPr>
            <w:r>
              <w:rPr>
                <w:rFonts w:ascii="Arial" w:eastAsia="宋体" w:hAnsi="Arial" w:cs="Arial"/>
                <w:color w:val="000000"/>
                <w:sz w:val="17"/>
                <w:szCs w:val="17"/>
              </w:rPr>
              <w:t>1,749 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C1"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EC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EC3"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C4"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EC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EC6" w14:textId="77777777" w:rsidR="008E7A10" w:rsidRDefault="00E047B2">
            <w:pPr>
              <w:jc w:val="right"/>
              <w:textAlignment w:val="bottom"/>
            </w:pPr>
            <w:r>
              <w:rPr>
                <w:rFonts w:ascii="Arial" w:eastAsia="宋体" w:hAnsi="Arial" w:cs="Arial"/>
                <w:color w:val="000000"/>
                <w:sz w:val="17"/>
                <w:szCs w:val="17"/>
              </w:rPr>
              <w:t>13,569 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C7"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EC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EC9" w14:textId="77777777" w:rsidR="008E7A10" w:rsidRDefault="00E047B2">
            <w:pPr>
              <w:jc w:val="right"/>
              <w:textAlignment w:val="bottom"/>
            </w:pPr>
            <w:r>
              <w:rPr>
                <w:rFonts w:ascii="Arial" w:eastAsia="宋体" w:hAnsi="Arial" w:cs="Arial"/>
                <w:color w:val="000000"/>
                <w:sz w:val="17"/>
                <w:szCs w:val="17"/>
              </w:rPr>
              <w:t>929 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CA"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EC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ECC"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CD"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EC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ECF" w14:textId="77777777" w:rsidR="008E7A10" w:rsidRDefault="00E047B2">
            <w:pPr>
              <w:jc w:val="right"/>
              <w:textAlignment w:val="bottom"/>
            </w:pPr>
            <w:r>
              <w:rPr>
                <w:rFonts w:ascii="Arial" w:eastAsia="宋体" w:hAnsi="Arial" w:cs="Arial"/>
                <w:color w:val="000000"/>
                <w:sz w:val="17"/>
                <w:szCs w:val="17"/>
              </w:rPr>
              <w:t>14,498 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D0" w14:textId="77777777" w:rsidR="008E7A10" w:rsidRDefault="008E7A10">
            <w:pPr>
              <w:jc w:val="right"/>
              <w:rPr>
                <w:rFonts w:ascii="宋体"/>
              </w:rPr>
            </w:pPr>
          </w:p>
        </w:tc>
      </w:tr>
      <w:tr w:rsidR="008E7A10" w14:paraId="746F0EE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ED2" w14:textId="77777777" w:rsidR="008E7A10" w:rsidRDefault="00E047B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D3" w14:textId="77777777" w:rsidR="008E7A10" w:rsidRDefault="00E047B2">
            <w:pPr>
              <w:jc w:val="right"/>
              <w:textAlignment w:val="bottom"/>
            </w:pPr>
            <w:r>
              <w:rPr>
                <w:rFonts w:ascii="Arial" w:eastAsia="宋体" w:hAnsi="Arial" w:cs="Arial"/>
                <w:color w:val="000000"/>
                <w:sz w:val="17"/>
                <w:szCs w:val="17"/>
              </w:rPr>
              <w:t>2,493 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D4"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D5" w14:textId="77777777" w:rsidR="008E7A10" w:rsidRDefault="00E047B2">
            <w:pPr>
              <w:jc w:val="right"/>
              <w:textAlignment w:val="bottom"/>
            </w:pPr>
            <w:r>
              <w:rPr>
                <w:rFonts w:ascii="Arial" w:eastAsia="宋体" w:hAnsi="Arial" w:cs="Arial"/>
                <w:color w:val="000000"/>
                <w:sz w:val="17"/>
                <w:szCs w:val="17"/>
              </w:rPr>
              <w:t>2,075 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D6"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D7" w14:textId="77777777" w:rsidR="008E7A10" w:rsidRDefault="00E047B2">
            <w:pPr>
              <w:jc w:val="right"/>
              <w:textAlignment w:val="bottom"/>
            </w:pPr>
            <w:r>
              <w:rPr>
                <w:rFonts w:ascii="Arial" w:eastAsia="宋体" w:hAnsi="Arial" w:cs="Arial"/>
                <w:color w:val="000000"/>
                <w:sz w:val="17"/>
                <w:szCs w:val="17"/>
              </w:rPr>
              <w:t>1,159 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D8"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D9" w14:textId="77777777" w:rsidR="008E7A10" w:rsidRDefault="00E047B2">
            <w:pPr>
              <w:jc w:val="right"/>
              <w:textAlignment w:val="bottom"/>
            </w:pPr>
            <w:r>
              <w:rPr>
                <w:rFonts w:ascii="Arial" w:eastAsia="宋体" w:hAnsi="Arial" w:cs="Arial"/>
                <w:color w:val="000000"/>
                <w:sz w:val="17"/>
                <w:szCs w:val="17"/>
              </w:rPr>
              <w:t>733 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DA"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D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DC"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DD" w14:textId="77777777" w:rsidR="008E7A10" w:rsidRDefault="00E047B2">
            <w:pPr>
              <w:jc w:val="right"/>
              <w:textAlignment w:val="bottom"/>
            </w:pPr>
            <w:r>
              <w:rPr>
                <w:rFonts w:ascii="Arial" w:eastAsia="宋体" w:hAnsi="Arial" w:cs="Arial"/>
                <w:color w:val="000000"/>
                <w:sz w:val="17"/>
                <w:szCs w:val="17"/>
              </w:rPr>
              <w:t>6,460 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DE"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DF" w14:textId="77777777" w:rsidR="008E7A10" w:rsidRDefault="00E047B2">
            <w:pPr>
              <w:jc w:val="right"/>
              <w:textAlignment w:val="bottom"/>
            </w:pPr>
            <w:r>
              <w:rPr>
                <w:rFonts w:ascii="Arial" w:eastAsia="宋体" w:hAnsi="Arial" w:cs="Arial"/>
                <w:color w:val="000000"/>
                <w:sz w:val="17"/>
                <w:szCs w:val="17"/>
              </w:rPr>
              <w:t>54 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E0"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E1"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E2"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E3" w14:textId="77777777" w:rsidR="008E7A10" w:rsidRDefault="00E047B2">
            <w:pPr>
              <w:jc w:val="right"/>
              <w:textAlignment w:val="bottom"/>
            </w:pPr>
            <w:r>
              <w:rPr>
                <w:rFonts w:ascii="Arial" w:eastAsia="宋体" w:hAnsi="Arial" w:cs="Arial"/>
                <w:color w:val="000000"/>
                <w:sz w:val="17"/>
                <w:szCs w:val="17"/>
              </w:rPr>
              <w:t>6,514 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E4" w14:textId="77777777" w:rsidR="008E7A10" w:rsidRDefault="008E7A10">
            <w:pPr>
              <w:jc w:val="right"/>
              <w:rPr>
                <w:rFonts w:ascii="宋体"/>
              </w:rPr>
            </w:pPr>
          </w:p>
        </w:tc>
      </w:tr>
      <w:tr w:rsidR="008E7A10" w14:paraId="746F0EF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EE6" w14:textId="77777777" w:rsidR="008E7A10" w:rsidRDefault="00E047B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E7" w14:textId="77777777" w:rsidR="008E7A10" w:rsidRDefault="00E047B2">
            <w:pPr>
              <w:jc w:val="right"/>
              <w:textAlignment w:val="bottom"/>
            </w:pPr>
            <w:r>
              <w:rPr>
                <w:rFonts w:ascii="Arial" w:eastAsia="宋体" w:hAnsi="Arial" w:cs="Arial"/>
                <w:color w:val="000000"/>
                <w:sz w:val="17"/>
                <w:szCs w:val="17"/>
              </w:rPr>
              <w:t>269 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E8"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E9" w14:textId="77777777" w:rsidR="008E7A10" w:rsidRDefault="00E047B2">
            <w:pPr>
              <w:jc w:val="right"/>
              <w:textAlignment w:val="bottom"/>
            </w:pPr>
            <w:r>
              <w:rPr>
                <w:rFonts w:ascii="Arial" w:eastAsia="宋体" w:hAnsi="Arial" w:cs="Arial"/>
                <w:color w:val="000000"/>
                <w:sz w:val="17"/>
                <w:szCs w:val="17"/>
              </w:rPr>
              <w:t>260 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EA"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EB" w14:textId="77777777" w:rsidR="008E7A10" w:rsidRDefault="00E047B2">
            <w:pPr>
              <w:jc w:val="right"/>
              <w:textAlignment w:val="bottom"/>
            </w:pPr>
            <w:r>
              <w:rPr>
                <w:rFonts w:ascii="Arial" w:eastAsia="宋体" w:hAnsi="Arial" w:cs="Arial"/>
                <w:color w:val="000000"/>
                <w:sz w:val="17"/>
                <w:szCs w:val="17"/>
              </w:rPr>
              <w:t>101 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EC"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ED" w14:textId="77777777" w:rsidR="008E7A10" w:rsidRDefault="00E047B2">
            <w:pPr>
              <w:jc w:val="right"/>
              <w:textAlignment w:val="bottom"/>
            </w:pPr>
            <w:r>
              <w:rPr>
                <w:rFonts w:ascii="Arial" w:eastAsia="宋体" w:hAnsi="Arial" w:cs="Arial"/>
                <w:color w:val="000000"/>
                <w:sz w:val="17"/>
                <w:szCs w:val="17"/>
              </w:rPr>
              <w:t>88 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EE"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E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F0"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F1" w14:textId="77777777" w:rsidR="008E7A10" w:rsidRDefault="00E047B2">
            <w:pPr>
              <w:jc w:val="right"/>
              <w:textAlignment w:val="bottom"/>
            </w:pPr>
            <w:r>
              <w:rPr>
                <w:rFonts w:ascii="Arial" w:eastAsia="宋体" w:hAnsi="Arial" w:cs="Arial"/>
                <w:color w:val="000000"/>
                <w:sz w:val="17"/>
                <w:szCs w:val="17"/>
              </w:rPr>
              <w:t>718 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F2"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F3"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F4"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F5"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F6"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F7" w14:textId="77777777" w:rsidR="008E7A10" w:rsidRDefault="00E047B2">
            <w:pPr>
              <w:jc w:val="right"/>
              <w:textAlignment w:val="bottom"/>
            </w:pPr>
            <w:r>
              <w:rPr>
                <w:rFonts w:ascii="Arial" w:eastAsia="宋体" w:hAnsi="Arial" w:cs="Arial"/>
                <w:color w:val="000000"/>
                <w:sz w:val="17"/>
                <w:szCs w:val="17"/>
              </w:rPr>
              <w:t>734 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F8" w14:textId="77777777" w:rsidR="008E7A10" w:rsidRDefault="008E7A10">
            <w:pPr>
              <w:jc w:val="right"/>
              <w:rPr>
                <w:rFonts w:ascii="宋体"/>
              </w:rPr>
            </w:pPr>
          </w:p>
        </w:tc>
      </w:tr>
      <w:tr w:rsidR="008E7A10" w14:paraId="746F0F0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EFA" w14:textId="77777777" w:rsidR="008E7A10" w:rsidRDefault="00E047B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F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FC"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F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EFE"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EF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00"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01"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02"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03"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04"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05"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06"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07"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08"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09" w14:textId="77777777" w:rsidR="008E7A10" w:rsidRDefault="00E047B2">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0A"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0B" w14:textId="77777777" w:rsidR="008E7A10" w:rsidRDefault="00E047B2">
            <w:pPr>
              <w:jc w:val="right"/>
              <w:textAlignment w:val="bottom"/>
            </w:pPr>
            <w:r>
              <w:rPr>
                <w:rFonts w:ascii="Arial" w:eastAsia="宋体" w:hAnsi="Arial" w:cs="Arial"/>
                <w:color w:val="000000"/>
                <w:sz w:val="17"/>
                <w:szCs w:val="17"/>
              </w:rPr>
              <w:t>91 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0C" w14:textId="77777777" w:rsidR="008E7A10" w:rsidRDefault="008E7A10">
            <w:pPr>
              <w:jc w:val="right"/>
              <w:rPr>
                <w:rFonts w:ascii="宋体"/>
              </w:rPr>
            </w:pPr>
          </w:p>
        </w:tc>
      </w:tr>
      <w:tr w:rsidR="008E7A10" w14:paraId="746F0F2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0E"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0F0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F10" w14:textId="77777777" w:rsidR="008E7A10" w:rsidRDefault="00E047B2">
            <w:pPr>
              <w:jc w:val="right"/>
              <w:textAlignment w:val="bottom"/>
            </w:pPr>
            <w:r>
              <w:rPr>
                <w:rFonts w:ascii="Arial" w:eastAsia="宋体" w:hAnsi="Arial" w:cs="Arial"/>
                <w:b/>
                <w:bCs/>
                <w:color w:val="000000"/>
                <w:sz w:val="17"/>
                <w:szCs w:val="17"/>
              </w:rPr>
              <w:t>8,231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F11"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F1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F13" w14:textId="77777777" w:rsidR="008E7A10" w:rsidRDefault="00E047B2">
            <w:pPr>
              <w:jc w:val="right"/>
              <w:textAlignment w:val="bottom"/>
            </w:pPr>
            <w:r>
              <w:rPr>
                <w:rFonts w:ascii="Arial" w:eastAsia="宋体" w:hAnsi="Arial" w:cs="Arial"/>
                <w:b/>
                <w:bCs/>
                <w:color w:val="000000"/>
                <w:sz w:val="17"/>
                <w:szCs w:val="17"/>
              </w:rPr>
              <w:t>5,868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F14"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F1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F16" w14:textId="77777777" w:rsidR="008E7A10" w:rsidRDefault="00E047B2">
            <w:pPr>
              <w:jc w:val="right"/>
              <w:textAlignment w:val="bottom"/>
            </w:pPr>
            <w:r>
              <w:rPr>
                <w:rFonts w:ascii="Arial" w:eastAsia="宋体" w:hAnsi="Arial" w:cs="Arial"/>
                <w:b/>
                <w:bCs/>
                <w:color w:val="000000"/>
                <w:sz w:val="17"/>
                <w:szCs w:val="17"/>
              </w:rPr>
              <w:t>4,078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F17"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F1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F19" w14:textId="77777777" w:rsidR="008E7A10" w:rsidRDefault="00E047B2">
            <w:pPr>
              <w:jc w:val="right"/>
              <w:textAlignment w:val="bottom"/>
            </w:pPr>
            <w:r>
              <w:rPr>
                <w:rFonts w:ascii="Arial" w:eastAsia="宋体" w:hAnsi="Arial" w:cs="Arial"/>
                <w:b/>
                <w:bCs/>
                <w:color w:val="000000"/>
                <w:sz w:val="17"/>
                <w:szCs w:val="17"/>
              </w:rPr>
              <w:t>2,570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F1A"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F1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F1C" w14:textId="77777777" w:rsidR="008E7A10" w:rsidRDefault="00E047B2">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F1D"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F1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F1F" w14:textId="77777777" w:rsidR="008E7A10" w:rsidRDefault="00E047B2">
            <w:pPr>
              <w:jc w:val="right"/>
              <w:textAlignment w:val="bottom"/>
            </w:pPr>
            <w:r>
              <w:rPr>
                <w:rFonts w:ascii="Arial" w:eastAsia="宋体" w:hAnsi="Arial" w:cs="Arial"/>
                <w:b/>
                <w:bCs/>
                <w:color w:val="000000"/>
                <w:sz w:val="17"/>
                <w:szCs w:val="17"/>
              </w:rPr>
              <w:t>20,759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F20"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F2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F22" w14:textId="77777777" w:rsidR="008E7A10" w:rsidRDefault="00E047B2">
            <w:pPr>
              <w:jc w:val="right"/>
              <w:textAlignment w:val="bottom"/>
            </w:pPr>
            <w:r>
              <w:rPr>
                <w:rFonts w:ascii="Arial" w:eastAsia="宋体" w:hAnsi="Arial" w:cs="Arial"/>
                <w:b/>
                <w:bCs/>
                <w:color w:val="000000"/>
                <w:sz w:val="17"/>
                <w:szCs w:val="17"/>
              </w:rPr>
              <w:t>1,039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F23"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F2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F25" w14:textId="77777777" w:rsidR="008E7A10" w:rsidRDefault="00E047B2">
            <w:pPr>
              <w:jc w:val="right"/>
              <w:textAlignment w:val="bottom"/>
            </w:pPr>
            <w:r>
              <w:rPr>
                <w:rFonts w:ascii="Arial" w:eastAsia="宋体" w:hAnsi="Arial" w:cs="Arial"/>
                <w:b/>
                <w:bCs/>
                <w:color w:val="000000"/>
                <w:sz w:val="17"/>
                <w:szCs w:val="17"/>
              </w:rPr>
              <w:t>39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F26" w14:textId="77777777" w:rsidR="008E7A10" w:rsidRDefault="008E7A10">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0F2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0F28" w14:textId="77777777" w:rsidR="008E7A10" w:rsidRDefault="00E047B2">
            <w:pPr>
              <w:jc w:val="right"/>
              <w:textAlignment w:val="bottom"/>
            </w:pPr>
            <w:r>
              <w:rPr>
                <w:rFonts w:ascii="Arial" w:eastAsia="宋体" w:hAnsi="Arial" w:cs="Arial"/>
                <w:b/>
                <w:bCs/>
                <w:color w:val="000000"/>
                <w:sz w:val="17"/>
                <w:szCs w:val="17"/>
              </w:rPr>
              <w:t>21,837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0F29" w14:textId="77777777" w:rsidR="008E7A10" w:rsidRDefault="008E7A10">
            <w:pPr>
              <w:jc w:val="right"/>
              <w:rPr>
                <w:rFonts w:ascii="宋体"/>
              </w:rPr>
            </w:pPr>
          </w:p>
        </w:tc>
      </w:tr>
      <w:tr w:rsidR="008E7A10" w14:paraId="746F0F3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2B"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746F0F2C"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F2D"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F2E"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F2F"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F30"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F31"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F32"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F33"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0F34" w14:textId="77777777" w:rsidR="008E7A10" w:rsidRDefault="008E7A10">
            <w:pPr>
              <w:rPr>
                <w:rFonts w:ascii="宋体"/>
              </w:rPr>
            </w:pPr>
          </w:p>
        </w:tc>
      </w:tr>
      <w:tr w:rsidR="008E7A10" w14:paraId="746F0F52"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F36" w14:textId="77777777" w:rsidR="008E7A10" w:rsidRDefault="00E047B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0F3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F38" w14:textId="77777777" w:rsidR="008E7A10" w:rsidRDefault="00E047B2">
            <w:pPr>
              <w:jc w:val="right"/>
              <w:textAlignment w:val="bottom"/>
            </w:pPr>
            <w:r>
              <w:rPr>
                <w:rFonts w:ascii="Arial" w:eastAsia="宋体" w:hAnsi="Arial" w:cs="Arial"/>
                <w:color w:val="000000"/>
                <w:sz w:val="17"/>
                <w:szCs w:val="17"/>
              </w:rPr>
              <w:t>5,073 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39"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F3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F3B" w14:textId="77777777" w:rsidR="008E7A10" w:rsidRDefault="00E047B2">
            <w:pPr>
              <w:jc w:val="right"/>
              <w:textAlignment w:val="bottom"/>
            </w:pPr>
            <w:r>
              <w:rPr>
                <w:rFonts w:ascii="Arial" w:eastAsia="宋体" w:hAnsi="Arial" w:cs="Arial"/>
                <w:color w:val="000000"/>
                <w:sz w:val="17"/>
                <w:szCs w:val="17"/>
              </w:rPr>
              <w:t>3,958 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3C"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F3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F3E" w14:textId="77777777" w:rsidR="008E7A10" w:rsidRDefault="00E047B2">
            <w:pPr>
              <w:jc w:val="right"/>
              <w:textAlignment w:val="bottom"/>
            </w:pPr>
            <w:r>
              <w:rPr>
                <w:rFonts w:ascii="Arial" w:eastAsia="宋体" w:hAnsi="Arial" w:cs="Arial"/>
                <w:color w:val="000000"/>
                <w:sz w:val="17"/>
                <w:szCs w:val="17"/>
              </w:rPr>
              <w:t>2,123 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3F"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F4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F41" w14:textId="77777777" w:rsidR="008E7A10" w:rsidRDefault="00E047B2">
            <w:pPr>
              <w:jc w:val="right"/>
              <w:textAlignment w:val="bottom"/>
            </w:pPr>
            <w:r>
              <w:rPr>
                <w:rFonts w:ascii="Arial" w:eastAsia="宋体" w:hAnsi="Arial" w:cs="Arial"/>
                <w:color w:val="000000"/>
                <w:sz w:val="17"/>
                <w:szCs w:val="17"/>
              </w:rPr>
              <w:t>1,633 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42"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F43"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F44"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45"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F4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F47" w14:textId="77777777" w:rsidR="008E7A10" w:rsidRDefault="00E047B2">
            <w:pPr>
              <w:jc w:val="right"/>
              <w:textAlignment w:val="bottom"/>
            </w:pPr>
            <w:r>
              <w:rPr>
                <w:rFonts w:ascii="Arial" w:eastAsia="宋体" w:hAnsi="Arial" w:cs="Arial"/>
                <w:color w:val="000000"/>
                <w:sz w:val="17"/>
                <w:szCs w:val="17"/>
              </w:rPr>
              <w:t>12,787 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48"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F4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F4A" w14:textId="77777777" w:rsidR="008E7A10" w:rsidRDefault="00E047B2">
            <w:pPr>
              <w:jc w:val="right"/>
              <w:textAlignment w:val="bottom"/>
            </w:pPr>
            <w:r>
              <w:rPr>
                <w:rFonts w:ascii="Arial" w:eastAsia="宋体" w:hAnsi="Arial" w:cs="Arial"/>
                <w:color w:val="000000"/>
                <w:sz w:val="17"/>
                <w:szCs w:val="17"/>
              </w:rPr>
              <w:t>632 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4B"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F4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F4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4E" w14:textId="77777777" w:rsidR="008E7A10" w:rsidRDefault="008E7A10">
            <w:pPr>
              <w:jc w:val="right"/>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0F4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0F50" w14:textId="77777777" w:rsidR="008E7A10" w:rsidRDefault="00E047B2">
            <w:pPr>
              <w:jc w:val="right"/>
              <w:textAlignment w:val="bottom"/>
            </w:pPr>
            <w:r>
              <w:rPr>
                <w:rFonts w:ascii="Arial" w:eastAsia="宋体" w:hAnsi="Arial" w:cs="Arial"/>
                <w:color w:val="000000"/>
                <w:sz w:val="17"/>
                <w:szCs w:val="17"/>
              </w:rPr>
              <w:t>13,419 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51" w14:textId="77777777" w:rsidR="008E7A10" w:rsidRDefault="008E7A10">
            <w:pPr>
              <w:jc w:val="right"/>
              <w:rPr>
                <w:rFonts w:ascii="宋体"/>
              </w:rPr>
            </w:pPr>
          </w:p>
        </w:tc>
      </w:tr>
      <w:tr w:rsidR="008E7A10" w14:paraId="746F0F6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F53" w14:textId="77777777" w:rsidR="008E7A10" w:rsidRDefault="00E047B2">
            <w:pPr>
              <w:textAlignment w:val="bottom"/>
            </w:pPr>
            <w:r>
              <w:rPr>
                <w:rFonts w:ascii="Arial" w:eastAsia="宋体" w:hAnsi="Arial" w:cs="Arial"/>
                <w:color w:val="000000"/>
                <w:sz w:val="17"/>
                <w:szCs w:val="17"/>
              </w:rPr>
              <w:t>Sales through Direct to Consumer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54" w14:textId="77777777" w:rsidR="008E7A10" w:rsidRDefault="00E047B2">
            <w:pPr>
              <w:jc w:val="right"/>
              <w:textAlignment w:val="bottom"/>
            </w:pPr>
            <w:r>
              <w:rPr>
                <w:rFonts w:ascii="Arial" w:eastAsia="宋体" w:hAnsi="Arial" w:cs="Arial"/>
                <w:color w:val="000000"/>
                <w:sz w:val="17"/>
                <w:szCs w:val="17"/>
              </w:rPr>
              <w:t>3,158 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55"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56" w14:textId="77777777" w:rsidR="008E7A10" w:rsidRDefault="00E047B2">
            <w:pPr>
              <w:jc w:val="right"/>
              <w:textAlignment w:val="bottom"/>
            </w:pPr>
            <w:r>
              <w:rPr>
                <w:rFonts w:ascii="Arial" w:eastAsia="宋体" w:hAnsi="Arial" w:cs="Arial"/>
                <w:color w:val="000000"/>
                <w:sz w:val="17"/>
                <w:szCs w:val="17"/>
              </w:rPr>
              <w:t>1,910 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57"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58" w14:textId="77777777" w:rsidR="008E7A10" w:rsidRDefault="00E047B2">
            <w:pPr>
              <w:jc w:val="right"/>
              <w:textAlignment w:val="bottom"/>
            </w:pPr>
            <w:r>
              <w:rPr>
                <w:rFonts w:ascii="Arial" w:eastAsia="宋体" w:hAnsi="Arial" w:cs="Arial"/>
                <w:color w:val="000000"/>
                <w:sz w:val="17"/>
                <w:szCs w:val="17"/>
              </w:rPr>
              <w:t>1,955 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59"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5A" w14:textId="77777777" w:rsidR="008E7A10" w:rsidRDefault="00E047B2">
            <w:pPr>
              <w:jc w:val="right"/>
              <w:textAlignment w:val="bottom"/>
            </w:pPr>
            <w:r>
              <w:rPr>
                <w:rFonts w:ascii="Arial" w:eastAsia="宋体" w:hAnsi="Arial" w:cs="Arial"/>
                <w:color w:val="000000"/>
                <w:sz w:val="17"/>
                <w:szCs w:val="17"/>
              </w:rPr>
              <w:t>937 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5B"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5C"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5D"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5E" w14:textId="77777777" w:rsidR="008E7A10" w:rsidRDefault="00E047B2">
            <w:pPr>
              <w:jc w:val="right"/>
              <w:textAlignment w:val="bottom"/>
            </w:pPr>
            <w:r>
              <w:rPr>
                <w:rFonts w:ascii="Arial" w:eastAsia="宋体" w:hAnsi="Arial" w:cs="Arial"/>
                <w:color w:val="000000"/>
                <w:sz w:val="17"/>
                <w:szCs w:val="17"/>
              </w:rPr>
              <w:t>7,960 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5F"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60" w14:textId="77777777" w:rsidR="008E7A10" w:rsidRDefault="00E047B2">
            <w:pPr>
              <w:jc w:val="right"/>
              <w:textAlignment w:val="bottom"/>
            </w:pPr>
            <w:r>
              <w:rPr>
                <w:rFonts w:ascii="Arial" w:eastAsia="宋体" w:hAnsi="Arial" w:cs="Arial"/>
                <w:color w:val="000000"/>
                <w:sz w:val="17"/>
                <w:szCs w:val="17"/>
              </w:rPr>
              <w:t>367 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61"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62"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63"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64" w14:textId="77777777" w:rsidR="008E7A10" w:rsidRDefault="00E047B2">
            <w:pPr>
              <w:jc w:val="right"/>
              <w:textAlignment w:val="bottom"/>
            </w:pPr>
            <w:r>
              <w:rPr>
                <w:rFonts w:ascii="Arial" w:eastAsia="宋体" w:hAnsi="Arial" w:cs="Arial"/>
                <w:color w:val="000000"/>
                <w:sz w:val="17"/>
                <w:szCs w:val="17"/>
              </w:rPr>
              <w:t>8,327 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65" w14:textId="77777777" w:rsidR="008E7A10" w:rsidRDefault="008E7A10">
            <w:pPr>
              <w:jc w:val="right"/>
              <w:rPr>
                <w:rFonts w:ascii="宋体"/>
              </w:rPr>
            </w:pPr>
          </w:p>
        </w:tc>
      </w:tr>
      <w:tr w:rsidR="008E7A10" w14:paraId="746F0F7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F67" w14:textId="77777777" w:rsidR="008E7A10" w:rsidRDefault="00E047B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6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69"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6A"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6B"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6C"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6D"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6E"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6F"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70"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71"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72"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73"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74"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75"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76" w14:textId="77777777" w:rsidR="008E7A10" w:rsidRDefault="00E047B2">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77" w14:textId="77777777" w:rsidR="008E7A10" w:rsidRDefault="008E7A10">
            <w:pPr>
              <w:jc w:val="right"/>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0F78" w14:textId="77777777" w:rsidR="008E7A10" w:rsidRDefault="00E047B2">
            <w:pPr>
              <w:jc w:val="right"/>
              <w:textAlignment w:val="bottom"/>
            </w:pPr>
            <w:r>
              <w:rPr>
                <w:rFonts w:ascii="Arial" w:eastAsia="宋体" w:hAnsi="Arial" w:cs="Arial"/>
                <w:color w:val="000000"/>
                <w:sz w:val="17"/>
                <w:szCs w:val="17"/>
              </w:rPr>
              <w:t>91 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0F79" w14:textId="77777777" w:rsidR="008E7A10" w:rsidRDefault="008E7A10">
            <w:pPr>
              <w:jc w:val="right"/>
              <w:rPr>
                <w:rFonts w:ascii="宋体"/>
              </w:rPr>
            </w:pPr>
          </w:p>
        </w:tc>
      </w:tr>
      <w:tr w:rsidR="008E7A10" w14:paraId="746F0F9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0F7B"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F7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F7D" w14:textId="77777777" w:rsidR="008E7A10" w:rsidRDefault="00E047B2">
            <w:pPr>
              <w:jc w:val="right"/>
              <w:textAlignment w:val="bottom"/>
            </w:pPr>
            <w:r>
              <w:rPr>
                <w:rFonts w:ascii="Arial" w:eastAsia="宋体" w:hAnsi="Arial" w:cs="Arial"/>
                <w:b/>
                <w:bCs/>
                <w:color w:val="000000"/>
                <w:sz w:val="17"/>
                <w:szCs w:val="17"/>
              </w:rPr>
              <w:t>8,231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F7E"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F7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F80" w14:textId="77777777" w:rsidR="008E7A10" w:rsidRDefault="00E047B2">
            <w:pPr>
              <w:jc w:val="right"/>
              <w:textAlignment w:val="bottom"/>
            </w:pPr>
            <w:r>
              <w:rPr>
                <w:rFonts w:ascii="Arial" w:eastAsia="宋体" w:hAnsi="Arial" w:cs="Arial"/>
                <w:b/>
                <w:bCs/>
                <w:color w:val="000000"/>
                <w:sz w:val="17"/>
                <w:szCs w:val="17"/>
              </w:rPr>
              <w:t>5,868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F81"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F8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F83" w14:textId="77777777" w:rsidR="008E7A10" w:rsidRDefault="00E047B2">
            <w:pPr>
              <w:jc w:val="right"/>
              <w:textAlignment w:val="bottom"/>
            </w:pPr>
            <w:r>
              <w:rPr>
                <w:rFonts w:ascii="Arial" w:eastAsia="宋体" w:hAnsi="Arial" w:cs="Arial"/>
                <w:b/>
                <w:bCs/>
                <w:color w:val="000000"/>
                <w:sz w:val="17"/>
                <w:szCs w:val="17"/>
              </w:rPr>
              <w:t>4,078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F84"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F8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F86" w14:textId="77777777" w:rsidR="008E7A10" w:rsidRDefault="00E047B2">
            <w:pPr>
              <w:jc w:val="right"/>
              <w:textAlignment w:val="bottom"/>
            </w:pPr>
            <w:r>
              <w:rPr>
                <w:rFonts w:ascii="Arial" w:eastAsia="宋体" w:hAnsi="Arial" w:cs="Arial"/>
                <w:b/>
                <w:bCs/>
                <w:color w:val="000000"/>
                <w:sz w:val="17"/>
                <w:szCs w:val="17"/>
              </w:rPr>
              <w:t>2,570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F87"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F8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F89" w14:textId="77777777" w:rsidR="008E7A10" w:rsidRDefault="00E047B2">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F8A"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F8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F8C" w14:textId="77777777" w:rsidR="008E7A10" w:rsidRDefault="00E047B2">
            <w:pPr>
              <w:jc w:val="right"/>
              <w:textAlignment w:val="bottom"/>
            </w:pPr>
            <w:r>
              <w:rPr>
                <w:rFonts w:ascii="Arial" w:eastAsia="宋体" w:hAnsi="Arial" w:cs="Arial"/>
                <w:b/>
                <w:bCs/>
                <w:color w:val="000000"/>
                <w:sz w:val="17"/>
                <w:szCs w:val="17"/>
              </w:rPr>
              <w:t>20,759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F8D"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F8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F8F" w14:textId="77777777" w:rsidR="008E7A10" w:rsidRDefault="00E047B2">
            <w:pPr>
              <w:jc w:val="right"/>
              <w:textAlignment w:val="bottom"/>
            </w:pPr>
            <w:r>
              <w:rPr>
                <w:rFonts w:ascii="Arial" w:eastAsia="宋体" w:hAnsi="Arial" w:cs="Arial"/>
                <w:b/>
                <w:bCs/>
                <w:color w:val="000000"/>
                <w:sz w:val="17"/>
                <w:szCs w:val="17"/>
              </w:rPr>
              <w:t>1,039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F90"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F9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F92" w14:textId="77777777" w:rsidR="008E7A10" w:rsidRDefault="00E047B2">
            <w:pPr>
              <w:jc w:val="right"/>
              <w:textAlignment w:val="bottom"/>
            </w:pPr>
            <w:r>
              <w:rPr>
                <w:rFonts w:ascii="Arial" w:eastAsia="宋体" w:hAnsi="Arial" w:cs="Arial"/>
                <w:b/>
                <w:bCs/>
                <w:color w:val="000000"/>
                <w:sz w:val="17"/>
                <w:szCs w:val="17"/>
              </w:rPr>
              <w:t>39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F93"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0F9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0F95" w14:textId="77777777" w:rsidR="008E7A10" w:rsidRDefault="00E047B2">
            <w:pPr>
              <w:jc w:val="right"/>
              <w:textAlignment w:val="bottom"/>
            </w:pPr>
            <w:r>
              <w:rPr>
                <w:rFonts w:ascii="Arial" w:eastAsia="宋体" w:hAnsi="Arial" w:cs="Arial"/>
                <w:b/>
                <w:bCs/>
                <w:color w:val="000000"/>
                <w:sz w:val="17"/>
                <w:szCs w:val="17"/>
              </w:rPr>
              <w:t>21,837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0F96" w14:textId="77777777" w:rsidR="008E7A10" w:rsidRDefault="008E7A10">
            <w:pPr>
              <w:jc w:val="right"/>
              <w:rPr>
                <w:rFonts w:ascii="宋体"/>
              </w:rPr>
            </w:pPr>
          </w:p>
        </w:tc>
      </w:tr>
    </w:tbl>
    <w:p w14:paraId="746F0F98" w14:textId="77777777" w:rsidR="008E7A10" w:rsidRDefault="008E7A10"/>
    <w:tbl>
      <w:tblPr>
        <w:tblW w:w="4985" w:type="pct"/>
        <w:tblCellMar>
          <w:top w:w="15" w:type="dxa"/>
          <w:left w:w="15" w:type="dxa"/>
          <w:bottom w:w="15" w:type="dxa"/>
          <w:right w:w="15" w:type="dxa"/>
        </w:tblCellMar>
        <w:tblLook w:val="04A0" w:firstRow="1" w:lastRow="0" w:firstColumn="1" w:lastColumn="0" w:noHBand="0" w:noVBand="1"/>
      </w:tblPr>
      <w:tblGrid>
        <w:gridCol w:w="42"/>
        <w:gridCol w:w="1146"/>
        <w:gridCol w:w="39"/>
        <w:gridCol w:w="116"/>
        <w:gridCol w:w="614"/>
        <w:gridCol w:w="36"/>
        <w:gridCol w:w="116"/>
        <w:gridCol w:w="573"/>
        <w:gridCol w:w="36"/>
        <w:gridCol w:w="116"/>
        <w:gridCol w:w="600"/>
        <w:gridCol w:w="36"/>
        <w:gridCol w:w="116"/>
        <w:gridCol w:w="614"/>
        <w:gridCol w:w="36"/>
        <w:gridCol w:w="116"/>
        <w:gridCol w:w="672"/>
        <w:gridCol w:w="36"/>
        <w:gridCol w:w="115"/>
        <w:gridCol w:w="568"/>
        <w:gridCol w:w="36"/>
        <w:gridCol w:w="116"/>
        <w:gridCol w:w="700"/>
        <w:gridCol w:w="36"/>
        <w:gridCol w:w="116"/>
        <w:gridCol w:w="809"/>
        <w:gridCol w:w="36"/>
        <w:gridCol w:w="115"/>
        <w:gridCol w:w="568"/>
        <w:gridCol w:w="36"/>
      </w:tblGrid>
      <w:tr w:rsidR="008E7A10" w14:paraId="746F0FB7" w14:textId="77777777">
        <w:tc>
          <w:tcPr>
            <w:tcW w:w="50" w:type="pct"/>
            <w:shd w:val="clear" w:color="auto" w:fill="auto"/>
          </w:tcPr>
          <w:p w14:paraId="746F0F99" w14:textId="77777777" w:rsidR="008E7A10" w:rsidRDefault="008E7A10">
            <w:pPr>
              <w:rPr>
                <w:rFonts w:ascii="宋体"/>
              </w:rPr>
            </w:pPr>
          </w:p>
        </w:tc>
        <w:tc>
          <w:tcPr>
            <w:tcW w:w="1129" w:type="pct"/>
            <w:shd w:val="clear" w:color="auto" w:fill="auto"/>
          </w:tcPr>
          <w:p w14:paraId="746F0F9A" w14:textId="77777777" w:rsidR="008E7A10" w:rsidRDefault="008E7A10">
            <w:pPr>
              <w:rPr>
                <w:rFonts w:ascii="宋体"/>
              </w:rPr>
            </w:pPr>
          </w:p>
        </w:tc>
        <w:tc>
          <w:tcPr>
            <w:tcW w:w="5" w:type="pct"/>
            <w:shd w:val="clear" w:color="auto" w:fill="auto"/>
          </w:tcPr>
          <w:p w14:paraId="746F0F9B" w14:textId="77777777" w:rsidR="008E7A10" w:rsidRDefault="008E7A10">
            <w:pPr>
              <w:rPr>
                <w:rFonts w:ascii="宋体"/>
              </w:rPr>
            </w:pPr>
          </w:p>
        </w:tc>
        <w:tc>
          <w:tcPr>
            <w:tcW w:w="50" w:type="pct"/>
            <w:shd w:val="clear" w:color="auto" w:fill="auto"/>
          </w:tcPr>
          <w:p w14:paraId="746F0F9C" w14:textId="77777777" w:rsidR="008E7A10" w:rsidRDefault="008E7A10">
            <w:pPr>
              <w:rPr>
                <w:rFonts w:ascii="宋体"/>
              </w:rPr>
            </w:pPr>
          </w:p>
        </w:tc>
        <w:tc>
          <w:tcPr>
            <w:tcW w:w="355" w:type="pct"/>
            <w:shd w:val="clear" w:color="auto" w:fill="auto"/>
          </w:tcPr>
          <w:p w14:paraId="746F0F9D" w14:textId="77777777" w:rsidR="008E7A10" w:rsidRDefault="008E7A10">
            <w:pPr>
              <w:rPr>
                <w:rFonts w:ascii="宋体"/>
              </w:rPr>
            </w:pPr>
          </w:p>
        </w:tc>
        <w:tc>
          <w:tcPr>
            <w:tcW w:w="5" w:type="pct"/>
            <w:shd w:val="clear" w:color="auto" w:fill="auto"/>
          </w:tcPr>
          <w:p w14:paraId="746F0F9E" w14:textId="77777777" w:rsidR="008E7A10" w:rsidRDefault="008E7A10">
            <w:pPr>
              <w:rPr>
                <w:rFonts w:ascii="宋体"/>
              </w:rPr>
            </w:pPr>
          </w:p>
        </w:tc>
        <w:tc>
          <w:tcPr>
            <w:tcW w:w="50" w:type="pct"/>
            <w:shd w:val="clear" w:color="auto" w:fill="auto"/>
          </w:tcPr>
          <w:p w14:paraId="746F0F9F" w14:textId="77777777" w:rsidR="008E7A10" w:rsidRDefault="008E7A10">
            <w:pPr>
              <w:rPr>
                <w:rFonts w:ascii="宋体"/>
              </w:rPr>
            </w:pPr>
          </w:p>
        </w:tc>
        <w:tc>
          <w:tcPr>
            <w:tcW w:w="355" w:type="pct"/>
            <w:shd w:val="clear" w:color="auto" w:fill="auto"/>
          </w:tcPr>
          <w:p w14:paraId="746F0FA0" w14:textId="77777777" w:rsidR="008E7A10" w:rsidRDefault="008E7A10">
            <w:pPr>
              <w:rPr>
                <w:rFonts w:ascii="宋体"/>
              </w:rPr>
            </w:pPr>
          </w:p>
        </w:tc>
        <w:tc>
          <w:tcPr>
            <w:tcW w:w="5" w:type="pct"/>
            <w:shd w:val="clear" w:color="auto" w:fill="auto"/>
          </w:tcPr>
          <w:p w14:paraId="746F0FA1" w14:textId="77777777" w:rsidR="008E7A10" w:rsidRDefault="008E7A10">
            <w:pPr>
              <w:rPr>
                <w:rFonts w:ascii="宋体"/>
              </w:rPr>
            </w:pPr>
          </w:p>
        </w:tc>
        <w:tc>
          <w:tcPr>
            <w:tcW w:w="50" w:type="pct"/>
            <w:shd w:val="clear" w:color="auto" w:fill="auto"/>
          </w:tcPr>
          <w:p w14:paraId="746F0FA2" w14:textId="77777777" w:rsidR="008E7A10" w:rsidRDefault="008E7A10">
            <w:pPr>
              <w:rPr>
                <w:rFonts w:ascii="宋体"/>
              </w:rPr>
            </w:pPr>
          </w:p>
        </w:tc>
        <w:tc>
          <w:tcPr>
            <w:tcW w:w="355" w:type="pct"/>
            <w:shd w:val="clear" w:color="auto" w:fill="auto"/>
          </w:tcPr>
          <w:p w14:paraId="746F0FA3" w14:textId="77777777" w:rsidR="008E7A10" w:rsidRDefault="008E7A10">
            <w:pPr>
              <w:rPr>
                <w:rFonts w:ascii="宋体"/>
              </w:rPr>
            </w:pPr>
          </w:p>
        </w:tc>
        <w:tc>
          <w:tcPr>
            <w:tcW w:w="5" w:type="pct"/>
            <w:shd w:val="clear" w:color="auto" w:fill="auto"/>
          </w:tcPr>
          <w:p w14:paraId="746F0FA4" w14:textId="77777777" w:rsidR="008E7A10" w:rsidRDefault="008E7A10">
            <w:pPr>
              <w:rPr>
                <w:rFonts w:ascii="宋体"/>
              </w:rPr>
            </w:pPr>
          </w:p>
        </w:tc>
        <w:tc>
          <w:tcPr>
            <w:tcW w:w="50" w:type="pct"/>
            <w:shd w:val="clear" w:color="auto" w:fill="auto"/>
          </w:tcPr>
          <w:p w14:paraId="746F0FA5" w14:textId="77777777" w:rsidR="008E7A10" w:rsidRDefault="008E7A10">
            <w:pPr>
              <w:rPr>
                <w:rFonts w:ascii="宋体"/>
              </w:rPr>
            </w:pPr>
          </w:p>
        </w:tc>
        <w:tc>
          <w:tcPr>
            <w:tcW w:w="355" w:type="pct"/>
            <w:shd w:val="clear" w:color="auto" w:fill="auto"/>
          </w:tcPr>
          <w:p w14:paraId="746F0FA6" w14:textId="77777777" w:rsidR="008E7A10" w:rsidRDefault="008E7A10">
            <w:pPr>
              <w:rPr>
                <w:rFonts w:ascii="宋体"/>
              </w:rPr>
            </w:pPr>
          </w:p>
        </w:tc>
        <w:tc>
          <w:tcPr>
            <w:tcW w:w="5" w:type="pct"/>
            <w:shd w:val="clear" w:color="auto" w:fill="auto"/>
          </w:tcPr>
          <w:p w14:paraId="746F0FA7" w14:textId="77777777" w:rsidR="008E7A10" w:rsidRDefault="008E7A10">
            <w:pPr>
              <w:rPr>
                <w:rFonts w:ascii="宋体"/>
              </w:rPr>
            </w:pPr>
          </w:p>
        </w:tc>
        <w:tc>
          <w:tcPr>
            <w:tcW w:w="50" w:type="pct"/>
            <w:shd w:val="clear" w:color="auto" w:fill="auto"/>
          </w:tcPr>
          <w:p w14:paraId="746F0FA8" w14:textId="77777777" w:rsidR="008E7A10" w:rsidRDefault="008E7A10">
            <w:pPr>
              <w:rPr>
                <w:rFonts w:ascii="宋体"/>
              </w:rPr>
            </w:pPr>
          </w:p>
        </w:tc>
        <w:tc>
          <w:tcPr>
            <w:tcW w:w="370" w:type="pct"/>
            <w:shd w:val="clear" w:color="auto" w:fill="auto"/>
          </w:tcPr>
          <w:p w14:paraId="746F0FA9" w14:textId="77777777" w:rsidR="008E7A10" w:rsidRDefault="008E7A10">
            <w:pPr>
              <w:rPr>
                <w:rFonts w:ascii="宋体"/>
              </w:rPr>
            </w:pPr>
          </w:p>
        </w:tc>
        <w:tc>
          <w:tcPr>
            <w:tcW w:w="5" w:type="pct"/>
            <w:shd w:val="clear" w:color="auto" w:fill="auto"/>
          </w:tcPr>
          <w:p w14:paraId="746F0FAA" w14:textId="77777777" w:rsidR="008E7A10" w:rsidRDefault="008E7A10">
            <w:pPr>
              <w:rPr>
                <w:rFonts w:ascii="宋体"/>
              </w:rPr>
            </w:pPr>
          </w:p>
        </w:tc>
        <w:tc>
          <w:tcPr>
            <w:tcW w:w="50" w:type="pct"/>
            <w:shd w:val="clear" w:color="auto" w:fill="auto"/>
          </w:tcPr>
          <w:p w14:paraId="746F0FAB" w14:textId="77777777" w:rsidR="008E7A10" w:rsidRDefault="008E7A10">
            <w:pPr>
              <w:rPr>
                <w:rFonts w:ascii="宋体"/>
              </w:rPr>
            </w:pPr>
          </w:p>
        </w:tc>
        <w:tc>
          <w:tcPr>
            <w:tcW w:w="355" w:type="pct"/>
            <w:shd w:val="clear" w:color="auto" w:fill="auto"/>
          </w:tcPr>
          <w:p w14:paraId="746F0FAC" w14:textId="77777777" w:rsidR="008E7A10" w:rsidRDefault="008E7A10">
            <w:pPr>
              <w:rPr>
                <w:rFonts w:ascii="宋体"/>
              </w:rPr>
            </w:pPr>
          </w:p>
        </w:tc>
        <w:tc>
          <w:tcPr>
            <w:tcW w:w="5" w:type="pct"/>
            <w:shd w:val="clear" w:color="auto" w:fill="auto"/>
          </w:tcPr>
          <w:p w14:paraId="746F0FAD" w14:textId="77777777" w:rsidR="008E7A10" w:rsidRDefault="008E7A10">
            <w:pPr>
              <w:rPr>
                <w:rFonts w:ascii="宋体"/>
              </w:rPr>
            </w:pPr>
          </w:p>
        </w:tc>
        <w:tc>
          <w:tcPr>
            <w:tcW w:w="50" w:type="pct"/>
            <w:shd w:val="clear" w:color="auto" w:fill="auto"/>
          </w:tcPr>
          <w:p w14:paraId="746F0FAE" w14:textId="77777777" w:rsidR="008E7A10" w:rsidRDefault="008E7A10">
            <w:pPr>
              <w:rPr>
                <w:rFonts w:ascii="宋体"/>
              </w:rPr>
            </w:pPr>
          </w:p>
        </w:tc>
        <w:tc>
          <w:tcPr>
            <w:tcW w:w="386" w:type="pct"/>
            <w:shd w:val="clear" w:color="auto" w:fill="auto"/>
          </w:tcPr>
          <w:p w14:paraId="746F0FAF" w14:textId="77777777" w:rsidR="008E7A10" w:rsidRDefault="008E7A10">
            <w:pPr>
              <w:rPr>
                <w:rFonts w:ascii="宋体"/>
              </w:rPr>
            </w:pPr>
          </w:p>
        </w:tc>
        <w:tc>
          <w:tcPr>
            <w:tcW w:w="5" w:type="pct"/>
            <w:shd w:val="clear" w:color="auto" w:fill="auto"/>
          </w:tcPr>
          <w:p w14:paraId="746F0FB0" w14:textId="77777777" w:rsidR="008E7A10" w:rsidRDefault="008E7A10">
            <w:pPr>
              <w:rPr>
                <w:rFonts w:ascii="宋体"/>
              </w:rPr>
            </w:pPr>
          </w:p>
        </w:tc>
        <w:tc>
          <w:tcPr>
            <w:tcW w:w="50" w:type="pct"/>
            <w:shd w:val="clear" w:color="auto" w:fill="auto"/>
          </w:tcPr>
          <w:p w14:paraId="746F0FB1" w14:textId="77777777" w:rsidR="008E7A10" w:rsidRDefault="008E7A10">
            <w:pPr>
              <w:rPr>
                <w:rFonts w:ascii="宋体"/>
              </w:rPr>
            </w:pPr>
          </w:p>
        </w:tc>
        <w:tc>
          <w:tcPr>
            <w:tcW w:w="432" w:type="pct"/>
            <w:shd w:val="clear" w:color="auto" w:fill="auto"/>
          </w:tcPr>
          <w:p w14:paraId="746F0FB2" w14:textId="77777777" w:rsidR="008E7A10" w:rsidRDefault="008E7A10">
            <w:pPr>
              <w:rPr>
                <w:rFonts w:ascii="宋体"/>
              </w:rPr>
            </w:pPr>
          </w:p>
        </w:tc>
        <w:tc>
          <w:tcPr>
            <w:tcW w:w="5" w:type="pct"/>
            <w:shd w:val="clear" w:color="auto" w:fill="auto"/>
          </w:tcPr>
          <w:p w14:paraId="746F0FB3" w14:textId="77777777" w:rsidR="008E7A10" w:rsidRDefault="008E7A10">
            <w:pPr>
              <w:rPr>
                <w:rFonts w:ascii="宋体"/>
              </w:rPr>
            </w:pPr>
          </w:p>
        </w:tc>
        <w:tc>
          <w:tcPr>
            <w:tcW w:w="50" w:type="pct"/>
            <w:shd w:val="clear" w:color="auto" w:fill="auto"/>
          </w:tcPr>
          <w:p w14:paraId="746F0FB4" w14:textId="77777777" w:rsidR="008E7A10" w:rsidRDefault="008E7A10">
            <w:pPr>
              <w:rPr>
                <w:rFonts w:ascii="宋体"/>
              </w:rPr>
            </w:pPr>
          </w:p>
        </w:tc>
        <w:tc>
          <w:tcPr>
            <w:tcW w:w="355" w:type="pct"/>
            <w:shd w:val="clear" w:color="auto" w:fill="auto"/>
          </w:tcPr>
          <w:p w14:paraId="746F0FB5" w14:textId="77777777" w:rsidR="008E7A10" w:rsidRDefault="008E7A10">
            <w:pPr>
              <w:rPr>
                <w:rFonts w:ascii="宋体"/>
              </w:rPr>
            </w:pPr>
          </w:p>
        </w:tc>
        <w:tc>
          <w:tcPr>
            <w:tcW w:w="5" w:type="pct"/>
            <w:shd w:val="clear" w:color="auto" w:fill="auto"/>
          </w:tcPr>
          <w:p w14:paraId="746F0FB6" w14:textId="77777777" w:rsidR="008E7A10" w:rsidRDefault="008E7A10">
            <w:pPr>
              <w:rPr>
                <w:rFonts w:ascii="宋体"/>
              </w:rPr>
            </w:pPr>
          </w:p>
        </w:tc>
      </w:tr>
      <w:tr w:rsidR="008E7A10" w14:paraId="746F0FBA" w14:textId="77777777">
        <w:tc>
          <w:tcPr>
            <w:tcW w:w="0" w:type="auto"/>
            <w:gridSpan w:val="3"/>
            <w:shd w:val="clear" w:color="auto" w:fill="auto"/>
            <w:tcMar>
              <w:top w:w="0" w:type="dxa"/>
              <w:left w:w="20" w:type="dxa"/>
              <w:bottom w:w="0" w:type="dxa"/>
              <w:right w:w="20" w:type="dxa"/>
            </w:tcMar>
          </w:tcPr>
          <w:p w14:paraId="746F0FB8" w14:textId="77777777" w:rsidR="008E7A10" w:rsidRDefault="008E7A10">
            <w:pPr>
              <w:rPr>
                <w:rFonts w:ascii="宋体"/>
              </w:rPr>
            </w:pPr>
          </w:p>
        </w:tc>
        <w:tc>
          <w:tcPr>
            <w:tcW w:w="0" w:type="auto"/>
            <w:gridSpan w:val="27"/>
            <w:shd w:val="clear" w:color="auto" w:fill="auto"/>
            <w:tcMar>
              <w:top w:w="40" w:type="dxa"/>
              <w:left w:w="20" w:type="dxa"/>
              <w:bottom w:w="40" w:type="dxa"/>
              <w:right w:w="20" w:type="dxa"/>
            </w:tcMar>
            <w:vAlign w:val="bottom"/>
          </w:tcPr>
          <w:p w14:paraId="746F0FB9" w14:textId="77777777" w:rsidR="008E7A10" w:rsidRDefault="00E047B2">
            <w:pPr>
              <w:jc w:val="center"/>
              <w:textAlignment w:val="bottom"/>
            </w:pPr>
            <w:r>
              <w:rPr>
                <w:rFonts w:ascii="sans-serif" w:eastAsia="sans-serif" w:hAnsi="sans-serif" w:cs="sans-serif"/>
                <w:b/>
                <w:bCs/>
                <w:color w:val="000000"/>
                <w:sz w:val="17"/>
                <w:szCs w:val="17"/>
              </w:rPr>
              <w:t>SIX MONTHS ENDED NOVEMBER 30, 2019</w:t>
            </w:r>
          </w:p>
        </w:tc>
      </w:tr>
      <w:tr w:rsidR="008E7A10" w14:paraId="746F0FC5" w14:textId="77777777">
        <w:tc>
          <w:tcPr>
            <w:tcW w:w="0" w:type="auto"/>
            <w:gridSpan w:val="3"/>
            <w:shd w:val="clear" w:color="auto" w:fill="auto"/>
            <w:tcMar>
              <w:top w:w="40" w:type="dxa"/>
              <w:left w:w="20" w:type="dxa"/>
              <w:bottom w:w="40" w:type="dxa"/>
              <w:right w:w="20" w:type="dxa"/>
            </w:tcMar>
            <w:vAlign w:val="bottom"/>
          </w:tcPr>
          <w:p w14:paraId="746F0FBB"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BC" w14:textId="77777777" w:rsidR="008E7A10" w:rsidRDefault="00E047B2">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BD" w14:textId="77777777" w:rsidR="008E7A10" w:rsidRDefault="00E047B2">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BE" w14:textId="77777777" w:rsidR="008E7A10" w:rsidRDefault="00E047B2">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BF" w14:textId="77777777" w:rsidR="008E7A10" w:rsidRDefault="00E047B2">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C0" w14:textId="77777777" w:rsidR="008E7A10" w:rsidRDefault="00E047B2">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C1" w14:textId="77777777" w:rsidR="008E7A10" w:rsidRDefault="00E047B2">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C2" w14:textId="77777777" w:rsidR="008E7A10" w:rsidRDefault="00E047B2">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C3" w14:textId="77777777" w:rsidR="008E7A10" w:rsidRDefault="00E047B2">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C4" w14:textId="77777777" w:rsidR="008E7A10" w:rsidRDefault="00E047B2">
            <w:pPr>
              <w:jc w:val="right"/>
              <w:textAlignment w:val="bottom"/>
            </w:pPr>
            <w:r>
              <w:rPr>
                <w:rFonts w:ascii="sans-serif" w:eastAsia="sans-serif" w:hAnsi="sans-serif" w:cs="sans-serif"/>
                <w:b/>
                <w:bCs/>
                <w:color w:val="000000"/>
                <w:sz w:val="17"/>
                <w:szCs w:val="17"/>
              </w:rPr>
              <w:t>TOTAL NIKE, INC.</w:t>
            </w:r>
          </w:p>
        </w:tc>
      </w:tr>
      <w:tr w:rsidR="008E7A10" w14:paraId="746F0FD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0FC6"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tcPr>
          <w:p w14:paraId="746F0FC7"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FC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FC9"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FCA"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FC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FC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FC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FC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0FCF" w14:textId="77777777" w:rsidR="008E7A10" w:rsidRDefault="008E7A10">
            <w:pPr>
              <w:rPr>
                <w:rFonts w:ascii="宋体"/>
              </w:rPr>
            </w:pPr>
          </w:p>
        </w:tc>
      </w:tr>
      <w:tr w:rsidR="008E7A10" w14:paraId="746F0FE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FD1" w14:textId="77777777" w:rsidR="008E7A10" w:rsidRDefault="00E047B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auto"/>
            <w:tcMar>
              <w:top w:w="40" w:type="dxa"/>
              <w:left w:w="20" w:type="dxa"/>
              <w:bottom w:w="40" w:type="dxa"/>
              <w:right w:w="0" w:type="dxa"/>
            </w:tcMar>
            <w:vAlign w:val="bottom"/>
          </w:tcPr>
          <w:p w14:paraId="746F0FD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FD3" w14:textId="77777777" w:rsidR="008E7A10" w:rsidRDefault="00E047B2">
            <w:pPr>
              <w:jc w:val="right"/>
              <w:textAlignment w:val="bottom"/>
            </w:pPr>
            <w:r>
              <w:rPr>
                <w:rFonts w:ascii="Arial" w:eastAsia="宋体" w:hAnsi="Arial" w:cs="Arial"/>
                <w:color w:val="000000"/>
                <w:sz w:val="17"/>
                <w:szCs w:val="17"/>
              </w:rPr>
              <w:t>5,095 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D4"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FD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FD6" w14:textId="77777777" w:rsidR="008E7A10" w:rsidRDefault="00E047B2">
            <w:pPr>
              <w:jc w:val="right"/>
              <w:textAlignment w:val="bottom"/>
            </w:pPr>
            <w:r>
              <w:rPr>
                <w:rFonts w:ascii="Arial" w:eastAsia="宋体" w:hAnsi="Arial" w:cs="Arial"/>
                <w:color w:val="000000"/>
                <w:sz w:val="17"/>
                <w:szCs w:val="17"/>
              </w:rPr>
              <w:t>3,294 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D7"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FD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FD9" w14:textId="77777777" w:rsidR="008E7A10" w:rsidRDefault="00E047B2">
            <w:pPr>
              <w:jc w:val="right"/>
              <w:textAlignment w:val="bottom"/>
            </w:pPr>
            <w:r>
              <w:rPr>
                <w:rFonts w:ascii="Arial" w:eastAsia="宋体" w:hAnsi="Arial" w:cs="Arial"/>
                <w:color w:val="000000"/>
                <w:sz w:val="17"/>
                <w:szCs w:val="17"/>
              </w:rPr>
              <w:t>2,411 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DA"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FD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FDC" w14:textId="77777777" w:rsidR="008E7A10" w:rsidRDefault="00E047B2">
            <w:pPr>
              <w:jc w:val="right"/>
              <w:textAlignment w:val="bottom"/>
            </w:pPr>
            <w:r>
              <w:rPr>
                <w:rFonts w:ascii="Arial" w:eastAsia="宋体" w:hAnsi="Arial" w:cs="Arial"/>
                <w:color w:val="000000"/>
                <w:sz w:val="17"/>
                <w:szCs w:val="17"/>
              </w:rPr>
              <w:t>1,927 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DD"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FD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FD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E0"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FE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FE2" w14:textId="77777777" w:rsidR="008E7A10" w:rsidRDefault="00E047B2">
            <w:pPr>
              <w:jc w:val="right"/>
              <w:textAlignment w:val="bottom"/>
            </w:pPr>
            <w:r>
              <w:rPr>
                <w:rFonts w:ascii="Arial" w:eastAsia="宋体" w:hAnsi="Arial" w:cs="Arial"/>
                <w:color w:val="000000"/>
                <w:sz w:val="17"/>
                <w:szCs w:val="17"/>
              </w:rPr>
              <w:t>12,727 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E3"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FE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FE5" w14:textId="77777777" w:rsidR="008E7A10" w:rsidRDefault="00E047B2">
            <w:pPr>
              <w:jc w:val="right"/>
              <w:textAlignment w:val="bottom"/>
            </w:pPr>
            <w:r>
              <w:rPr>
                <w:rFonts w:ascii="Arial" w:eastAsia="宋体" w:hAnsi="Arial" w:cs="Arial"/>
                <w:color w:val="000000"/>
                <w:sz w:val="17"/>
                <w:szCs w:val="17"/>
              </w:rPr>
              <w:t>912 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E6"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FE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FE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E9"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0FE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0FEB" w14:textId="77777777" w:rsidR="008E7A10" w:rsidRDefault="00E047B2">
            <w:pPr>
              <w:jc w:val="right"/>
              <w:textAlignment w:val="bottom"/>
            </w:pPr>
            <w:r>
              <w:rPr>
                <w:rFonts w:ascii="Arial" w:eastAsia="宋体" w:hAnsi="Arial" w:cs="Arial"/>
                <w:color w:val="000000"/>
                <w:sz w:val="17"/>
                <w:szCs w:val="17"/>
              </w:rPr>
              <w:t>13,639 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EC" w14:textId="77777777" w:rsidR="008E7A10" w:rsidRDefault="008E7A10">
            <w:pPr>
              <w:jc w:val="right"/>
              <w:rPr>
                <w:rFonts w:ascii="宋体"/>
              </w:rPr>
            </w:pPr>
          </w:p>
        </w:tc>
      </w:tr>
      <w:tr w:rsidR="008E7A10" w14:paraId="746F100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0FEE" w14:textId="77777777" w:rsidR="008E7A10" w:rsidRDefault="00E047B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FEF" w14:textId="77777777" w:rsidR="008E7A10" w:rsidRDefault="00E047B2">
            <w:pPr>
              <w:jc w:val="right"/>
              <w:textAlignment w:val="bottom"/>
            </w:pPr>
            <w:r>
              <w:rPr>
                <w:rFonts w:ascii="Arial" w:eastAsia="宋体" w:hAnsi="Arial" w:cs="Arial"/>
                <w:color w:val="000000"/>
                <w:sz w:val="17"/>
                <w:szCs w:val="17"/>
              </w:rPr>
              <w:t>2,848 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F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FF1" w14:textId="77777777" w:rsidR="008E7A10" w:rsidRDefault="00E047B2">
            <w:pPr>
              <w:jc w:val="right"/>
              <w:textAlignment w:val="bottom"/>
            </w:pPr>
            <w:r>
              <w:rPr>
                <w:rFonts w:ascii="Arial" w:eastAsia="宋体" w:hAnsi="Arial" w:cs="Arial"/>
                <w:color w:val="000000"/>
                <w:sz w:val="17"/>
                <w:szCs w:val="17"/>
              </w:rPr>
              <w:t>1,766 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F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FF3" w14:textId="77777777" w:rsidR="008E7A10" w:rsidRDefault="00E047B2">
            <w:pPr>
              <w:jc w:val="right"/>
              <w:textAlignment w:val="bottom"/>
            </w:pPr>
            <w:r>
              <w:rPr>
                <w:rFonts w:ascii="Arial" w:eastAsia="宋体" w:hAnsi="Arial" w:cs="Arial"/>
                <w:color w:val="000000"/>
                <w:sz w:val="17"/>
                <w:szCs w:val="17"/>
              </w:rPr>
              <w:t>1,028 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F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FF5" w14:textId="77777777" w:rsidR="008E7A10" w:rsidRDefault="00E047B2">
            <w:pPr>
              <w:jc w:val="right"/>
              <w:textAlignment w:val="bottom"/>
            </w:pPr>
            <w:r>
              <w:rPr>
                <w:rFonts w:ascii="Arial" w:eastAsia="宋体" w:hAnsi="Arial" w:cs="Arial"/>
                <w:color w:val="000000"/>
                <w:sz w:val="17"/>
                <w:szCs w:val="17"/>
              </w:rPr>
              <w:t>766 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F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FF7"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F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FF9" w14:textId="77777777" w:rsidR="008E7A10" w:rsidRDefault="00E047B2">
            <w:pPr>
              <w:jc w:val="right"/>
              <w:textAlignment w:val="bottom"/>
            </w:pPr>
            <w:r>
              <w:rPr>
                <w:rFonts w:ascii="Arial" w:eastAsia="宋体" w:hAnsi="Arial" w:cs="Arial"/>
                <w:color w:val="000000"/>
                <w:sz w:val="17"/>
                <w:szCs w:val="17"/>
              </w:rPr>
              <w:t>6,408 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F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FFB" w14:textId="77777777" w:rsidR="008E7A10" w:rsidRDefault="00E047B2">
            <w:pPr>
              <w:jc w:val="right"/>
              <w:textAlignment w:val="bottom"/>
            </w:pPr>
            <w:r>
              <w:rPr>
                <w:rFonts w:ascii="Arial" w:eastAsia="宋体" w:hAnsi="Arial" w:cs="Arial"/>
                <w:color w:val="000000"/>
                <w:sz w:val="17"/>
                <w:szCs w:val="17"/>
              </w:rPr>
              <w:t>56 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F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FF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0FF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0FFF" w14:textId="77777777" w:rsidR="008E7A10" w:rsidRDefault="00E047B2">
            <w:pPr>
              <w:jc w:val="right"/>
              <w:textAlignment w:val="bottom"/>
            </w:pPr>
            <w:r>
              <w:rPr>
                <w:rFonts w:ascii="Arial" w:eastAsia="宋体" w:hAnsi="Arial" w:cs="Arial"/>
                <w:color w:val="000000"/>
                <w:sz w:val="17"/>
                <w:szCs w:val="17"/>
              </w:rPr>
              <w:t>6,464 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00" w14:textId="77777777" w:rsidR="008E7A10" w:rsidRDefault="008E7A10">
            <w:pPr>
              <w:jc w:val="right"/>
              <w:rPr>
                <w:rFonts w:ascii="宋体"/>
              </w:rPr>
            </w:pPr>
          </w:p>
        </w:tc>
      </w:tr>
      <w:tr w:rsidR="008E7A10" w14:paraId="746F101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002" w14:textId="77777777" w:rsidR="008E7A10" w:rsidRDefault="00E047B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03" w14:textId="77777777" w:rsidR="008E7A10" w:rsidRDefault="00E047B2">
            <w:pPr>
              <w:jc w:val="right"/>
              <w:textAlignment w:val="bottom"/>
            </w:pPr>
            <w:r>
              <w:rPr>
                <w:rFonts w:ascii="Arial" w:eastAsia="宋体" w:hAnsi="Arial" w:cs="Arial"/>
                <w:color w:val="000000"/>
                <w:sz w:val="17"/>
                <w:szCs w:val="17"/>
              </w:rPr>
              <w:t>332 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0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05" w14:textId="77777777" w:rsidR="008E7A10" w:rsidRDefault="00E047B2">
            <w:pPr>
              <w:jc w:val="right"/>
              <w:textAlignment w:val="bottom"/>
            </w:pPr>
            <w:r>
              <w:rPr>
                <w:rFonts w:ascii="Arial" w:eastAsia="宋体" w:hAnsi="Arial" w:cs="Arial"/>
                <w:color w:val="000000"/>
                <w:sz w:val="17"/>
                <w:szCs w:val="17"/>
              </w:rPr>
              <w:t>250 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0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07" w14:textId="77777777" w:rsidR="008E7A10" w:rsidRDefault="00E047B2">
            <w:pPr>
              <w:jc w:val="right"/>
              <w:textAlignment w:val="bottom"/>
            </w:pPr>
            <w:r>
              <w:rPr>
                <w:rFonts w:ascii="Arial" w:eastAsia="宋体" w:hAnsi="Arial" w:cs="Arial"/>
                <w:color w:val="000000"/>
                <w:sz w:val="17"/>
                <w:szCs w:val="17"/>
              </w:rPr>
              <w:t>87 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0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09" w14:textId="77777777" w:rsidR="008E7A10" w:rsidRDefault="00E047B2">
            <w:pPr>
              <w:jc w:val="right"/>
              <w:textAlignment w:val="bottom"/>
            </w:pPr>
            <w:r>
              <w:rPr>
                <w:rFonts w:ascii="Arial" w:eastAsia="宋体" w:hAnsi="Arial" w:cs="Arial"/>
                <w:color w:val="000000"/>
                <w:sz w:val="17"/>
                <w:szCs w:val="17"/>
              </w:rPr>
              <w:t>120 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0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0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0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0D" w14:textId="77777777" w:rsidR="008E7A10" w:rsidRDefault="00E047B2">
            <w:pPr>
              <w:jc w:val="right"/>
              <w:textAlignment w:val="bottom"/>
            </w:pPr>
            <w:r>
              <w:rPr>
                <w:rFonts w:ascii="Arial" w:eastAsia="宋体" w:hAnsi="Arial" w:cs="Arial"/>
                <w:color w:val="000000"/>
                <w:sz w:val="17"/>
                <w:szCs w:val="17"/>
              </w:rPr>
              <w:t>789 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0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0F" w14:textId="77777777" w:rsidR="008E7A10" w:rsidRDefault="00E047B2">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1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11"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1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13" w14:textId="77777777" w:rsidR="008E7A10" w:rsidRDefault="00E047B2">
            <w:pPr>
              <w:jc w:val="right"/>
              <w:textAlignment w:val="bottom"/>
            </w:pPr>
            <w:r>
              <w:rPr>
                <w:rFonts w:ascii="Arial" w:eastAsia="宋体" w:hAnsi="Arial" w:cs="Arial"/>
                <w:color w:val="000000"/>
                <w:sz w:val="17"/>
                <w:szCs w:val="17"/>
              </w:rPr>
              <w:t>804 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14" w14:textId="77777777" w:rsidR="008E7A10" w:rsidRDefault="008E7A10">
            <w:pPr>
              <w:jc w:val="right"/>
              <w:rPr>
                <w:rFonts w:ascii="宋体"/>
              </w:rPr>
            </w:pPr>
          </w:p>
        </w:tc>
      </w:tr>
      <w:tr w:rsidR="008E7A10" w14:paraId="746F102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016" w14:textId="77777777" w:rsidR="008E7A10" w:rsidRDefault="00E047B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17"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1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19"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1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1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1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1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1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1F"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2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21"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2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23" w14:textId="77777777" w:rsidR="008E7A10" w:rsidRDefault="00E047B2">
            <w:pPr>
              <w:jc w:val="right"/>
              <w:textAlignment w:val="bottom"/>
            </w:pPr>
            <w:r>
              <w:rPr>
                <w:rFonts w:ascii="Arial" w:eastAsia="宋体" w:hAnsi="Arial" w:cs="Arial"/>
                <w:color w:val="000000"/>
                <w:sz w:val="17"/>
                <w:szCs w:val="17"/>
              </w:rPr>
              <w:t>52 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2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25"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2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27" w14:textId="77777777" w:rsidR="008E7A10" w:rsidRDefault="00E047B2">
            <w:pPr>
              <w:jc w:val="right"/>
              <w:textAlignment w:val="bottom"/>
            </w:pPr>
            <w:r>
              <w:rPr>
                <w:rFonts w:ascii="Arial" w:eastAsia="宋体" w:hAnsi="Arial" w:cs="Arial"/>
                <w:color w:val="000000"/>
                <w:sz w:val="17"/>
                <w:szCs w:val="17"/>
              </w:rPr>
              <w:t>79 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28" w14:textId="77777777" w:rsidR="008E7A10" w:rsidRDefault="008E7A10">
            <w:pPr>
              <w:jc w:val="right"/>
              <w:rPr>
                <w:rFonts w:ascii="宋体"/>
              </w:rPr>
            </w:pPr>
          </w:p>
        </w:tc>
      </w:tr>
      <w:tr w:rsidR="008E7A10" w14:paraId="746F104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02A"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746F102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02C" w14:textId="77777777" w:rsidR="008E7A10" w:rsidRDefault="00E047B2">
            <w:pPr>
              <w:jc w:val="right"/>
              <w:textAlignment w:val="bottom"/>
            </w:pPr>
            <w:r>
              <w:rPr>
                <w:rFonts w:ascii="Arial" w:eastAsia="宋体" w:hAnsi="Arial" w:cs="Arial"/>
                <w:b/>
                <w:bCs/>
                <w:color w:val="000000"/>
                <w:sz w:val="17"/>
                <w:szCs w:val="17"/>
              </w:rPr>
              <w:t>8,275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02D"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02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02F" w14:textId="77777777" w:rsidR="008E7A10" w:rsidRDefault="00E047B2">
            <w:pPr>
              <w:jc w:val="right"/>
              <w:textAlignment w:val="bottom"/>
            </w:pPr>
            <w:r>
              <w:rPr>
                <w:rFonts w:ascii="Arial" w:eastAsia="宋体" w:hAnsi="Arial" w:cs="Arial"/>
                <w:b/>
                <w:bCs/>
                <w:color w:val="000000"/>
                <w:sz w:val="17"/>
                <w:szCs w:val="17"/>
              </w:rPr>
              <w:t>5,310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030"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03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032" w14:textId="77777777" w:rsidR="008E7A10" w:rsidRDefault="00E047B2">
            <w:pPr>
              <w:jc w:val="right"/>
              <w:textAlignment w:val="bottom"/>
            </w:pPr>
            <w:r>
              <w:rPr>
                <w:rFonts w:ascii="Arial" w:eastAsia="宋体" w:hAnsi="Arial" w:cs="Arial"/>
                <w:b/>
                <w:bCs/>
                <w:color w:val="000000"/>
                <w:sz w:val="17"/>
                <w:szCs w:val="17"/>
              </w:rPr>
              <w:t>3,526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033"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03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035" w14:textId="77777777" w:rsidR="008E7A10" w:rsidRDefault="00E047B2">
            <w:pPr>
              <w:jc w:val="right"/>
              <w:textAlignment w:val="bottom"/>
            </w:pPr>
            <w:r>
              <w:rPr>
                <w:rFonts w:ascii="Arial" w:eastAsia="宋体" w:hAnsi="Arial" w:cs="Arial"/>
                <w:b/>
                <w:bCs/>
                <w:color w:val="000000"/>
                <w:sz w:val="17"/>
                <w:szCs w:val="17"/>
              </w:rPr>
              <w:t>2,813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036"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03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038" w14:textId="77777777" w:rsidR="008E7A10" w:rsidRDefault="00E047B2">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039"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03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03B" w14:textId="77777777" w:rsidR="008E7A10" w:rsidRDefault="00E047B2">
            <w:pPr>
              <w:jc w:val="right"/>
              <w:textAlignment w:val="bottom"/>
            </w:pPr>
            <w:r>
              <w:rPr>
                <w:rFonts w:ascii="Arial" w:eastAsia="宋体" w:hAnsi="Arial" w:cs="Arial"/>
                <w:b/>
                <w:bCs/>
                <w:color w:val="000000"/>
                <w:sz w:val="17"/>
                <w:szCs w:val="17"/>
              </w:rPr>
              <w:t>19,940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03C"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03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03E" w14:textId="77777777" w:rsidR="008E7A10" w:rsidRDefault="00E047B2">
            <w:pPr>
              <w:jc w:val="right"/>
              <w:textAlignment w:val="bottom"/>
            </w:pPr>
            <w:r>
              <w:rPr>
                <w:rFonts w:ascii="Arial" w:eastAsia="宋体" w:hAnsi="Arial" w:cs="Arial"/>
                <w:b/>
                <w:bCs/>
                <w:color w:val="000000"/>
                <w:sz w:val="17"/>
                <w:szCs w:val="17"/>
              </w:rPr>
              <w:t>1,035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03F"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04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041" w14:textId="77777777" w:rsidR="008E7A10" w:rsidRDefault="00E047B2">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042"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04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044" w14:textId="77777777" w:rsidR="008E7A10" w:rsidRDefault="00E047B2">
            <w:pPr>
              <w:jc w:val="right"/>
              <w:textAlignment w:val="bottom"/>
            </w:pPr>
            <w:r>
              <w:rPr>
                <w:rFonts w:ascii="Arial" w:eastAsia="宋体" w:hAnsi="Arial" w:cs="Arial"/>
                <w:b/>
                <w:bCs/>
                <w:color w:val="000000"/>
                <w:sz w:val="17"/>
                <w:szCs w:val="17"/>
              </w:rPr>
              <w:t>20,986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045" w14:textId="77777777" w:rsidR="008E7A10" w:rsidRDefault="008E7A10">
            <w:pPr>
              <w:jc w:val="right"/>
              <w:rPr>
                <w:rFonts w:ascii="宋体"/>
              </w:rPr>
            </w:pPr>
          </w:p>
        </w:tc>
      </w:tr>
      <w:tr w:rsidR="008E7A10" w14:paraId="746F105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047"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tcPr>
          <w:p w14:paraId="746F104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49"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4A"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4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4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4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4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4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50" w14:textId="77777777" w:rsidR="008E7A10" w:rsidRDefault="008E7A10">
            <w:pPr>
              <w:rPr>
                <w:rFonts w:ascii="宋体"/>
              </w:rPr>
            </w:pPr>
          </w:p>
        </w:tc>
      </w:tr>
      <w:tr w:rsidR="008E7A10" w14:paraId="746F106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052" w14:textId="77777777" w:rsidR="008E7A10" w:rsidRDefault="00E047B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auto"/>
            <w:tcMar>
              <w:top w:w="40" w:type="dxa"/>
              <w:left w:w="20" w:type="dxa"/>
              <w:bottom w:w="40" w:type="dxa"/>
              <w:right w:w="0" w:type="dxa"/>
            </w:tcMar>
            <w:vAlign w:val="bottom"/>
          </w:tcPr>
          <w:p w14:paraId="746F1053"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054" w14:textId="77777777" w:rsidR="008E7A10" w:rsidRDefault="00E047B2">
            <w:pPr>
              <w:jc w:val="right"/>
              <w:textAlignment w:val="bottom"/>
            </w:pPr>
            <w:r>
              <w:rPr>
                <w:rFonts w:ascii="Arial" w:eastAsia="宋体" w:hAnsi="Arial" w:cs="Arial"/>
                <w:color w:val="000000"/>
                <w:sz w:val="17"/>
                <w:szCs w:val="17"/>
              </w:rPr>
              <w:t>5,598 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55"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05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057" w14:textId="77777777" w:rsidR="008E7A10" w:rsidRDefault="00E047B2">
            <w:pPr>
              <w:jc w:val="right"/>
              <w:textAlignment w:val="bottom"/>
            </w:pPr>
            <w:r>
              <w:rPr>
                <w:rFonts w:ascii="Arial" w:eastAsia="宋体" w:hAnsi="Arial" w:cs="Arial"/>
                <w:color w:val="000000"/>
                <w:sz w:val="17"/>
                <w:szCs w:val="17"/>
              </w:rPr>
              <w:t>3,836 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58"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05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05A" w14:textId="77777777" w:rsidR="008E7A10" w:rsidRDefault="00E047B2">
            <w:pPr>
              <w:jc w:val="right"/>
              <w:textAlignment w:val="bottom"/>
            </w:pPr>
            <w:r>
              <w:rPr>
                <w:rFonts w:ascii="Arial" w:eastAsia="宋体" w:hAnsi="Arial" w:cs="Arial"/>
                <w:color w:val="000000"/>
                <w:sz w:val="17"/>
                <w:szCs w:val="17"/>
              </w:rPr>
              <w:t>2,014 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5B"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05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05D" w14:textId="77777777" w:rsidR="008E7A10" w:rsidRDefault="00E047B2">
            <w:pPr>
              <w:jc w:val="right"/>
              <w:textAlignment w:val="bottom"/>
            </w:pPr>
            <w:r>
              <w:rPr>
                <w:rFonts w:ascii="Arial" w:eastAsia="宋体" w:hAnsi="Arial" w:cs="Arial"/>
                <w:color w:val="000000"/>
                <w:sz w:val="17"/>
                <w:szCs w:val="17"/>
              </w:rPr>
              <w:t>1,972 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5E"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05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060"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61"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06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063" w14:textId="77777777" w:rsidR="008E7A10" w:rsidRDefault="00E047B2">
            <w:pPr>
              <w:jc w:val="right"/>
              <w:textAlignment w:val="bottom"/>
            </w:pPr>
            <w:r>
              <w:rPr>
                <w:rFonts w:ascii="Arial" w:eastAsia="宋体" w:hAnsi="Arial" w:cs="Arial"/>
                <w:color w:val="000000"/>
                <w:sz w:val="17"/>
                <w:szCs w:val="17"/>
              </w:rPr>
              <w:t>13,420 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64"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06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066" w14:textId="77777777" w:rsidR="008E7A10" w:rsidRDefault="00E047B2">
            <w:pPr>
              <w:jc w:val="right"/>
              <w:textAlignment w:val="bottom"/>
            </w:pPr>
            <w:r>
              <w:rPr>
                <w:rFonts w:ascii="Arial" w:eastAsia="宋体" w:hAnsi="Arial" w:cs="Arial"/>
                <w:color w:val="000000"/>
                <w:sz w:val="17"/>
                <w:szCs w:val="17"/>
              </w:rPr>
              <w:t>653 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67"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06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069"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6A"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06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06C" w14:textId="77777777" w:rsidR="008E7A10" w:rsidRDefault="00E047B2">
            <w:pPr>
              <w:jc w:val="right"/>
              <w:textAlignment w:val="bottom"/>
            </w:pPr>
            <w:r>
              <w:rPr>
                <w:rFonts w:ascii="Arial" w:eastAsia="宋体" w:hAnsi="Arial" w:cs="Arial"/>
                <w:color w:val="000000"/>
                <w:sz w:val="17"/>
                <w:szCs w:val="17"/>
              </w:rPr>
              <w:t>14,073 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6D" w14:textId="77777777" w:rsidR="008E7A10" w:rsidRDefault="008E7A10">
            <w:pPr>
              <w:jc w:val="right"/>
              <w:rPr>
                <w:rFonts w:ascii="宋体"/>
              </w:rPr>
            </w:pPr>
          </w:p>
        </w:tc>
      </w:tr>
      <w:tr w:rsidR="008E7A10" w14:paraId="746F1082"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06F" w14:textId="77777777" w:rsidR="008E7A10" w:rsidRDefault="00E047B2">
            <w:pPr>
              <w:textAlignment w:val="bottom"/>
            </w:pPr>
            <w:r>
              <w:rPr>
                <w:rFonts w:ascii="Arial" w:eastAsia="宋体" w:hAnsi="Arial" w:cs="Arial"/>
                <w:color w:val="000000"/>
                <w:sz w:val="17"/>
                <w:szCs w:val="17"/>
              </w:rPr>
              <w:t>Sales through Direct to Consumer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70" w14:textId="77777777" w:rsidR="008E7A10" w:rsidRDefault="00E047B2">
            <w:pPr>
              <w:jc w:val="right"/>
              <w:textAlignment w:val="bottom"/>
            </w:pPr>
            <w:r>
              <w:rPr>
                <w:rFonts w:ascii="Arial" w:eastAsia="宋体" w:hAnsi="Arial" w:cs="Arial"/>
                <w:color w:val="000000"/>
                <w:sz w:val="17"/>
                <w:szCs w:val="17"/>
              </w:rPr>
              <w:t>2,677 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7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72" w14:textId="77777777" w:rsidR="008E7A10" w:rsidRDefault="00E047B2">
            <w:pPr>
              <w:jc w:val="right"/>
              <w:textAlignment w:val="bottom"/>
            </w:pPr>
            <w:r>
              <w:rPr>
                <w:rFonts w:ascii="Arial" w:eastAsia="宋体" w:hAnsi="Arial" w:cs="Arial"/>
                <w:color w:val="000000"/>
                <w:sz w:val="17"/>
                <w:szCs w:val="17"/>
              </w:rPr>
              <w:t>1,474 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7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74" w14:textId="77777777" w:rsidR="008E7A10" w:rsidRDefault="00E047B2">
            <w:pPr>
              <w:jc w:val="right"/>
              <w:textAlignment w:val="bottom"/>
            </w:pPr>
            <w:r>
              <w:rPr>
                <w:rFonts w:ascii="Arial" w:eastAsia="宋体" w:hAnsi="Arial" w:cs="Arial"/>
                <w:color w:val="000000"/>
                <w:sz w:val="17"/>
                <w:szCs w:val="17"/>
              </w:rPr>
              <w:t>1,512 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7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76" w14:textId="77777777" w:rsidR="008E7A10" w:rsidRDefault="00E047B2">
            <w:pPr>
              <w:jc w:val="right"/>
              <w:textAlignment w:val="bottom"/>
            </w:pPr>
            <w:r>
              <w:rPr>
                <w:rFonts w:ascii="Arial" w:eastAsia="宋体" w:hAnsi="Arial" w:cs="Arial"/>
                <w:color w:val="000000"/>
                <w:sz w:val="17"/>
                <w:szCs w:val="17"/>
              </w:rPr>
              <w:t>841 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7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7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7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7A" w14:textId="77777777" w:rsidR="008E7A10" w:rsidRDefault="00E047B2">
            <w:pPr>
              <w:jc w:val="right"/>
              <w:textAlignment w:val="bottom"/>
            </w:pPr>
            <w:r>
              <w:rPr>
                <w:rFonts w:ascii="Arial" w:eastAsia="宋体" w:hAnsi="Arial" w:cs="Arial"/>
                <w:color w:val="000000"/>
                <w:sz w:val="17"/>
                <w:szCs w:val="17"/>
              </w:rPr>
              <w:t>6,504 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7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7C" w14:textId="77777777" w:rsidR="008E7A10" w:rsidRDefault="00E047B2">
            <w:pPr>
              <w:jc w:val="right"/>
              <w:textAlignment w:val="bottom"/>
            </w:pPr>
            <w:r>
              <w:rPr>
                <w:rFonts w:ascii="Arial" w:eastAsia="宋体" w:hAnsi="Arial" w:cs="Arial"/>
                <w:color w:val="000000"/>
                <w:sz w:val="17"/>
                <w:szCs w:val="17"/>
              </w:rPr>
              <w:t>330 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7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7E"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7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80" w14:textId="77777777" w:rsidR="008E7A10" w:rsidRDefault="00E047B2">
            <w:pPr>
              <w:jc w:val="right"/>
              <w:textAlignment w:val="bottom"/>
            </w:pPr>
            <w:r>
              <w:rPr>
                <w:rFonts w:ascii="Arial" w:eastAsia="宋体" w:hAnsi="Arial" w:cs="Arial"/>
                <w:color w:val="000000"/>
                <w:sz w:val="17"/>
                <w:szCs w:val="17"/>
              </w:rPr>
              <w:t>6,834 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81" w14:textId="77777777" w:rsidR="008E7A10" w:rsidRDefault="008E7A10">
            <w:pPr>
              <w:jc w:val="right"/>
              <w:rPr>
                <w:rFonts w:ascii="宋体"/>
              </w:rPr>
            </w:pPr>
          </w:p>
        </w:tc>
      </w:tr>
      <w:tr w:rsidR="008E7A10" w14:paraId="746F109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083" w14:textId="77777777" w:rsidR="008E7A10" w:rsidRDefault="00E047B2">
            <w:pPr>
              <w:textAlignment w:val="bottom"/>
            </w:pPr>
            <w:r>
              <w:rPr>
                <w:rFonts w:ascii="Arial" w:eastAsia="宋体" w:hAnsi="Arial" w:cs="Arial"/>
                <w:color w:val="000000"/>
                <w:sz w:val="17"/>
                <w:szCs w:val="17"/>
              </w:rPr>
              <w:t>Other</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84"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8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86"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8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8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8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8A"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8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8C"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8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8E"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8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90" w14:textId="77777777" w:rsidR="008E7A10" w:rsidRDefault="00E047B2">
            <w:pPr>
              <w:jc w:val="right"/>
              <w:textAlignment w:val="bottom"/>
            </w:pPr>
            <w:r>
              <w:rPr>
                <w:rFonts w:ascii="Arial" w:eastAsia="宋体" w:hAnsi="Arial" w:cs="Arial"/>
                <w:color w:val="000000"/>
                <w:sz w:val="17"/>
                <w:szCs w:val="17"/>
              </w:rPr>
              <w:t>52 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9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92"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9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094" w14:textId="77777777" w:rsidR="008E7A10" w:rsidRDefault="00E047B2">
            <w:pPr>
              <w:jc w:val="right"/>
              <w:textAlignment w:val="bottom"/>
            </w:pPr>
            <w:r>
              <w:rPr>
                <w:rFonts w:ascii="Arial" w:eastAsia="宋体" w:hAnsi="Arial" w:cs="Arial"/>
                <w:color w:val="000000"/>
                <w:sz w:val="17"/>
                <w:szCs w:val="17"/>
              </w:rPr>
              <w:t>79 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095" w14:textId="77777777" w:rsidR="008E7A10" w:rsidRDefault="008E7A10">
            <w:pPr>
              <w:jc w:val="right"/>
              <w:rPr>
                <w:rFonts w:ascii="宋体"/>
              </w:rPr>
            </w:pPr>
          </w:p>
        </w:tc>
      </w:tr>
      <w:tr w:rsidR="008E7A10" w14:paraId="746F10B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097"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09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099" w14:textId="77777777" w:rsidR="008E7A10" w:rsidRDefault="00E047B2">
            <w:pPr>
              <w:jc w:val="right"/>
              <w:textAlignment w:val="bottom"/>
            </w:pPr>
            <w:r>
              <w:rPr>
                <w:rFonts w:ascii="Arial" w:eastAsia="宋体" w:hAnsi="Arial" w:cs="Arial"/>
                <w:b/>
                <w:bCs/>
                <w:color w:val="000000"/>
                <w:sz w:val="17"/>
                <w:szCs w:val="17"/>
              </w:rPr>
              <w:t>8,275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09A"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09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09C" w14:textId="77777777" w:rsidR="008E7A10" w:rsidRDefault="00E047B2">
            <w:pPr>
              <w:jc w:val="right"/>
              <w:textAlignment w:val="bottom"/>
            </w:pPr>
            <w:r>
              <w:rPr>
                <w:rFonts w:ascii="Arial" w:eastAsia="宋体" w:hAnsi="Arial" w:cs="Arial"/>
                <w:b/>
                <w:bCs/>
                <w:color w:val="000000"/>
                <w:sz w:val="17"/>
                <w:szCs w:val="17"/>
              </w:rPr>
              <w:t>5,310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09D"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09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09F" w14:textId="77777777" w:rsidR="008E7A10" w:rsidRDefault="00E047B2">
            <w:pPr>
              <w:jc w:val="right"/>
              <w:textAlignment w:val="bottom"/>
            </w:pPr>
            <w:r>
              <w:rPr>
                <w:rFonts w:ascii="Arial" w:eastAsia="宋体" w:hAnsi="Arial" w:cs="Arial"/>
                <w:b/>
                <w:bCs/>
                <w:color w:val="000000"/>
                <w:sz w:val="17"/>
                <w:szCs w:val="17"/>
              </w:rPr>
              <w:t>3,526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0A0"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0A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0A2" w14:textId="77777777" w:rsidR="008E7A10" w:rsidRDefault="00E047B2">
            <w:pPr>
              <w:jc w:val="right"/>
              <w:textAlignment w:val="bottom"/>
            </w:pPr>
            <w:r>
              <w:rPr>
                <w:rFonts w:ascii="Arial" w:eastAsia="宋体" w:hAnsi="Arial" w:cs="Arial"/>
                <w:b/>
                <w:bCs/>
                <w:color w:val="000000"/>
                <w:sz w:val="17"/>
                <w:szCs w:val="17"/>
              </w:rPr>
              <w:t>2,813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0A3"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0A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0A5" w14:textId="77777777" w:rsidR="008E7A10" w:rsidRDefault="00E047B2">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0A6"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0A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0A8" w14:textId="77777777" w:rsidR="008E7A10" w:rsidRDefault="00E047B2">
            <w:pPr>
              <w:jc w:val="right"/>
              <w:textAlignment w:val="bottom"/>
            </w:pPr>
            <w:r>
              <w:rPr>
                <w:rFonts w:ascii="Arial" w:eastAsia="宋体" w:hAnsi="Arial" w:cs="Arial"/>
                <w:b/>
                <w:bCs/>
                <w:color w:val="000000"/>
                <w:sz w:val="17"/>
                <w:szCs w:val="17"/>
              </w:rPr>
              <w:t>19,940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0A9"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0A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0AB" w14:textId="77777777" w:rsidR="008E7A10" w:rsidRDefault="00E047B2">
            <w:pPr>
              <w:jc w:val="right"/>
              <w:textAlignment w:val="bottom"/>
            </w:pPr>
            <w:r>
              <w:rPr>
                <w:rFonts w:ascii="Arial" w:eastAsia="宋体" w:hAnsi="Arial" w:cs="Arial"/>
                <w:b/>
                <w:bCs/>
                <w:color w:val="000000"/>
                <w:sz w:val="17"/>
                <w:szCs w:val="17"/>
              </w:rPr>
              <w:t>1,035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0AC"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0A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0AE" w14:textId="77777777" w:rsidR="008E7A10" w:rsidRDefault="00E047B2">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0AF"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0B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0B1" w14:textId="77777777" w:rsidR="008E7A10" w:rsidRDefault="00E047B2">
            <w:pPr>
              <w:jc w:val="right"/>
              <w:textAlignment w:val="bottom"/>
            </w:pPr>
            <w:r>
              <w:rPr>
                <w:rFonts w:ascii="Arial" w:eastAsia="宋体" w:hAnsi="Arial" w:cs="Arial"/>
                <w:b/>
                <w:bCs/>
                <w:color w:val="000000"/>
                <w:sz w:val="17"/>
                <w:szCs w:val="17"/>
              </w:rPr>
              <w:t>20,986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0B2" w14:textId="77777777" w:rsidR="008E7A10" w:rsidRDefault="008E7A10">
            <w:pPr>
              <w:jc w:val="right"/>
              <w:rPr>
                <w:rFonts w:ascii="宋体"/>
              </w:rPr>
            </w:pPr>
          </w:p>
        </w:tc>
      </w:tr>
    </w:tbl>
    <w:p w14:paraId="746F10B4" w14:textId="77777777" w:rsidR="008E7A10" w:rsidRDefault="008E7A10"/>
    <w:p w14:paraId="746F10B5" w14:textId="77777777" w:rsidR="008E7A10" w:rsidRDefault="00E047B2">
      <w:r>
        <w:rPr>
          <w:rFonts w:ascii="Arial" w:eastAsia="宋体" w:hAnsi="Arial" w:cs="Arial"/>
          <w:color w:val="000000"/>
          <w:sz w:val="17"/>
          <w:szCs w:val="17"/>
        </w:rPr>
        <w:t xml:space="preserve">For the three and six months ended November 30, 2020 and 2019, Global Brand Divisions revenues include NIKE Brand licensing revenues as well as other miscellaneous </w:t>
      </w:r>
      <w:r>
        <w:rPr>
          <w:rFonts w:ascii="Arial" w:eastAsia="宋体" w:hAnsi="Arial" w:cs="Arial"/>
          <w:color w:val="000000"/>
          <w:sz w:val="17"/>
          <w:szCs w:val="17"/>
        </w:rPr>
        <w:t>revenues that are not part of a geographic operating segment. Converse Other revenues were primarily attributable to licensing businesses. Corporate Other revenues primarily consisted of foreign currency hedge gains and losses related to revenues generated</w:t>
      </w:r>
      <w:r>
        <w:rPr>
          <w:rFonts w:ascii="Arial" w:eastAsia="宋体" w:hAnsi="Arial" w:cs="Arial"/>
          <w:color w:val="000000"/>
          <w:sz w:val="17"/>
          <w:szCs w:val="17"/>
        </w:rPr>
        <w:t xml:space="preserve"> by entities within the NIKE Brand geographic operating segments and Converse but managed through the Company's central foreign exchange risk management program.</w:t>
      </w:r>
    </w:p>
    <w:p w14:paraId="746F10B6" w14:textId="77777777" w:rsidR="008E7A10" w:rsidRDefault="00E047B2">
      <w:pPr>
        <w:spacing w:before="120" w:after="120"/>
      </w:pPr>
      <w:r>
        <w:rPr>
          <w:rFonts w:ascii="Arial" w:eastAsia="宋体" w:hAnsi="Arial" w:cs="Arial"/>
          <w:color w:val="000000"/>
          <w:sz w:val="17"/>
          <w:szCs w:val="17"/>
        </w:rPr>
        <w:t>As of November 30, 2020 and May 31, 2020, the Company did not have any contract assets and had</w:t>
      </w:r>
      <w:r>
        <w:rPr>
          <w:rFonts w:ascii="Arial" w:eastAsia="宋体" w:hAnsi="Arial" w:cs="Arial"/>
          <w:color w:val="000000"/>
          <w:sz w:val="17"/>
          <w:szCs w:val="17"/>
        </w:rPr>
        <w:t xml:space="preserve"> an immaterial amount of contract liabilities recorded in Accrued liabilities on the Unaudited Condensed Consolidated Balance Sheets.</w:t>
      </w:r>
    </w:p>
    <w:p w14:paraId="746F10B7" w14:textId="77777777" w:rsidR="008E7A10" w:rsidRDefault="00E047B2">
      <w:pPr>
        <w:spacing w:before="120" w:after="120"/>
      </w:pPr>
      <w:r>
        <w:rPr>
          <w:rFonts w:ascii="Arial" w:eastAsia="宋体" w:hAnsi="Arial" w:cs="Arial"/>
          <w:color w:val="E87722"/>
          <w:sz w:val="17"/>
          <w:szCs w:val="17"/>
        </w:rPr>
        <w:t>20</w:t>
      </w:r>
      <w:r>
        <w:rPr>
          <w:rFonts w:ascii="sans-serif" w:eastAsia="sans-serif" w:hAnsi="sans-serif" w:cs="sans-serif"/>
          <w:color w:val="000000"/>
          <w:sz w:val="17"/>
          <w:szCs w:val="17"/>
        </w:rPr>
        <w:t xml:space="preserve"> </w:t>
      </w:r>
    </w:p>
    <w:p w14:paraId="746F10B8" w14:textId="77777777" w:rsidR="008E7A10" w:rsidRDefault="00E047B2">
      <w:r>
        <w:pict w14:anchorId="746F201C">
          <v:rect id="_x0000_i1046" style="width:415.3pt;height:1.5pt" o:hralign="center" o:hrstd="t" o:hr="t" fillcolor="#a0a0a0" stroked="f"/>
        </w:pict>
      </w:r>
    </w:p>
    <w:p w14:paraId="746F10B9" w14:textId="77777777" w:rsidR="008E7A10" w:rsidRDefault="008E7A10"/>
    <w:p w14:paraId="746F10BA" w14:textId="77777777" w:rsidR="008E7A10" w:rsidRDefault="00E047B2">
      <w:hyperlink r:id="rId91" w:anchor="i31a624617c6c41b38f8f700fa0df5bde_7" w:history="1">
        <w:r>
          <w:rPr>
            <w:rStyle w:val="a5"/>
            <w:rFonts w:ascii="sans-serif" w:eastAsia="sans-serif" w:hAnsi="sans-serif" w:cs="sans-serif"/>
            <w:sz w:val="17"/>
            <w:szCs w:val="17"/>
          </w:rPr>
          <w:t>Table of Contents</w:t>
        </w:r>
      </w:hyperlink>
    </w:p>
    <w:p w14:paraId="746F10BB" w14:textId="77777777" w:rsidR="008E7A10" w:rsidRDefault="008E7A10"/>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10BF" w14:textId="77777777">
        <w:tc>
          <w:tcPr>
            <w:tcW w:w="50" w:type="pct"/>
            <w:shd w:val="clear" w:color="auto" w:fill="auto"/>
          </w:tcPr>
          <w:p w14:paraId="746F10BC" w14:textId="77777777" w:rsidR="008E7A10" w:rsidRDefault="008E7A10">
            <w:pPr>
              <w:rPr>
                <w:rFonts w:ascii="宋体"/>
              </w:rPr>
            </w:pPr>
          </w:p>
        </w:tc>
        <w:tc>
          <w:tcPr>
            <w:tcW w:w="4945" w:type="pct"/>
            <w:shd w:val="clear" w:color="auto" w:fill="auto"/>
          </w:tcPr>
          <w:p w14:paraId="746F10BD" w14:textId="77777777" w:rsidR="008E7A10" w:rsidRDefault="008E7A10">
            <w:pPr>
              <w:rPr>
                <w:rFonts w:ascii="宋体"/>
              </w:rPr>
            </w:pPr>
          </w:p>
        </w:tc>
        <w:tc>
          <w:tcPr>
            <w:tcW w:w="5" w:type="pct"/>
            <w:shd w:val="clear" w:color="auto" w:fill="auto"/>
          </w:tcPr>
          <w:p w14:paraId="746F10BE" w14:textId="77777777" w:rsidR="008E7A10" w:rsidRDefault="008E7A10">
            <w:pPr>
              <w:rPr>
                <w:rFonts w:ascii="宋体"/>
              </w:rPr>
            </w:pPr>
          </w:p>
        </w:tc>
      </w:tr>
      <w:tr w:rsidR="008E7A10" w14:paraId="746F10C1" w14:textId="77777777">
        <w:tc>
          <w:tcPr>
            <w:tcW w:w="0" w:type="auto"/>
            <w:gridSpan w:val="3"/>
            <w:shd w:val="clear" w:color="auto" w:fill="auto"/>
            <w:tcMar>
              <w:top w:w="40" w:type="dxa"/>
              <w:left w:w="20" w:type="dxa"/>
              <w:bottom w:w="40" w:type="dxa"/>
              <w:right w:w="20" w:type="dxa"/>
            </w:tcMar>
            <w:vAlign w:val="bottom"/>
          </w:tcPr>
          <w:p w14:paraId="746F10C0" w14:textId="77777777" w:rsidR="008E7A10" w:rsidRDefault="00E047B2">
            <w:pPr>
              <w:textAlignment w:val="bottom"/>
            </w:pPr>
            <w:r>
              <w:rPr>
                <w:rFonts w:ascii="sans-serif" w:eastAsia="sans-serif" w:hAnsi="sans-serif" w:cs="sans-serif"/>
                <w:b/>
                <w:bCs/>
                <w:color w:val="E87722"/>
                <w:sz w:val="36"/>
                <w:szCs w:val="36"/>
              </w:rPr>
              <w:t>NOTE 12 — OPERATING SEGMENTS</w:t>
            </w:r>
          </w:p>
        </w:tc>
      </w:tr>
    </w:tbl>
    <w:p w14:paraId="746F10C2" w14:textId="77777777" w:rsidR="008E7A10" w:rsidRDefault="00E047B2">
      <w:pPr>
        <w:spacing w:before="120" w:after="120"/>
      </w:pPr>
      <w:r>
        <w:rPr>
          <w:rFonts w:ascii="Arial" w:eastAsia="宋体" w:hAnsi="Arial" w:cs="Arial"/>
          <w:color w:val="000000"/>
          <w:sz w:val="17"/>
          <w:szCs w:val="17"/>
        </w:rPr>
        <w:t xml:space="preserve">The Company's operating segments are </w:t>
      </w:r>
      <w:r>
        <w:rPr>
          <w:rFonts w:ascii="Arial" w:eastAsia="宋体" w:hAnsi="Arial" w:cs="Arial"/>
          <w:color w:val="000000"/>
          <w:sz w:val="17"/>
          <w:szCs w:val="17"/>
        </w:rPr>
        <w:t>evidence of the structure of the Company's internal organization. The NIKE Brand segments are defined by geographic regions for operations participating in NIKE Brand sales activity.</w:t>
      </w:r>
    </w:p>
    <w:p w14:paraId="746F10C3" w14:textId="77777777" w:rsidR="008E7A10" w:rsidRDefault="00E047B2">
      <w:pPr>
        <w:spacing w:before="120" w:after="120"/>
      </w:pPr>
      <w:r>
        <w:rPr>
          <w:rFonts w:ascii="Arial" w:eastAsia="宋体" w:hAnsi="Arial" w:cs="Arial"/>
          <w:color w:val="000000"/>
          <w:sz w:val="17"/>
          <w:szCs w:val="17"/>
        </w:rPr>
        <w:t>Each NIKE Brand geographic segment operates predominantly in one industry</w:t>
      </w:r>
      <w:r>
        <w:rPr>
          <w:rFonts w:ascii="Arial" w:eastAsia="宋体" w:hAnsi="Arial" w:cs="Arial"/>
          <w:color w:val="000000"/>
          <w:sz w:val="17"/>
          <w:szCs w:val="17"/>
        </w:rPr>
        <w:t>: the design, development, marketing and selling of athletic footwear, apparel and equipment. The Company's reportable operating segments for the NIKE Brand are: North America; Europe, Middle East &amp; Africa (EMEA); Greater China; and Asia Pacific &amp; Latin Am</w:t>
      </w:r>
      <w:r>
        <w:rPr>
          <w:rFonts w:ascii="Arial" w:eastAsia="宋体" w:hAnsi="Arial" w:cs="Arial"/>
          <w:color w:val="000000"/>
          <w:sz w:val="17"/>
          <w:szCs w:val="17"/>
        </w:rPr>
        <w:t xml:space="preserve">erica (APLA), and include results for the NIKE and Jordan brands. </w:t>
      </w:r>
    </w:p>
    <w:p w14:paraId="746F10C4" w14:textId="77777777" w:rsidR="008E7A10" w:rsidRDefault="00E047B2">
      <w:pPr>
        <w:spacing w:before="120" w:after="120"/>
      </w:pPr>
      <w:r>
        <w:rPr>
          <w:rFonts w:ascii="Arial" w:eastAsia="宋体" w:hAnsi="Arial" w:cs="Arial"/>
          <w:color w:val="000000"/>
          <w:sz w:val="17"/>
          <w:szCs w:val="17"/>
        </w:rPr>
        <w:t>The Company's NIKE Direct operations are managed within each NIKE Brand geographic operating segment. Converse is also a reportable segment for the Company, and operates in one industry: th</w:t>
      </w:r>
      <w:r>
        <w:rPr>
          <w:rFonts w:ascii="Arial" w:eastAsia="宋体" w:hAnsi="Arial" w:cs="Arial"/>
          <w:color w:val="000000"/>
          <w:sz w:val="17"/>
          <w:szCs w:val="17"/>
        </w:rPr>
        <w:t>e design, marketing, licensing and selling of athletic lifestyle sneakers, apparel and accessories.</w:t>
      </w:r>
    </w:p>
    <w:p w14:paraId="746F10C5" w14:textId="77777777" w:rsidR="008E7A10" w:rsidRDefault="00E047B2">
      <w:pPr>
        <w:spacing w:before="120" w:after="120"/>
      </w:pPr>
      <w:r>
        <w:rPr>
          <w:rFonts w:ascii="Arial" w:eastAsia="宋体" w:hAnsi="Arial" w:cs="Arial"/>
          <w:color w:val="000000"/>
          <w:sz w:val="17"/>
          <w:szCs w:val="17"/>
        </w:rPr>
        <w:t>Global Brand Divisions is included within the NIKE Brand for presentation purposes to align with the way management views the Company. Global Brand Division</w:t>
      </w:r>
      <w:r>
        <w:rPr>
          <w:rFonts w:ascii="Arial" w:eastAsia="宋体" w:hAnsi="Arial" w:cs="Arial"/>
          <w:color w:val="000000"/>
          <w:sz w:val="17"/>
          <w:szCs w:val="17"/>
        </w:rPr>
        <w:t>s revenues represent NIKE Brand licensing and other miscellaneous revenues that are not part of a geographic operating segment. Global Brand Divisions costs represent demand creation and operating overhead expense that include product creation and design e</w:t>
      </w:r>
      <w:r>
        <w:rPr>
          <w:rFonts w:ascii="Arial" w:eastAsia="宋体" w:hAnsi="Arial" w:cs="Arial"/>
          <w:color w:val="000000"/>
          <w:sz w:val="17"/>
          <w:szCs w:val="17"/>
        </w:rPr>
        <w:t xml:space="preserve">xpenses centrally managed for the NIKE Brand, as well as costs associated with NIKE Direct global digital operations and enterprise technology. </w:t>
      </w:r>
    </w:p>
    <w:p w14:paraId="746F10C6" w14:textId="77777777" w:rsidR="008E7A10" w:rsidRDefault="00E047B2">
      <w:pPr>
        <w:spacing w:before="120" w:after="120"/>
      </w:pPr>
      <w:r>
        <w:rPr>
          <w:rFonts w:ascii="Arial" w:eastAsia="宋体" w:hAnsi="Arial" w:cs="Arial"/>
          <w:color w:val="000000"/>
          <w:sz w:val="17"/>
          <w:szCs w:val="17"/>
        </w:rPr>
        <w:t xml:space="preserve">Corporate consists primarily of unallocated general and administrative expenses, including expenses associated </w:t>
      </w:r>
      <w:r>
        <w:rPr>
          <w:rFonts w:ascii="Arial" w:eastAsia="宋体" w:hAnsi="Arial" w:cs="Arial"/>
          <w:color w:val="000000"/>
          <w:sz w:val="17"/>
          <w:szCs w:val="17"/>
        </w:rPr>
        <w:t xml:space="preserve">with centrally managed departments; depreciation and amortization related to the Company's headquarters; unallocated insurance, benefit and compensation programs, including stock-based compensation; and certain foreign currency gains and losses, including </w:t>
      </w:r>
      <w:r>
        <w:rPr>
          <w:rFonts w:ascii="Arial" w:eastAsia="宋体" w:hAnsi="Arial" w:cs="Arial"/>
          <w:color w:val="000000"/>
          <w:sz w:val="17"/>
          <w:szCs w:val="17"/>
        </w:rPr>
        <w:t>certain hedge gains and losses.</w:t>
      </w:r>
    </w:p>
    <w:p w14:paraId="746F10C7" w14:textId="77777777" w:rsidR="008E7A10" w:rsidRDefault="00E047B2">
      <w:pPr>
        <w:spacing w:before="120" w:after="120"/>
      </w:pPr>
      <w:r>
        <w:rPr>
          <w:rFonts w:ascii="Arial" w:eastAsia="宋体" w:hAnsi="Arial" w:cs="Arial"/>
          <w:color w:val="000000"/>
          <w:sz w:val="17"/>
          <w:szCs w:val="17"/>
        </w:rPr>
        <w:t>The primary financial measure used by the Company to evaluate performance of individual operating segments is earnings before interest and taxes (EBIT), which represents Net income before Interest expense (income), net and I</w:t>
      </w:r>
      <w:r>
        <w:rPr>
          <w:rFonts w:ascii="Arial" w:eastAsia="宋体" w:hAnsi="Arial" w:cs="Arial"/>
          <w:color w:val="000000"/>
          <w:sz w:val="17"/>
          <w:szCs w:val="17"/>
        </w:rPr>
        <w:t>ncome tax expense in the Unaudited Condensed Consolidated Statements of Income.</w:t>
      </w:r>
    </w:p>
    <w:p w14:paraId="746F10C8" w14:textId="77777777" w:rsidR="008E7A10" w:rsidRDefault="00E047B2">
      <w:pPr>
        <w:spacing w:before="120" w:after="120"/>
      </w:pPr>
      <w:r>
        <w:rPr>
          <w:rFonts w:ascii="Arial" w:eastAsia="宋体" w:hAnsi="Arial" w:cs="Arial"/>
          <w:color w:val="000000"/>
          <w:sz w:val="17"/>
          <w:szCs w:val="17"/>
        </w:rPr>
        <w:t>As part of the Company's centrally managed foreign exchange risk management program, standard foreign currency rates are assigned twice per year to each NIKE Brand entity in th</w:t>
      </w:r>
      <w:r>
        <w:rPr>
          <w:rFonts w:ascii="Arial" w:eastAsia="宋体" w:hAnsi="Arial" w:cs="Arial"/>
          <w:color w:val="000000"/>
          <w:sz w:val="17"/>
          <w:szCs w:val="17"/>
        </w:rPr>
        <w:t>e Company's geographic operating segments and to Converse. These rates are set approximately nine and twelve months in advance of the future selling seasons to which they relate (specifically, for each currency, one standard rate applies to the fall and ho</w:t>
      </w:r>
      <w:r>
        <w:rPr>
          <w:rFonts w:ascii="Arial" w:eastAsia="宋体" w:hAnsi="Arial" w:cs="Arial"/>
          <w:color w:val="000000"/>
          <w:sz w:val="17"/>
          <w:szCs w:val="17"/>
        </w:rPr>
        <w:t xml:space="preserve">liday selling seasons and one standard rate applies to the spring and summer selling seasons) based on average market spot rates in the calendar month preceding the date they are established. Inventories and Cost of sales for geographic operating segments </w:t>
      </w:r>
      <w:r>
        <w:rPr>
          <w:rFonts w:ascii="Arial" w:eastAsia="宋体" w:hAnsi="Arial" w:cs="Arial"/>
          <w:color w:val="000000"/>
          <w:sz w:val="17"/>
          <w:szCs w:val="17"/>
        </w:rPr>
        <w:t>and Converse reflect the use of these standard rates to record non-functional currency product purchases in the entity's functional currency. Differences between assigned standard foreign currency rates and actual market rates are included in Corporate, to</w:t>
      </w:r>
      <w:r>
        <w:rPr>
          <w:rFonts w:ascii="Arial" w:eastAsia="宋体" w:hAnsi="Arial" w:cs="Arial"/>
          <w:color w:val="000000"/>
          <w:sz w:val="17"/>
          <w:szCs w:val="17"/>
        </w:rPr>
        <w:t>gether with foreign currency hedge gains and losses generated from the Company's centrally managed foreign exchange risk management program and other conversion gains and losses.</w:t>
      </w:r>
    </w:p>
    <w:p w14:paraId="746F10C9" w14:textId="77777777" w:rsidR="008E7A10" w:rsidRDefault="00E047B2">
      <w:pPr>
        <w:spacing w:before="120"/>
      </w:pPr>
      <w:r>
        <w:rPr>
          <w:rFonts w:ascii="Arial" w:eastAsia="宋体" w:hAnsi="Arial" w:cs="Arial"/>
          <w:color w:val="000000"/>
          <w:sz w:val="17"/>
          <w:szCs w:val="17"/>
        </w:rPr>
        <w:t xml:space="preserve">Accounts receivable, net, Inventories and Property, plant and equipment, net </w:t>
      </w:r>
      <w:r>
        <w:rPr>
          <w:rFonts w:ascii="Arial" w:eastAsia="宋体" w:hAnsi="Arial" w:cs="Arial"/>
          <w:color w:val="000000"/>
          <w:sz w:val="17"/>
          <w:szCs w:val="17"/>
        </w:rPr>
        <w:t>for operating segments are regularly reviewed by management and are therefore provided below.</w:t>
      </w:r>
    </w:p>
    <w:p w14:paraId="746F10CA" w14:textId="77777777" w:rsidR="008E7A10" w:rsidRDefault="00E047B2">
      <w:pPr>
        <w:spacing w:before="120" w:after="120"/>
        <w:jc w:val="right"/>
      </w:pPr>
      <w:r>
        <w:rPr>
          <w:rFonts w:ascii="Arial" w:eastAsia="宋体" w:hAnsi="Arial" w:cs="Arial"/>
          <w:color w:val="E87722"/>
          <w:sz w:val="17"/>
          <w:szCs w:val="17"/>
        </w:rPr>
        <w:t>21</w:t>
      </w:r>
    </w:p>
    <w:p w14:paraId="746F10CB" w14:textId="77777777" w:rsidR="008E7A10" w:rsidRDefault="00E047B2">
      <w:r>
        <w:pict w14:anchorId="746F201D">
          <v:rect id="_x0000_i1047" style="width:415.3pt;height:1.5pt" o:hralign="center" o:hrstd="t" o:hr="t" fillcolor="#a0a0a0" stroked="f"/>
        </w:pict>
      </w:r>
    </w:p>
    <w:p w14:paraId="746F10CC" w14:textId="77777777" w:rsidR="008E7A10" w:rsidRDefault="008E7A10"/>
    <w:p w14:paraId="746F10CD" w14:textId="77777777" w:rsidR="008E7A10" w:rsidRDefault="00E047B2">
      <w:hyperlink r:id="rId92" w:anchor="i31a624617c6c41b38f8f700fa0df5bde_7" w:history="1">
        <w:r>
          <w:rPr>
            <w:rStyle w:val="a5"/>
            <w:rFonts w:ascii="sans-serif" w:eastAsia="sans-serif" w:hAnsi="sans-serif" w:cs="sans-serif"/>
            <w:sz w:val="17"/>
            <w:szCs w:val="17"/>
          </w:rPr>
          <w:t>Table o</w:t>
        </w:r>
        <w:r>
          <w:rPr>
            <w:rStyle w:val="a5"/>
            <w:rFonts w:ascii="sans-serif" w:eastAsia="sans-serif" w:hAnsi="sans-serif" w:cs="sans-serif"/>
            <w:sz w:val="17"/>
            <w:szCs w:val="17"/>
          </w:rPr>
          <w:t>f Contents</w:t>
        </w:r>
      </w:hyperlink>
    </w:p>
    <w:p w14:paraId="746F10CE" w14:textId="77777777" w:rsidR="008E7A10" w:rsidRDefault="008E7A10"/>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500"/>
        <w:gridCol w:w="37"/>
        <w:gridCol w:w="115"/>
        <w:gridCol w:w="721"/>
        <w:gridCol w:w="36"/>
        <w:gridCol w:w="36"/>
        <w:gridCol w:w="36"/>
        <w:gridCol w:w="36"/>
        <w:gridCol w:w="115"/>
        <w:gridCol w:w="669"/>
        <w:gridCol w:w="36"/>
        <w:gridCol w:w="36"/>
        <w:gridCol w:w="36"/>
        <w:gridCol w:w="36"/>
        <w:gridCol w:w="115"/>
        <w:gridCol w:w="721"/>
        <w:gridCol w:w="36"/>
        <w:gridCol w:w="36"/>
        <w:gridCol w:w="36"/>
        <w:gridCol w:w="36"/>
        <w:gridCol w:w="115"/>
        <w:gridCol w:w="722"/>
        <w:gridCol w:w="36"/>
      </w:tblGrid>
      <w:tr w:rsidR="008E7A10" w14:paraId="746F10E7" w14:textId="77777777">
        <w:trPr>
          <w:jc w:val="center"/>
        </w:trPr>
        <w:tc>
          <w:tcPr>
            <w:tcW w:w="50" w:type="pct"/>
            <w:shd w:val="clear" w:color="auto" w:fill="auto"/>
          </w:tcPr>
          <w:p w14:paraId="746F10CF" w14:textId="77777777" w:rsidR="008E7A10" w:rsidRDefault="008E7A10">
            <w:pPr>
              <w:rPr>
                <w:rFonts w:ascii="宋体"/>
              </w:rPr>
            </w:pPr>
          </w:p>
        </w:tc>
        <w:tc>
          <w:tcPr>
            <w:tcW w:w="2745" w:type="pct"/>
            <w:shd w:val="clear" w:color="auto" w:fill="auto"/>
          </w:tcPr>
          <w:p w14:paraId="746F10D0" w14:textId="77777777" w:rsidR="008E7A10" w:rsidRDefault="008E7A10">
            <w:pPr>
              <w:rPr>
                <w:rFonts w:ascii="宋体"/>
              </w:rPr>
            </w:pPr>
          </w:p>
        </w:tc>
        <w:tc>
          <w:tcPr>
            <w:tcW w:w="5" w:type="pct"/>
            <w:shd w:val="clear" w:color="auto" w:fill="auto"/>
          </w:tcPr>
          <w:p w14:paraId="746F10D1" w14:textId="77777777" w:rsidR="008E7A10" w:rsidRDefault="008E7A10">
            <w:pPr>
              <w:rPr>
                <w:rFonts w:ascii="宋体"/>
              </w:rPr>
            </w:pPr>
          </w:p>
        </w:tc>
        <w:tc>
          <w:tcPr>
            <w:tcW w:w="50" w:type="pct"/>
            <w:shd w:val="clear" w:color="auto" w:fill="auto"/>
          </w:tcPr>
          <w:p w14:paraId="746F10D2" w14:textId="77777777" w:rsidR="008E7A10" w:rsidRDefault="008E7A10">
            <w:pPr>
              <w:rPr>
                <w:rFonts w:ascii="宋体"/>
              </w:rPr>
            </w:pPr>
          </w:p>
        </w:tc>
        <w:tc>
          <w:tcPr>
            <w:tcW w:w="469" w:type="pct"/>
            <w:shd w:val="clear" w:color="auto" w:fill="auto"/>
          </w:tcPr>
          <w:p w14:paraId="746F10D3" w14:textId="77777777" w:rsidR="008E7A10" w:rsidRDefault="008E7A10">
            <w:pPr>
              <w:rPr>
                <w:rFonts w:ascii="宋体"/>
              </w:rPr>
            </w:pPr>
          </w:p>
        </w:tc>
        <w:tc>
          <w:tcPr>
            <w:tcW w:w="5" w:type="pct"/>
            <w:shd w:val="clear" w:color="auto" w:fill="auto"/>
          </w:tcPr>
          <w:p w14:paraId="746F10D4" w14:textId="77777777" w:rsidR="008E7A10" w:rsidRDefault="008E7A10">
            <w:pPr>
              <w:rPr>
                <w:rFonts w:ascii="宋体"/>
              </w:rPr>
            </w:pPr>
          </w:p>
        </w:tc>
        <w:tc>
          <w:tcPr>
            <w:tcW w:w="5" w:type="pct"/>
            <w:shd w:val="clear" w:color="auto" w:fill="auto"/>
          </w:tcPr>
          <w:p w14:paraId="746F10D5" w14:textId="77777777" w:rsidR="008E7A10" w:rsidRDefault="008E7A10">
            <w:pPr>
              <w:rPr>
                <w:rFonts w:ascii="宋体"/>
              </w:rPr>
            </w:pPr>
          </w:p>
        </w:tc>
        <w:tc>
          <w:tcPr>
            <w:tcW w:w="28" w:type="pct"/>
            <w:shd w:val="clear" w:color="auto" w:fill="auto"/>
          </w:tcPr>
          <w:p w14:paraId="746F10D6" w14:textId="77777777" w:rsidR="008E7A10" w:rsidRDefault="008E7A10">
            <w:pPr>
              <w:rPr>
                <w:rFonts w:ascii="宋体"/>
              </w:rPr>
            </w:pPr>
          </w:p>
        </w:tc>
        <w:tc>
          <w:tcPr>
            <w:tcW w:w="5" w:type="pct"/>
            <w:shd w:val="clear" w:color="auto" w:fill="auto"/>
          </w:tcPr>
          <w:p w14:paraId="746F10D7" w14:textId="77777777" w:rsidR="008E7A10" w:rsidRDefault="008E7A10">
            <w:pPr>
              <w:rPr>
                <w:rFonts w:ascii="宋体"/>
              </w:rPr>
            </w:pPr>
          </w:p>
        </w:tc>
        <w:tc>
          <w:tcPr>
            <w:tcW w:w="50" w:type="pct"/>
            <w:shd w:val="clear" w:color="auto" w:fill="auto"/>
          </w:tcPr>
          <w:p w14:paraId="746F10D8" w14:textId="77777777" w:rsidR="008E7A10" w:rsidRDefault="008E7A10">
            <w:pPr>
              <w:rPr>
                <w:rFonts w:ascii="宋体"/>
              </w:rPr>
            </w:pPr>
          </w:p>
        </w:tc>
        <w:tc>
          <w:tcPr>
            <w:tcW w:w="469" w:type="pct"/>
            <w:shd w:val="clear" w:color="auto" w:fill="auto"/>
          </w:tcPr>
          <w:p w14:paraId="746F10D9" w14:textId="77777777" w:rsidR="008E7A10" w:rsidRDefault="008E7A10">
            <w:pPr>
              <w:rPr>
                <w:rFonts w:ascii="宋体"/>
              </w:rPr>
            </w:pPr>
          </w:p>
        </w:tc>
        <w:tc>
          <w:tcPr>
            <w:tcW w:w="5" w:type="pct"/>
            <w:shd w:val="clear" w:color="auto" w:fill="auto"/>
          </w:tcPr>
          <w:p w14:paraId="746F10DA" w14:textId="77777777" w:rsidR="008E7A10" w:rsidRDefault="008E7A10">
            <w:pPr>
              <w:rPr>
                <w:rFonts w:ascii="宋体"/>
              </w:rPr>
            </w:pPr>
          </w:p>
        </w:tc>
        <w:tc>
          <w:tcPr>
            <w:tcW w:w="5" w:type="pct"/>
            <w:shd w:val="clear" w:color="auto" w:fill="auto"/>
          </w:tcPr>
          <w:p w14:paraId="746F10DB" w14:textId="77777777" w:rsidR="008E7A10" w:rsidRDefault="008E7A10">
            <w:pPr>
              <w:rPr>
                <w:rFonts w:ascii="宋体"/>
              </w:rPr>
            </w:pPr>
          </w:p>
        </w:tc>
        <w:tc>
          <w:tcPr>
            <w:tcW w:w="20" w:type="pct"/>
            <w:shd w:val="clear" w:color="auto" w:fill="auto"/>
          </w:tcPr>
          <w:p w14:paraId="746F10DC" w14:textId="77777777" w:rsidR="008E7A10" w:rsidRDefault="008E7A10">
            <w:pPr>
              <w:rPr>
                <w:rFonts w:ascii="宋体"/>
              </w:rPr>
            </w:pPr>
          </w:p>
        </w:tc>
        <w:tc>
          <w:tcPr>
            <w:tcW w:w="5" w:type="pct"/>
            <w:shd w:val="clear" w:color="auto" w:fill="auto"/>
          </w:tcPr>
          <w:p w14:paraId="746F10DD" w14:textId="77777777" w:rsidR="008E7A10" w:rsidRDefault="008E7A10">
            <w:pPr>
              <w:rPr>
                <w:rFonts w:ascii="宋体"/>
              </w:rPr>
            </w:pPr>
          </w:p>
        </w:tc>
        <w:tc>
          <w:tcPr>
            <w:tcW w:w="50" w:type="pct"/>
            <w:shd w:val="clear" w:color="auto" w:fill="auto"/>
          </w:tcPr>
          <w:p w14:paraId="746F10DE" w14:textId="77777777" w:rsidR="008E7A10" w:rsidRDefault="008E7A10">
            <w:pPr>
              <w:rPr>
                <w:rFonts w:ascii="宋体"/>
              </w:rPr>
            </w:pPr>
          </w:p>
        </w:tc>
        <w:tc>
          <w:tcPr>
            <w:tcW w:w="469" w:type="pct"/>
            <w:shd w:val="clear" w:color="auto" w:fill="auto"/>
          </w:tcPr>
          <w:p w14:paraId="746F10DF" w14:textId="77777777" w:rsidR="008E7A10" w:rsidRDefault="008E7A10">
            <w:pPr>
              <w:rPr>
                <w:rFonts w:ascii="宋体"/>
              </w:rPr>
            </w:pPr>
          </w:p>
        </w:tc>
        <w:tc>
          <w:tcPr>
            <w:tcW w:w="5" w:type="pct"/>
            <w:shd w:val="clear" w:color="auto" w:fill="auto"/>
          </w:tcPr>
          <w:p w14:paraId="746F10E0" w14:textId="77777777" w:rsidR="008E7A10" w:rsidRDefault="008E7A10">
            <w:pPr>
              <w:rPr>
                <w:rFonts w:ascii="宋体"/>
              </w:rPr>
            </w:pPr>
          </w:p>
        </w:tc>
        <w:tc>
          <w:tcPr>
            <w:tcW w:w="5" w:type="pct"/>
            <w:shd w:val="clear" w:color="auto" w:fill="auto"/>
          </w:tcPr>
          <w:p w14:paraId="746F10E1" w14:textId="77777777" w:rsidR="008E7A10" w:rsidRDefault="008E7A10">
            <w:pPr>
              <w:rPr>
                <w:rFonts w:ascii="宋体"/>
              </w:rPr>
            </w:pPr>
          </w:p>
        </w:tc>
        <w:tc>
          <w:tcPr>
            <w:tcW w:w="20" w:type="pct"/>
            <w:shd w:val="clear" w:color="auto" w:fill="auto"/>
          </w:tcPr>
          <w:p w14:paraId="746F10E2" w14:textId="77777777" w:rsidR="008E7A10" w:rsidRDefault="008E7A10">
            <w:pPr>
              <w:rPr>
                <w:rFonts w:ascii="宋体"/>
              </w:rPr>
            </w:pPr>
          </w:p>
        </w:tc>
        <w:tc>
          <w:tcPr>
            <w:tcW w:w="5" w:type="pct"/>
            <w:shd w:val="clear" w:color="auto" w:fill="auto"/>
          </w:tcPr>
          <w:p w14:paraId="746F10E3" w14:textId="77777777" w:rsidR="008E7A10" w:rsidRDefault="008E7A10">
            <w:pPr>
              <w:rPr>
                <w:rFonts w:ascii="宋体"/>
              </w:rPr>
            </w:pPr>
          </w:p>
        </w:tc>
        <w:tc>
          <w:tcPr>
            <w:tcW w:w="50" w:type="pct"/>
            <w:shd w:val="clear" w:color="auto" w:fill="auto"/>
          </w:tcPr>
          <w:p w14:paraId="746F10E4" w14:textId="77777777" w:rsidR="008E7A10" w:rsidRDefault="008E7A10">
            <w:pPr>
              <w:rPr>
                <w:rFonts w:ascii="宋体"/>
              </w:rPr>
            </w:pPr>
          </w:p>
        </w:tc>
        <w:tc>
          <w:tcPr>
            <w:tcW w:w="469" w:type="pct"/>
            <w:shd w:val="clear" w:color="auto" w:fill="auto"/>
          </w:tcPr>
          <w:p w14:paraId="746F10E5" w14:textId="77777777" w:rsidR="008E7A10" w:rsidRDefault="008E7A10">
            <w:pPr>
              <w:rPr>
                <w:rFonts w:ascii="宋体"/>
              </w:rPr>
            </w:pPr>
          </w:p>
        </w:tc>
        <w:tc>
          <w:tcPr>
            <w:tcW w:w="5" w:type="pct"/>
            <w:shd w:val="clear" w:color="auto" w:fill="auto"/>
          </w:tcPr>
          <w:p w14:paraId="746F10E6" w14:textId="77777777" w:rsidR="008E7A10" w:rsidRDefault="008E7A10">
            <w:pPr>
              <w:rPr>
                <w:rFonts w:ascii="宋体"/>
              </w:rPr>
            </w:pPr>
          </w:p>
        </w:tc>
      </w:tr>
      <w:tr w:rsidR="008E7A10" w14:paraId="746F10EC" w14:textId="77777777">
        <w:trPr>
          <w:jc w:val="center"/>
        </w:trPr>
        <w:tc>
          <w:tcPr>
            <w:tcW w:w="0" w:type="auto"/>
            <w:gridSpan w:val="3"/>
            <w:shd w:val="clear" w:color="auto" w:fill="auto"/>
            <w:tcMar>
              <w:top w:w="40" w:type="dxa"/>
              <w:left w:w="20" w:type="dxa"/>
              <w:bottom w:w="40" w:type="dxa"/>
              <w:right w:w="20" w:type="dxa"/>
            </w:tcMar>
            <w:vAlign w:val="bottom"/>
          </w:tcPr>
          <w:p w14:paraId="746F10E8" w14:textId="77777777" w:rsidR="008E7A10" w:rsidRDefault="00E047B2">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746F10E9"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0EA"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0EB"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0F5" w14:textId="77777777">
        <w:trPr>
          <w:jc w:val="center"/>
        </w:trPr>
        <w:tc>
          <w:tcPr>
            <w:tcW w:w="0" w:type="auto"/>
            <w:gridSpan w:val="3"/>
            <w:shd w:val="clear" w:color="auto" w:fill="auto"/>
            <w:tcMar>
              <w:top w:w="40" w:type="dxa"/>
              <w:left w:w="20" w:type="dxa"/>
              <w:bottom w:w="40" w:type="dxa"/>
              <w:right w:w="20" w:type="dxa"/>
            </w:tcMar>
            <w:vAlign w:val="bottom"/>
          </w:tcPr>
          <w:p w14:paraId="746F10ED"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0EE"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0" w:type="dxa"/>
              <w:left w:w="20" w:type="dxa"/>
              <w:bottom w:w="0" w:type="dxa"/>
              <w:right w:w="20" w:type="dxa"/>
            </w:tcMar>
          </w:tcPr>
          <w:p w14:paraId="746F10EF"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0F0"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tcPr>
          <w:p w14:paraId="746F10F1"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0F2"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0" w:type="dxa"/>
              <w:left w:w="20" w:type="dxa"/>
              <w:bottom w:w="0" w:type="dxa"/>
              <w:right w:w="20" w:type="dxa"/>
            </w:tcMar>
          </w:tcPr>
          <w:p w14:paraId="746F10F3"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0F4" w14:textId="77777777" w:rsidR="008E7A10" w:rsidRDefault="00E047B2">
            <w:pPr>
              <w:jc w:val="center"/>
              <w:textAlignment w:val="bottom"/>
            </w:pPr>
            <w:r>
              <w:rPr>
                <w:rFonts w:ascii="sans-serif" w:eastAsia="sans-serif" w:hAnsi="sans-serif" w:cs="sans-serif"/>
                <w:b/>
                <w:bCs/>
                <w:color w:val="000000"/>
                <w:sz w:val="17"/>
                <w:szCs w:val="17"/>
              </w:rPr>
              <w:t>2019</w:t>
            </w:r>
          </w:p>
        </w:tc>
      </w:tr>
      <w:tr w:rsidR="008E7A10" w14:paraId="746F10F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0F6" w14:textId="77777777" w:rsidR="008E7A10" w:rsidRDefault="00E047B2">
            <w:pPr>
              <w:textAlignment w:val="bottom"/>
            </w:pPr>
            <w:r>
              <w:rPr>
                <w:rFonts w:ascii="Arial" w:eastAsia="宋体" w:hAnsi="Arial" w:cs="Arial"/>
                <w:b/>
                <w:bCs/>
                <w:color w:val="000000"/>
                <w:sz w:val="17"/>
                <w:szCs w:val="17"/>
              </w:rPr>
              <w:t>REVENUES</w:t>
            </w:r>
          </w:p>
        </w:tc>
        <w:tc>
          <w:tcPr>
            <w:tcW w:w="0" w:type="auto"/>
            <w:gridSpan w:val="3"/>
            <w:tcBorders>
              <w:top w:val="single" w:sz="8" w:space="0" w:color="E87722"/>
            </w:tcBorders>
            <w:shd w:val="clear" w:color="auto" w:fill="FFF1E7"/>
            <w:tcMar>
              <w:top w:w="0" w:type="dxa"/>
              <w:left w:w="20" w:type="dxa"/>
              <w:bottom w:w="0" w:type="dxa"/>
              <w:right w:w="20" w:type="dxa"/>
            </w:tcMar>
          </w:tcPr>
          <w:p w14:paraId="746F10F7"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F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F9"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FA"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0F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F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0FD" w14:textId="77777777" w:rsidR="008E7A10" w:rsidRDefault="008E7A10">
            <w:pPr>
              <w:rPr>
                <w:rFonts w:ascii="宋体"/>
              </w:rPr>
            </w:pPr>
          </w:p>
        </w:tc>
      </w:tr>
      <w:tr w:rsidR="008E7A10" w14:paraId="746F110F"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0FF" w14:textId="77777777" w:rsidR="008E7A10" w:rsidRDefault="00E047B2">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10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101" w14:textId="77777777" w:rsidR="008E7A10" w:rsidRDefault="00E047B2">
            <w:pPr>
              <w:jc w:val="right"/>
              <w:textAlignment w:val="bottom"/>
            </w:pPr>
            <w:r>
              <w:rPr>
                <w:rFonts w:ascii="Arial" w:eastAsia="宋体" w:hAnsi="Arial" w:cs="Arial"/>
                <w:color w:val="000000"/>
                <w:sz w:val="17"/>
                <w:szCs w:val="17"/>
              </w:rPr>
              <w:t>4,006 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0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03"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10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105" w14:textId="77777777" w:rsidR="008E7A10" w:rsidRDefault="00E047B2">
            <w:pPr>
              <w:jc w:val="right"/>
              <w:textAlignment w:val="bottom"/>
            </w:pPr>
            <w:r>
              <w:rPr>
                <w:rFonts w:ascii="Arial" w:eastAsia="宋体" w:hAnsi="Arial" w:cs="Arial"/>
                <w:color w:val="000000"/>
                <w:sz w:val="17"/>
                <w:szCs w:val="17"/>
              </w:rPr>
              <w:t>3,982 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06"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07"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10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109" w14:textId="77777777" w:rsidR="008E7A10" w:rsidRDefault="00E047B2">
            <w:pPr>
              <w:jc w:val="right"/>
              <w:textAlignment w:val="bottom"/>
            </w:pPr>
            <w:r>
              <w:rPr>
                <w:rFonts w:ascii="Arial" w:eastAsia="宋体" w:hAnsi="Arial" w:cs="Arial"/>
                <w:color w:val="000000"/>
                <w:sz w:val="17"/>
                <w:szCs w:val="17"/>
              </w:rPr>
              <w:t>8,231 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0A"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0B"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10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10D" w14:textId="77777777" w:rsidR="008E7A10" w:rsidRDefault="00E047B2">
            <w:pPr>
              <w:jc w:val="right"/>
              <w:textAlignment w:val="bottom"/>
            </w:pPr>
            <w:r>
              <w:rPr>
                <w:rFonts w:ascii="Arial" w:eastAsia="宋体" w:hAnsi="Arial" w:cs="Arial"/>
                <w:color w:val="000000"/>
                <w:sz w:val="17"/>
                <w:szCs w:val="17"/>
              </w:rPr>
              <w:t>8,275 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0E" w14:textId="77777777" w:rsidR="008E7A10" w:rsidRDefault="008E7A10">
            <w:pPr>
              <w:jc w:val="right"/>
              <w:rPr>
                <w:rFonts w:ascii="宋体"/>
              </w:rPr>
            </w:pPr>
          </w:p>
        </w:tc>
      </w:tr>
      <w:tr w:rsidR="008E7A10" w14:paraId="746F111C"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10" w14:textId="77777777" w:rsidR="008E7A10" w:rsidRDefault="00E047B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11" w14:textId="77777777" w:rsidR="008E7A10" w:rsidRDefault="00E047B2">
            <w:pPr>
              <w:jc w:val="right"/>
              <w:textAlignment w:val="bottom"/>
            </w:pPr>
            <w:r>
              <w:rPr>
                <w:rFonts w:ascii="Arial" w:eastAsia="宋体" w:hAnsi="Arial" w:cs="Arial"/>
                <w:color w:val="000000"/>
                <w:sz w:val="17"/>
                <w:szCs w:val="17"/>
              </w:rPr>
              <w:t>2,958 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1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13"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14" w14:textId="77777777" w:rsidR="008E7A10" w:rsidRDefault="00E047B2">
            <w:pPr>
              <w:jc w:val="right"/>
              <w:textAlignment w:val="bottom"/>
            </w:pPr>
            <w:r>
              <w:rPr>
                <w:rFonts w:ascii="Arial" w:eastAsia="宋体" w:hAnsi="Arial" w:cs="Arial"/>
                <w:color w:val="000000"/>
                <w:sz w:val="17"/>
                <w:szCs w:val="17"/>
              </w:rPr>
              <w:t>2,537 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1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16"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17" w14:textId="77777777" w:rsidR="008E7A10" w:rsidRDefault="00E047B2">
            <w:pPr>
              <w:jc w:val="right"/>
              <w:textAlignment w:val="bottom"/>
            </w:pPr>
            <w:r>
              <w:rPr>
                <w:rFonts w:ascii="Arial" w:eastAsia="宋体" w:hAnsi="Arial" w:cs="Arial"/>
                <w:color w:val="000000"/>
                <w:sz w:val="17"/>
                <w:szCs w:val="17"/>
              </w:rPr>
              <w:t>5,868 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18"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19"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1A" w14:textId="77777777" w:rsidR="008E7A10" w:rsidRDefault="00E047B2">
            <w:pPr>
              <w:jc w:val="right"/>
              <w:textAlignment w:val="bottom"/>
            </w:pPr>
            <w:r>
              <w:rPr>
                <w:rFonts w:ascii="Arial" w:eastAsia="宋体" w:hAnsi="Arial" w:cs="Arial"/>
                <w:color w:val="000000"/>
                <w:sz w:val="17"/>
                <w:szCs w:val="17"/>
              </w:rPr>
              <w:t>5,310 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1B" w14:textId="77777777" w:rsidR="008E7A10" w:rsidRDefault="008E7A10">
            <w:pPr>
              <w:jc w:val="right"/>
              <w:rPr>
                <w:rFonts w:ascii="宋体"/>
              </w:rPr>
            </w:pPr>
          </w:p>
        </w:tc>
      </w:tr>
      <w:tr w:rsidR="008E7A10" w14:paraId="746F1129"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1D" w14:textId="77777777" w:rsidR="008E7A10" w:rsidRDefault="00E047B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1E" w14:textId="77777777" w:rsidR="008E7A10" w:rsidRDefault="00E047B2">
            <w:pPr>
              <w:jc w:val="right"/>
              <w:textAlignment w:val="bottom"/>
            </w:pPr>
            <w:r>
              <w:rPr>
                <w:rFonts w:ascii="Arial" w:eastAsia="宋体" w:hAnsi="Arial" w:cs="Arial"/>
                <w:color w:val="000000"/>
                <w:sz w:val="17"/>
                <w:szCs w:val="17"/>
              </w:rPr>
              <w:t>2,298 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1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20"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21" w14:textId="77777777" w:rsidR="008E7A10" w:rsidRDefault="00E047B2">
            <w:pPr>
              <w:jc w:val="right"/>
              <w:textAlignment w:val="bottom"/>
            </w:pPr>
            <w:r>
              <w:rPr>
                <w:rFonts w:ascii="Arial" w:eastAsia="宋体" w:hAnsi="Arial" w:cs="Arial"/>
                <w:color w:val="000000"/>
                <w:sz w:val="17"/>
                <w:szCs w:val="17"/>
              </w:rPr>
              <w:t>1,847 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2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23"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24" w14:textId="77777777" w:rsidR="008E7A10" w:rsidRDefault="00E047B2">
            <w:pPr>
              <w:jc w:val="right"/>
              <w:textAlignment w:val="bottom"/>
            </w:pPr>
            <w:r>
              <w:rPr>
                <w:rFonts w:ascii="Arial" w:eastAsia="宋体" w:hAnsi="Arial" w:cs="Arial"/>
                <w:color w:val="000000"/>
                <w:sz w:val="17"/>
                <w:szCs w:val="17"/>
              </w:rPr>
              <w:t>4,078 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2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26"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27" w14:textId="77777777" w:rsidR="008E7A10" w:rsidRDefault="00E047B2">
            <w:pPr>
              <w:jc w:val="right"/>
              <w:textAlignment w:val="bottom"/>
            </w:pPr>
            <w:r>
              <w:rPr>
                <w:rFonts w:ascii="Arial" w:eastAsia="宋体" w:hAnsi="Arial" w:cs="Arial"/>
                <w:color w:val="000000"/>
                <w:sz w:val="17"/>
                <w:szCs w:val="17"/>
              </w:rPr>
              <w:t>3,526 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28" w14:textId="77777777" w:rsidR="008E7A10" w:rsidRDefault="008E7A10">
            <w:pPr>
              <w:jc w:val="right"/>
              <w:rPr>
                <w:rFonts w:ascii="宋体"/>
              </w:rPr>
            </w:pPr>
          </w:p>
        </w:tc>
      </w:tr>
      <w:tr w:rsidR="008E7A10" w14:paraId="746F1136"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2A" w14:textId="77777777" w:rsidR="008E7A10" w:rsidRDefault="00E047B2">
            <w:pPr>
              <w:textAlignment w:val="bottom"/>
            </w:pPr>
            <w:r>
              <w:rPr>
                <w:rFonts w:ascii="Arial" w:eastAsia="宋体" w:hAnsi="Arial" w:cs="Arial"/>
                <w:color w:val="000000"/>
                <w:sz w:val="17"/>
                <w:szCs w:val="17"/>
              </w:rPr>
              <w:t>Asia Pacific &amp; Latin America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2B" w14:textId="77777777" w:rsidR="008E7A10" w:rsidRDefault="00E047B2">
            <w:pPr>
              <w:jc w:val="right"/>
              <w:textAlignment w:val="bottom"/>
            </w:pPr>
            <w:r>
              <w:rPr>
                <w:rFonts w:ascii="Arial" w:eastAsia="宋体" w:hAnsi="Arial" w:cs="Arial"/>
                <w:color w:val="000000"/>
                <w:sz w:val="17"/>
                <w:szCs w:val="17"/>
              </w:rPr>
              <w:t>1,471 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2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2D"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2E" w14:textId="77777777" w:rsidR="008E7A10" w:rsidRDefault="00E047B2">
            <w:pPr>
              <w:jc w:val="right"/>
              <w:textAlignment w:val="bottom"/>
            </w:pPr>
            <w:r>
              <w:rPr>
                <w:rFonts w:ascii="Arial" w:eastAsia="宋体" w:hAnsi="Arial" w:cs="Arial"/>
                <w:color w:val="000000"/>
                <w:sz w:val="17"/>
                <w:szCs w:val="17"/>
              </w:rPr>
              <w:t>1,468 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2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30"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31" w14:textId="77777777" w:rsidR="008E7A10" w:rsidRDefault="00E047B2">
            <w:pPr>
              <w:jc w:val="right"/>
              <w:textAlignment w:val="bottom"/>
            </w:pPr>
            <w:r>
              <w:rPr>
                <w:rFonts w:ascii="Arial" w:eastAsia="宋体" w:hAnsi="Arial" w:cs="Arial"/>
                <w:color w:val="000000"/>
                <w:sz w:val="17"/>
                <w:szCs w:val="17"/>
              </w:rPr>
              <w:t>2,570 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3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33"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34" w14:textId="77777777" w:rsidR="008E7A10" w:rsidRDefault="00E047B2">
            <w:pPr>
              <w:jc w:val="right"/>
              <w:textAlignment w:val="bottom"/>
            </w:pPr>
            <w:r>
              <w:rPr>
                <w:rFonts w:ascii="Arial" w:eastAsia="宋体" w:hAnsi="Arial" w:cs="Arial"/>
                <w:color w:val="000000"/>
                <w:sz w:val="17"/>
                <w:szCs w:val="17"/>
              </w:rPr>
              <w:t>2,813 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35" w14:textId="77777777" w:rsidR="008E7A10" w:rsidRDefault="008E7A10">
            <w:pPr>
              <w:jc w:val="right"/>
              <w:rPr>
                <w:rFonts w:ascii="宋体"/>
              </w:rPr>
            </w:pPr>
          </w:p>
        </w:tc>
      </w:tr>
      <w:tr w:rsidR="008E7A10" w14:paraId="746F1143"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37" w14:textId="77777777" w:rsidR="008E7A10" w:rsidRDefault="00E047B2">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38"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3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3A"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3B"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3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3D"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3E"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3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40"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41"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42" w14:textId="77777777" w:rsidR="008E7A10" w:rsidRDefault="008E7A10">
            <w:pPr>
              <w:jc w:val="right"/>
              <w:rPr>
                <w:rFonts w:ascii="宋体"/>
              </w:rPr>
            </w:pPr>
          </w:p>
        </w:tc>
      </w:tr>
      <w:tr w:rsidR="008E7A10" w14:paraId="746F1150"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144" w14:textId="77777777" w:rsidR="008E7A10" w:rsidRDefault="00E047B2">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145" w14:textId="77777777" w:rsidR="008E7A10" w:rsidRDefault="00E047B2">
            <w:pPr>
              <w:jc w:val="right"/>
              <w:textAlignment w:val="bottom"/>
            </w:pPr>
            <w:r>
              <w:rPr>
                <w:rFonts w:ascii="Arial" w:eastAsia="宋体" w:hAnsi="Arial" w:cs="Arial"/>
                <w:color w:val="000000"/>
                <w:sz w:val="17"/>
                <w:szCs w:val="17"/>
              </w:rPr>
              <w:t>10,741 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146"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147"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148" w14:textId="77777777" w:rsidR="008E7A10" w:rsidRDefault="00E047B2">
            <w:pPr>
              <w:jc w:val="right"/>
              <w:textAlignment w:val="bottom"/>
            </w:pPr>
            <w:r>
              <w:rPr>
                <w:rFonts w:ascii="Arial" w:eastAsia="宋体" w:hAnsi="Arial" w:cs="Arial"/>
                <w:color w:val="000000"/>
                <w:sz w:val="17"/>
                <w:szCs w:val="17"/>
              </w:rPr>
              <w:t>9,844 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149"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14A"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14B" w14:textId="77777777" w:rsidR="008E7A10" w:rsidRDefault="00E047B2">
            <w:pPr>
              <w:jc w:val="right"/>
              <w:textAlignment w:val="bottom"/>
            </w:pPr>
            <w:r>
              <w:rPr>
                <w:rFonts w:ascii="Arial" w:eastAsia="宋体" w:hAnsi="Arial" w:cs="Arial"/>
                <w:color w:val="000000"/>
                <w:sz w:val="17"/>
                <w:szCs w:val="17"/>
              </w:rPr>
              <w:t>20,759 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14C"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14D"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14E" w14:textId="77777777" w:rsidR="008E7A10" w:rsidRDefault="00E047B2">
            <w:pPr>
              <w:jc w:val="right"/>
              <w:textAlignment w:val="bottom"/>
            </w:pPr>
            <w:r>
              <w:rPr>
                <w:rFonts w:ascii="Arial" w:eastAsia="宋体" w:hAnsi="Arial" w:cs="Arial"/>
                <w:color w:val="000000"/>
                <w:sz w:val="17"/>
                <w:szCs w:val="17"/>
              </w:rPr>
              <w:t>19,940 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14F" w14:textId="77777777" w:rsidR="008E7A10" w:rsidRDefault="008E7A10">
            <w:pPr>
              <w:jc w:val="right"/>
              <w:rPr>
                <w:rFonts w:ascii="宋体"/>
              </w:rPr>
            </w:pPr>
          </w:p>
        </w:tc>
      </w:tr>
      <w:tr w:rsidR="008E7A10" w14:paraId="746F115D"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51" w14:textId="77777777" w:rsidR="008E7A10" w:rsidRDefault="00E047B2">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52" w14:textId="77777777" w:rsidR="008E7A10" w:rsidRDefault="00E047B2">
            <w:pPr>
              <w:jc w:val="right"/>
              <w:textAlignment w:val="bottom"/>
            </w:pPr>
            <w:r>
              <w:rPr>
                <w:rFonts w:ascii="Arial" w:eastAsia="宋体" w:hAnsi="Arial" w:cs="Arial"/>
                <w:color w:val="000000"/>
                <w:sz w:val="17"/>
                <w:szCs w:val="17"/>
              </w:rPr>
              <w:t>476 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53"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54"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55" w14:textId="77777777" w:rsidR="008E7A10" w:rsidRDefault="00E047B2">
            <w:pPr>
              <w:jc w:val="right"/>
              <w:textAlignment w:val="bottom"/>
            </w:pPr>
            <w:r>
              <w:rPr>
                <w:rFonts w:ascii="Arial" w:eastAsia="宋体" w:hAnsi="Arial" w:cs="Arial"/>
                <w:color w:val="000000"/>
                <w:sz w:val="17"/>
                <w:szCs w:val="17"/>
              </w:rPr>
              <w:t>480 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56"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57"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58" w14:textId="77777777" w:rsidR="008E7A10" w:rsidRDefault="00E047B2">
            <w:pPr>
              <w:jc w:val="right"/>
              <w:textAlignment w:val="bottom"/>
            </w:pPr>
            <w:r>
              <w:rPr>
                <w:rFonts w:ascii="Arial" w:eastAsia="宋体" w:hAnsi="Arial" w:cs="Arial"/>
                <w:color w:val="000000"/>
                <w:sz w:val="17"/>
                <w:szCs w:val="17"/>
              </w:rPr>
              <w:t>1,039 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5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5A"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5B" w14:textId="77777777" w:rsidR="008E7A10" w:rsidRDefault="00E047B2">
            <w:pPr>
              <w:jc w:val="right"/>
              <w:textAlignment w:val="bottom"/>
            </w:pPr>
            <w:r>
              <w:rPr>
                <w:rFonts w:ascii="Arial" w:eastAsia="宋体" w:hAnsi="Arial" w:cs="Arial"/>
                <w:color w:val="000000"/>
                <w:sz w:val="17"/>
                <w:szCs w:val="17"/>
              </w:rPr>
              <w:t>1,035 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5C" w14:textId="77777777" w:rsidR="008E7A10" w:rsidRDefault="008E7A10">
            <w:pPr>
              <w:jc w:val="right"/>
              <w:rPr>
                <w:rFonts w:ascii="宋体"/>
              </w:rPr>
            </w:pPr>
          </w:p>
        </w:tc>
      </w:tr>
      <w:tr w:rsidR="008E7A10" w14:paraId="746F116A"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5E" w14:textId="77777777" w:rsidR="008E7A10" w:rsidRDefault="00E047B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5F" w14:textId="77777777" w:rsidR="008E7A10" w:rsidRDefault="00E047B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60"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61"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62"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63"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64"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65" w14:textId="77777777" w:rsidR="008E7A10" w:rsidRDefault="00E047B2">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66"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67"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68"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69" w14:textId="77777777" w:rsidR="008E7A10" w:rsidRDefault="008E7A10">
            <w:pPr>
              <w:jc w:val="right"/>
              <w:rPr>
                <w:rFonts w:ascii="宋体"/>
              </w:rPr>
            </w:pPr>
          </w:p>
        </w:tc>
      </w:tr>
      <w:tr w:rsidR="008E7A10" w14:paraId="746F117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16B" w14:textId="77777777" w:rsidR="008E7A10" w:rsidRDefault="00E047B2">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16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16D" w14:textId="77777777" w:rsidR="008E7A10" w:rsidRDefault="00E047B2">
            <w:pPr>
              <w:jc w:val="right"/>
              <w:textAlignment w:val="bottom"/>
            </w:pPr>
            <w:r>
              <w:rPr>
                <w:rFonts w:ascii="Arial" w:eastAsia="宋体" w:hAnsi="Arial" w:cs="Arial"/>
                <w:b/>
                <w:bCs/>
                <w:color w:val="000000"/>
                <w:sz w:val="17"/>
                <w:szCs w:val="17"/>
              </w:rPr>
              <w:t>11,243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16E"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16F" w14:textId="77777777" w:rsidR="008E7A10" w:rsidRDefault="008E7A10">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17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171" w14:textId="77777777" w:rsidR="008E7A10" w:rsidRDefault="00E047B2">
            <w:pPr>
              <w:jc w:val="right"/>
              <w:textAlignment w:val="bottom"/>
            </w:pPr>
            <w:r>
              <w:rPr>
                <w:rFonts w:ascii="Arial" w:eastAsia="宋体" w:hAnsi="Arial" w:cs="Arial"/>
                <w:b/>
                <w:bCs/>
                <w:color w:val="000000"/>
                <w:sz w:val="17"/>
                <w:szCs w:val="17"/>
              </w:rPr>
              <w:t>10,326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172"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173"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17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175" w14:textId="77777777" w:rsidR="008E7A10" w:rsidRDefault="00E047B2">
            <w:pPr>
              <w:jc w:val="right"/>
              <w:textAlignment w:val="bottom"/>
            </w:pPr>
            <w:r>
              <w:rPr>
                <w:rFonts w:ascii="Arial" w:eastAsia="宋体" w:hAnsi="Arial" w:cs="Arial"/>
                <w:b/>
                <w:bCs/>
                <w:color w:val="000000"/>
                <w:sz w:val="17"/>
                <w:szCs w:val="17"/>
              </w:rPr>
              <w:t>21,837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176"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177" w14:textId="77777777" w:rsidR="008E7A10" w:rsidRDefault="008E7A10">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17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179" w14:textId="77777777" w:rsidR="008E7A10" w:rsidRDefault="00E047B2">
            <w:pPr>
              <w:jc w:val="right"/>
              <w:textAlignment w:val="bottom"/>
            </w:pPr>
            <w:r>
              <w:rPr>
                <w:rFonts w:ascii="Arial" w:eastAsia="宋体" w:hAnsi="Arial" w:cs="Arial"/>
                <w:b/>
                <w:bCs/>
                <w:color w:val="000000"/>
                <w:sz w:val="17"/>
                <w:szCs w:val="17"/>
              </w:rPr>
              <w:t>20,986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17A" w14:textId="77777777" w:rsidR="008E7A10" w:rsidRDefault="008E7A10">
            <w:pPr>
              <w:jc w:val="right"/>
              <w:rPr>
                <w:rFonts w:ascii="宋体"/>
              </w:rPr>
            </w:pPr>
          </w:p>
        </w:tc>
      </w:tr>
      <w:tr w:rsidR="008E7A10" w14:paraId="746F1184"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17C" w14:textId="77777777" w:rsidR="008E7A10" w:rsidRDefault="00E047B2">
            <w:pPr>
              <w:textAlignment w:val="bottom"/>
            </w:pPr>
            <w:r>
              <w:rPr>
                <w:rFonts w:ascii="Arial" w:eastAsia="宋体" w:hAnsi="Arial" w:cs="Arial"/>
                <w:b/>
                <w:bCs/>
                <w:color w:val="000000"/>
                <w:sz w:val="17"/>
                <w:szCs w:val="17"/>
              </w:rPr>
              <w:t>EARNINGS BEFORE INTEREST AND TAXES</w:t>
            </w:r>
          </w:p>
        </w:tc>
        <w:tc>
          <w:tcPr>
            <w:tcW w:w="0" w:type="auto"/>
            <w:gridSpan w:val="3"/>
            <w:tcBorders>
              <w:top w:val="single" w:sz="8" w:space="0" w:color="E87722"/>
            </w:tcBorders>
            <w:shd w:val="clear" w:color="auto" w:fill="FFF1E7"/>
            <w:tcMar>
              <w:top w:w="0" w:type="dxa"/>
              <w:left w:w="20" w:type="dxa"/>
              <w:bottom w:w="0" w:type="dxa"/>
              <w:right w:w="20" w:type="dxa"/>
            </w:tcMar>
          </w:tcPr>
          <w:p w14:paraId="746F117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17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17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180"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18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182"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183" w14:textId="77777777" w:rsidR="008E7A10" w:rsidRDefault="008E7A10">
            <w:pPr>
              <w:rPr>
                <w:rFonts w:ascii="宋体"/>
              </w:rPr>
            </w:pPr>
          </w:p>
        </w:tc>
      </w:tr>
      <w:tr w:rsidR="008E7A10" w14:paraId="746F1195"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85" w14:textId="77777777" w:rsidR="008E7A10" w:rsidRDefault="00E047B2">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18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187" w14:textId="77777777" w:rsidR="008E7A10" w:rsidRDefault="00E047B2">
            <w:pPr>
              <w:jc w:val="right"/>
              <w:textAlignment w:val="bottom"/>
            </w:pPr>
            <w:r>
              <w:rPr>
                <w:rFonts w:ascii="Arial" w:eastAsia="宋体" w:hAnsi="Arial" w:cs="Arial"/>
                <w:color w:val="000000"/>
                <w:sz w:val="17"/>
                <w:szCs w:val="17"/>
              </w:rPr>
              <w:t>1,023 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88"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89"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18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18B" w14:textId="77777777" w:rsidR="008E7A10" w:rsidRDefault="00E047B2">
            <w:pPr>
              <w:jc w:val="right"/>
              <w:textAlignment w:val="bottom"/>
            </w:pPr>
            <w:r>
              <w:rPr>
                <w:rFonts w:ascii="Arial" w:eastAsia="宋体" w:hAnsi="Arial" w:cs="Arial"/>
                <w:color w:val="000000"/>
                <w:sz w:val="17"/>
                <w:szCs w:val="17"/>
              </w:rPr>
              <w:t>875 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8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8D"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18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18F" w14:textId="77777777" w:rsidR="008E7A10" w:rsidRDefault="00E047B2">
            <w:pPr>
              <w:jc w:val="right"/>
              <w:textAlignment w:val="bottom"/>
            </w:pPr>
            <w:r>
              <w:rPr>
                <w:rFonts w:ascii="Arial" w:eastAsia="宋体" w:hAnsi="Arial" w:cs="Arial"/>
                <w:color w:val="000000"/>
                <w:sz w:val="17"/>
                <w:szCs w:val="17"/>
              </w:rPr>
              <w:t>2,325 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90"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91"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19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193" w14:textId="77777777" w:rsidR="008E7A10" w:rsidRDefault="00E047B2">
            <w:pPr>
              <w:jc w:val="right"/>
              <w:textAlignment w:val="bottom"/>
            </w:pPr>
            <w:r>
              <w:rPr>
                <w:rFonts w:ascii="Arial" w:eastAsia="宋体" w:hAnsi="Arial" w:cs="Arial"/>
                <w:color w:val="000000"/>
                <w:sz w:val="17"/>
                <w:szCs w:val="17"/>
              </w:rPr>
              <w:t>1,975 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94" w14:textId="77777777" w:rsidR="008E7A10" w:rsidRDefault="008E7A10">
            <w:pPr>
              <w:jc w:val="right"/>
              <w:rPr>
                <w:rFonts w:ascii="宋体"/>
              </w:rPr>
            </w:pPr>
          </w:p>
        </w:tc>
      </w:tr>
      <w:tr w:rsidR="008E7A10" w14:paraId="746F11A2"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96" w14:textId="77777777" w:rsidR="008E7A10" w:rsidRDefault="00E047B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97" w14:textId="77777777" w:rsidR="008E7A10" w:rsidRDefault="00E047B2">
            <w:pPr>
              <w:jc w:val="right"/>
              <w:textAlignment w:val="bottom"/>
            </w:pPr>
            <w:r>
              <w:rPr>
                <w:rFonts w:ascii="Arial" w:eastAsia="宋体" w:hAnsi="Arial" w:cs="Arial"/>
                <w:color w:val="000000"/>
                <w:sz w:val="17"/>
                <w:szCs w:val="17"/>
              </w:rPr>
              <w:t>660 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98"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99"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9A" w14:textId="77777777" w:rsidR="008E7A10" w:rsidRDefault="00E047B2">
            <w:pPr>
              <w:jc w:val="right"/>
              <w:textAlignment w:val="bottom"/>
            </w:pPr>
            <w:r>
              <w:rPr>
                <w:rFonts w:ascii="Arial" w:eastAsia="宋体" w:hAnsi="Arial" w:cs="Arial"/>
                <w:color w:val="000000"/>
                <w:sz w:val="17"/>
                <w:szCs w:val="17"/>
              </w:rPr>
              <w:t>510 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9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9C"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9D" w14:textId="77777777" w:rsidR="008E7A10" w:rsidRDefault="00E047B2">
            <w:pPr>
              <w:jc w:val="right"/>
              <w:textAlignment w:val="bottom"/>
            </w:pPr>
            <w:r>
              <w:rPr>
                <w:rFonts w:ascii="Arial" w:eastAsia="宋体" w:hAnsi="Arial" w:cs="Arial"/>
                <w:color w:val="000000"/>
                <w:sz w:val="17"/>
                <w:szCs w:val="17"/>
              </w:rPr>
              <w:t>1,352 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9E"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9F"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A0" w14:textId="77777777" w:rsidR="008E7A10" w:rsidRDefault="00E047B2">
            <w:pPr>
              <w:jc w:val="right"/>
              <w:textAlignment w:val="bottom"/>
            </w:pPr>
            <w:r>
              <w:rPr>
                <w:rFonts w:ascii="Arial" w:eastAsia="宋体" w:hAnsi="Arial" w:cs="Arial"/>
                <w:color w:val="000000"/>
                <w:sz w:val="17"/>
                <w:szCs w:val="17"/>
              </w:rPr>
              <w:t>1,119 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A1" w14:textId="77777777" w:rsidR="008E7A10" w:rsidRDefault="008E7A10">
            <w:pPr>
              <w:jc w:val="right"/>
              <w:rPr>
                <w:rFonts w:ascii="宋体"/>
              </w:rPr>
            </w:pPr>
          </w:p>
        </w:tc>
      </w:tr>
      <w:tr w:rsidR="008E7A10" w14:paraId="746F11AF"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A3" w14:textId="77777777" w:rsidR="008E7A10" w:rsidRDefault="00E047B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A4" w14:textId="77777777" w:rsidR="008E7A10" w:rsidRDefault="00E047B2">
            <w:pPr>
              <w:jc w:val="right"/>
              <w:textAlignment w:val="bottom"/>
            </w:pPr>
            <w:r>
              <w:rPr>
                <w:rFonts w:ascii="Arial" w:eastAsia="宋体" w:hAnsi="Arial" w:cs="Arial"/>
                <w:color w:val="000000"/>
                <w:sz w:val="17"/>
                <w:szCs w:val="17"/>
              </w:rPr>
              <w:t>891 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A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A6"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A7" w14:textId="77777777" w:rsidR="008E7A10" w:rsidRDefault="00E047B2">
            <w:pPr>
              <w:jc w:val="right"/>
              <w:textAlignment w:val="bottom"/>
            </w:pPr>
            <w:r>
              <w:rPr>
                <w:rFonts w:ascii="Arial" w:eastAsia="宋体" w:hAnsi="Arial" w:cs="Arial"/>
                <w:color w:val="000000"/>
                <w:sz w:val="17"/>
                <w:szCs w:val="17"/>
              </w:rPr>
              <w:t>694 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A8"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A9"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AA" w14:textId="77777777" w:rsidR="008E7A10" w:rsidRDefault="00E047B2">
            <w:pPr>
              <w:jc w:val="right"/>
              <w:textAlignment w:val="bottom"/>
            </w:pPr>
            <w:r>
              <w:rPr>
                <w:rFonts w:ascii="Arial" w:eastAsia="宋体" w:hAnsi="Arial" w:cs="Arial"/>
                <w:color w:val="000000"/>
                <w:sz w:val="17"/>
                <w:szCs w:val="17"/>
              </w:rPr>
              <w:t>1,579 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A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AC"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AD" w14:textId="77777777" w:rsidR="008E7A10" w:rsidRDefault="00E047B2">
            <w:pPr>
              <w:jc w:val="right"/>
              <w:textAlignment w:val="bottom"/>
            </w:pPr>
            <w:r>
              <w:rPr>
                <w:rFonts w:ascii="Arial" w:eastAsia="宋体" w:hAnsi="Arial" w:cs="Arial"/>
                <w:color w:val="000000"/>
                <w:sz w:val="17"/>
                <w:szCs w:val="17"/>
              </w:rPr>
              <w:t>1,363 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AE" w14:textId="77777777" w:rsidR="008E7A10" w:rsidRDefault="008E7A10">
            <w:pPr>
              <w:jc w:val="right"/>
              <w:rPr>
                <w:rFonts w:ascii="宋体"/>
              </w:rPr>
            </w:pPr>
          </w:p>
        </w:tc>
      </w:tr>
      <w:tr w:rsidR="008E7A10" w14:paraId="746F11BC"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B0" w14:textId="77777777" w:rsidR="008E7A10" w:rsidRDefault="00E047B2">
            <w:pPr>
              <w:textAlignment w:val="bottom"/>
            </w:pPr>
            <w:r>
              <w:rPr>
                <w:rFonts w:ascii="Arial" w:eastAsia="宋体" w:hAnsi="Arial" w:cs="Arial"/>
                <w:color w:val="000000"/>
                <w:sz w:val="17"/>
                <w:szCs w:val="17"/>
              </w:rPr>
              <w:t>Asia Pacific &amp; Latin America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B1" w14:textId="77777777" w:rsidR="008E7A10" w:rsidRDefault="00E047B2">
            <w:pPr>
              <w:jc w:val="right"/>
              <w:textAlignment w:val="bottom"/>
            </w:pPr>
            <w:r>
              <w:rPr>
                <w:rFonts w:ascii="Arial" w:eastAsia="宋体" w:hAnsi="Arial" w:cs="Arial"/>
                <w:color w:val="000000"/>
                <w:sz w:val="17"/>
                <w:szCs w:val="17"/>
              </w:rPr>
              <w:t>424 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B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B3"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B4" w14:textId="77777777" w:rsidR="008E7A10" w:rsidRDefault="00E047B2">
            <w:pPr>
              <w:jc w:val="right"/>
              <w:textAlignment w:val="bottom"/>
            </w:pPr>
            <w:r>
              <w:rPr>
                <w:rFonts w:ascii="Arial" w:eastAsia="宋体" w:hAnsi="Arial" w:cs="Arial"/>
                <w:color w:val="000000"/>
                <w:sz w:val="17"/>
                <w:szCs w:val="17"/>
              </w:rPr>
              <w:t>377 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B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B6"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B7" w14:textId="77777777" w:rsidR="008E7A10" w:rsidRDefault="00E047B2">
            <w:pPr>
              <w:jc w:val="right"/>
              <w:textAlignment w:val="bottom"/>
            </w:pPr>
            <w:r>
              <w:rPr>
                <w:rFonts w:ascii="Arial" w:eastAsia="宋体" w:hAnsi="Arial" w:cs="Arial"/>
                <w:color w:val="000000"/>
                <w:sz w:val="17"/>
                <w:szCs w:val="17"/>
              </w:rPr>
              <w:t>704 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B8"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B9"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BA" w14:textId="77777777" w:rsidR="008E7A10" w:rsidRDefault="00E047B2">
            <w:pPr>
              <w:jc w:val="right"/>
              <w:textAlignment w:val="bottom"/>
            </w:pPr>
            <w:r>
              <w:rPr>
                <w:rFonts w:ascii="Arial" w:eastAsia="宋体" w:hAnsi="Arial" w:cs="Arial"/>
                <w:color w:val="000000"/>
                <w:sz w:val="17"/>
                <w:szCs w:val="17"/>
              </w:rPr>
              <w:t>718 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BB" w14:textId="77777777" w:rsidR="008E7A10" w:rsidRDefault="008E7A10">
            <w:pPr>
              <w:jc w:val="right"/>
              <w:rPr>
                <w:rFonts w:ascii="宋体"/>
              </w:rPr>
            </w:pPr>
          </w:p>
        </w:tc>
      </w:tr>
      <w:tr w:rsidR="008E7A10" w14:paraId="746F11C9"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BD" w14:textId="77777777" w:rsidR="008E7A10" w:rsidRDefault="00E047B2">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BE" w14:textId="77777777" w:rsidR="008E7A10" w:rsidRDefault="00E047B2">
            <w:pPr>
              <w:jc w:val="right"/>
              <w:textAlignment w:val="bottom"/>
            </w:pPr>
            <w:r>
              <w:rPr>
                <w:rFonts w:ascii="Arial" w:eastAsia="宋体" w:hAnsi="Arial" w:cs="Arial"/>
                <w:color w:val="000000"/>
                <w:sz w:val="17"/>
                <w:szCs w:val="17"/>
              </w:rPr>
              <w:t>(841)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B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C0"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C1" w14:textId="77777777" w:rsidR="008E7A10" w:rsidRDefault="00E047B2">
            <w:pPr>
              <w:jc w:val="right"/>
              <w:textAlignment w:val="bottom"/>
            </w:pPr>
            <w:r>
              <w:rPr>
                <w:rFonts w:ascii="Arial" w:eastAsia="宋体" w:hAnsi="Arial" w:cs="Arial"/>
                <w:color w:val="000000"/>
                <w:sz w:val="17"/>
                <w:szCs w:val="17"/>
              </w:rPr>
              <w:t>(872)</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C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C3"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C4" w14:textId="77777777" w:rsidR="008E7A10" w:rsidRDefault="00E047B2">
            <w:pPr>
              <w:jc w:val="right"/>
              <w:textAlignment w:val="bottom"/>
            </w:pPr>
            <w:r>
              <w:rPr>
                <w:rFonts w:ascii="Arial" w:eastAsia="宋体" w:hAnsi="Arial" w:cs="Arial"/>
                <w:color w:val="000000"/>
                <w:sz w:val="17"/>
                <w:szCs w:val="17"/>
              </w:rPr>
              <w:t>(1,694)</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C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C6"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C7" w14:textId="77777777" w:rsidR="008E7A10" w:rsidRDefault="00E047B2">
            <w:pPr>
              <w:jc w:val="right"/>
              <w:textAlignment w:val="bottom"/>
            </w:pPr>
            <w:r>
              <w:rPr>
                <w:rFonts w:ascii="Arial" w:eastAsia="宋体" w:hAnsi="Arial" w:cs="Arial"/>
                <w:color w:val="000000"/>
                <w:sz w:val="17"/>
                <w:szCs w:val="17"/>
              </w:rPr>
              <w:t>(1,729)</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C8" w14:textId="77777777" w:rsidR="008E7A10" w:rsidRDefault="008E7A10">
            <w:pPr>
              <w:jc w:val="right"/>
              <w:rPr>
                <w:rFonts w:ascii="宋体"/>
              </w:rPr>
            </w:pPr>
          </w:p>
        </w:tc>
      </w:tr>
      <w:tr w:rsidR="008E7A10" w14:paraId="746F11D6"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CA" w14:textId="77777777" w:rsidR="008E7A10" w:rsidRDefault="00E047B2">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CB" w14:textId="77777777" w:rsidR="008E7A10" w:rsidRDefault="00E047B2">
            <w:pPr>
              <w:jc w:val="right"/>
              <w:textAlignment w:val="bottom"/>
            </w:pPr>
            <w:r>
              <w:rPr>
                <w:rFonts w:ascii="Arial" w:eastAsia="宋体" w:hAnsi="Arial" w:cs="Arial"/>
                <w:color w:val="000000"/>
                <w:sz w:val="17"/>
                <w:szCs w:val="17"/>
              </w:rPr>
              <w:t>87 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C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CD"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CE" w14:textId="77777777" w:rsidR="008E7A10" w:rsidRDefault="00E047B2">
            <w:pPr>
              <w:jc w:val="right"/>
              <w:textAlignment w:val="bottom"/>
            </w:pPr>
            <w:r>
              <w:rPr>
                <w:rFonts w:ascii="Arial" w:eastAsia="宋体" w:hAnsi="Arial" w:cs="Arial"/>
                <w:color w:val="000000"/>
                <w:sz w:val="17"/>
                <w:szCs w:val="17"/>
              </w:rPr>
              <w:t>90 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C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D0"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D1" w14:textId="77777777" w:rsidR="008E7A10" w:rsidRDefault="00E047B2">
            <w:pPr>
              <w:jc w:val="right"/>
              <w:textAlignment w:val="bottom"/>
            </w:pPr>
            <w:r>
              <w:rPr>
                <w:rFonts w:ascii="Arial" w:eastAsia="宋体" w:hAnsi="Arial" w:cs="Arial"/>
                <w:color w:val="000000"/>
                <w:sz w:val="17"/>
                <w:szCs w:val="17"/>
              </w:rPr>
              <w:t>255 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D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D3"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D4" w14:textId="77777777" w:rsidR="008E7A10" w:rsidRDefault="00E047B2">
            <w:pPr>
              <w:jc w:val="right"/>
              <w:textAlignment w:val="bottom"/>
            </w:pPr>
            <w:r>
              <w:rPr>
                <w:rFonts w:ascii="Arial" w:eastAsia="宋体" w:hAnsi="Arial" w:cs="Arial"/>
                <w:color w:val="000000"/>
                <w:sz w:val="17"/>
                <w:szCs w:val="17"/>
              </w:rPr>
              <w:t>228 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D5" w14:textId="77777777" w:rsidR="008E7A10" w:rsidRDefault="008E7A10">
            <w:pPr>
              <w:jc w:val="right"/>
              <w:rPr>
                <w:rFonts w:ascii="宋体"/>
              </w:rPr>
            </w:pPr>
          </w:p>
        </w:tc>
      </w:tr>
      <w:tr w:rsidR="008E7A10" w14:paraId="746F11E3"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1D7" w14:textId="77777777" w:rsidR="008E7A10" w:rsidRDefault="00E047B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D8" w14:textId="77777777" w:rsidR="008E7A10" w:rsidRDefault="00E047B2">
            <w:pPr>
              <w:jc w:val="right"/>
              <w:textAlignment w:val="bottom"/>
            </w:pPr>
            <w:r>
              <w:rPr>
                <w:rFonts w:ascii="Arial" w:eastAsia="宋体" w:hAnsi="Arial" w:cs="Arial"/>
                <w:color w:val="000000"/>
                <w:sz w:val="17"/>
                <w:szCs w:val="17"/>
              </w:rPr>
              <w:t>(718)</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D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DA"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DB" w14:textId="77777777" w:rsidR="008E7A10" w:rsidRDefault="00E047B2">
            <w:pPr>
              <w:jc w:val="right"/>
              <w:textAlignment w:val="bottom"/>
            </w:pPr>
            <w:r>
              <w:rPr>
                <w:rFonts w:ascii="Arial" w:eastAsia="宋体" w:hAnsi="Arial" w:cs="Arial"/>
                <w:color w:val="000000"/>
                <w:sz w:val="17"/>
                <w:szCs w:val="17"/>
              </w:rPr>
              <w:t>(413)</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D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DD"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DE" w14:textId="77777777" w:rsidR="008E7A10" w:rsidRDefault="00E047B2">
            <w:pPr>
              <w:jc w:val="right"/>
              <w:textAlignment w:val="bottom"/>
            </w:pPr>
            <w:r>
              <w:rPr>
                <w:rFonts w:ascii="Arial" w:eastAsia="宋体" w:hAnsi="Arial" w:cs="Arial"/>
                <w:color w:val="000000"/>
                <w:sz w:val="17"/>
                <w:szCs w:val="17"/>
              </w:rPr>
              <w:t>(1,215)</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D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E0"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E1" w14:textId="77777777" w:rsidR="008E7A10" w:rsidRDefault="00E047B2">
            <w:pPr>
              <w:jc w:val="right"/>
              <w:textAlignment w:val="bottom"/>
            </w:pPr>
            <w:r>
              <w:rPr>
                <w:rFonts w:ascii="Arial" w:eastAsia="宋体" w:hAnsi="Arial" w:cs="Arial"/>
                <w:color w:val="000000"/>
                <w:sz w:val="17"/>
                <w:szCs w:val="17"/>
              </w:rPr>
              <w:t>(837)</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E2" w14:textId="77777777" w:rsidR="008E7A10" w:rsidRDefault="008E7A10">
            <w:pPr>
              <w:jc w:val="right"/>
              <w:rPr>
                <w:rFonts w:ascii="宋体"/>
              </w:rPr>
            </w:pPr>
          </w:p>
        </w:tc>
      </w:tr>
      <w:tr w:rsidR="008E7A10" w14:paraId="746F11F0"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1E4" w14:textId="77777777" w:rsidR="008E7A10" w:rsidRDefault="00E047B2">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E5" w14:textId="77777777" w:rsidR="008E7A10" w:rsidRDefault="00E047B2">
            <w:pPr>
              <w:jc w:val="right"/>
              <w:textAlignment w:val="bottom"/>
            </w:pPr>
            <w:r>
              <w:rPr>
                <w:rFonts w:ascii="Arial" w:eastAsia="宋体" w:hAnsi="Arial" w:cs="Arial"/>
                <w:color w:val="000000"/>
                <w:sz w:val="17"/>
                <w:szCs w:val="17"/>
              </w:rPr>
              <w:t>70 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E6"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E7"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E8"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E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EA"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1EB" w14:textId="77777777" w:rsidR="008E7A10" w:rsidRDefault="00E047B2">
            <w:pPr>
              <w:jc w:val="right"/>
              <w:textAlignment w:val="bottom"/>
            </w:pPr>
            <w:r>
              <w:rPr>
                <w:rFonts w:ascii="Arial" w:eastAsia="宋体" w:hAnsi="Arial" w:cs="Arial"/>
                <w:color w:val="000000"/>
                <w:sz w:val="17"/>
                <w:szCs w:val="17"/>
              </w:rPr>
              <w:t>135 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1E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1ED"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1EE" w14:textId="77777777" w:rsidR="008E7A10" w:rsidRDefault="00E047B2">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1EF" w14:textId="77777777" w:rsidR="008E7A10" w:rsidRDefault="008E7A10">
            <w:pPr>
              <w:jc w:val="right"/>
              <w:rPr>
                <w:rFonts w:ascii="宋体"/>
              </w:rPr>
            </w:pPr>
          </w:p>
        </w:tc>
      </w:tr>
      <w:tr w:rsidR="008E7A10" w14:paraId="746F1201"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1F1" w14:textId="77777777" w:rsidR="008E7A10" w:rsidRDefault="00E047B2">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1F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1F3" w14:textId="77777777" w:rsidR="008E7A10" w:rsidRDefault="00E047B2">
            <w:pPr>
              <w:jc w:val="right"/>
              <w:textAlignment w:val="bottom"/>
            </w:pPr>
            <w:r>
              <w:rPr>
                <w:rFonts w:ascii="Arial" w:eastAsia="宋体" w:hAnsi="Arial" w:cs="Arial"/>
                <w:b/>
                <w:bCs/>
                <w:color w:val="000000"/>
                <w:sz w:val="17"/>
                <w:szCs w:val="17"/>
              </w:rPr>
              <w:t>1,456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1F4"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1F5" w14:textId="77777777" w:rsidR="008E7A10" w:rsidRDefault="008E7A10">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1F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1F7" w14:textId="77777777" w:rsidR="008E7A10" w:rsidRDefault="00E047B2">
            <w:pPr>
              <w:jc w:val="right"/>
              <w:textAlignment w:val="bottom"/>
            </w:pPr>
            <w:r>
              <w:rPr>
                <w:rFonts w:ascii="Arial" w:eastAsia="宋体" w:hAnsi="Arial" w:cs="Arial"/>
                <w:b/>
                <w:bCs/>
                <w:color w:val="000000"/>
                <w:sz w:val="17"/>
                <w:szCs w:val="17"/>
              </w:rPr>
              <w:t>1,249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1F8"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1F9"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1F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1FB" w14:textId="77777777" w:rsidR="008E7A10" w:rsidRDefault="00E047B2">
            <w:pPr>
              <w:jc w:val="right"/>
              <w:textAlignment w:val="bottom"/>
            </w:pPr>
            <w:r>
              <w:rPr>
                <w:rFonts w:ascii="Arial" w:eastAsia="宋体" w:hAnsi="Arial" w:cs="Arial"/>
                <w:b/>
                <w:bCs/>
                <w:color w:val="000000"/>
                <w:sz w:val="17"/>
                <w:szCs w:val="17"/>
              </w:rPr>
              <w:t>3,171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1FC"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1FD" w14:textId="77777777" w:rsidR="008E7A10" w:rsidRDefault="008E7A10">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1F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1FF" w14:textId="77777777" w:rsidR="008E7A10" w:rsidRDefault="00E047B2">
            <w:pPr>
              <w:jc w:val="right"/>
              <w:textAlignment w:val="bottom"/>
            </w:pPr>
            <w:r>
              <w:rPr>
                <w:rFonts w:ascii="Arial" w:eastAsia="宋体" w:hAnsi="Arial" w:cs="Arial"/>
                <w:b/>
                <w:bCs/>
                <w:color w:val="000000"/>
                <w:sz w:val="17"/>
                <w:szCs w:val="17"/>
              </w:rPr>
              <w:t>2,810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200" w14:textId="77777777" w:rsidR="008E7A10" w:rsidRDefault="008E7A10">
            <w:pPr>
              <w:jc w:val="right"/>
              <w:rPr>
                <w:rFonts w:ascii="宋体"/>
              </w:rPr>
            </w:pPr>
          </w:p>
        </w:tc>
      </w:tr>
    </w:tbl>
    <w:p w14:paraId="746F1202" w14:textId="77777777" w:rsidR="008E7A10" w:rsidRDefault="008E7A10">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8E7A10" w14:paraId="746F120F" w14:textId="77777777">
        <w:trPr>
          <w:jc w:val="center"/>
        </w:trPr>
        <w:tc>
          <w:tcPr>
            <w:tcW w:w="50" w:type="pct"/>
            <w:shd w:val="clear" w:color="auto" w:fill="auto"/>
          </w:tcPr>
          <w:p w14:paraId="746F1203" w14:textId="77777777" w:rsidR="008E7A10" w:rsidRDefault="008E7A10">
            <w:pPr>
              <w:rPr>
                <w:rFonts w:ascii="宋体"/>
              </w:rPr>
            </w:pPr>
          </w:p>
        </w:tc>
        <w:tc>
          <w:tcPr>
            <w:tcW w:w="3255" w:type="pct"/>
            <w:shd w:val="clear" w:color="auto" w:fill="auto"/>
          </w:tcPr>
          <w:p w14:paraId="746F1204" w14:textId="77777777" w:rsidR="008E7A10" w:rsidRDefault="008E7A10">
            <w:pPr>
              <w:rPr>
                <w:rFonts w:ascii="宋体"/>
              </w:rPr>
            </w:pPr>
          </w:p>
        </w:tc>
        <w:tc>
          <w:tcPr>
            <w:tcW w:w="5" w:type="pct"/>
            <w:shd w:val="clear" w:color="auto" w:fill="auto"/>
          </w:tcPr>
          <w:p w14:paraId="746F1205" w14:textId="77777777" w:rsidR="008E7A10" w:rsidRDefault="008E7A10">
            <w:pPr>
              <w:rPr>
                <w:rFonts w:ascii="宋体"/>
              </w:rPr>
            </w:pPr>
          </w:p>
        </w:tc>
        <w:tc>
          <w:tcPr>
            <w:tcW w:w="50" w:type="pct"/>
            <w:shd w:val="clear" w:color="auto" w:fill="auto"/>
          </w:tcPr>
          <w:p w14:paraId="746F1206" w14:textId="77777777" w:rsidR="008E7A10" w:rsidRDefault="008E7A10">
            <w:pPr>
              <w:rPr>
                <w:rFonts w:ascii="宋体"/>
              </w:rPr>
            </w:pPr>
          </w:p>
        </w:tc>
        <w:tc>
          <w:tcPr>
            <w:tcW w:w="770" w:type="pct"/>
            <w:shd w:val="clear" w:color="auto" w:fill="auto"/>
          </w:tcPr>
          <w:p w14:paraId="746F1207" w14:textId="77777777" w:rsidR="008E7A10" w:rsidRDefault="008E7A10">
            <w:pPr>
              <w:rPr>
                <w:rFonts w:ascii="宋体"/>
              </w:rPr>
            </w:pPr>
          </w:p>
        </w:tc>
        <w:tc>
          <w:tcPr>
            <w:tcW w:w="5" w:type="pct"/>
            <w:shd w:val="clear" w:color="auto" w:fill="auto"/>
          </w:tcPr>
          <w:p w14:paraId="746F1208" w14:textId="77777777" w:rsidR="008E7A10" w:rsidRDefault="008E7A10">
            <w:pPr>
              <w:rPr>
                <w:rFonts w:ascii="宋体"/>
              </w:rPr>
            </w:pPr>
          </w:p>
        </w:tc>
        <w:tc>
          <w:tcPr>
            <w:tcW w:w="5" w:type="pct"/>
            <w:shd w:val="clear" w:color="auto" w:fill="auto"/>
          </w:tcPr>
          <w:p w14:paraId="746F1209" w14:textId="77777777" w:rsidR="008E7A10" w:rsidRDefault="008E7A10">
            <w:pPr>
              <w:rPr>
                <w:rFonts w:ascii="宋体"/>
              </w:rPr>
            </w:pPr>
          </w:p>
        </w:tc>
        <w:tc>
          <w:tcPr>
            <w:tcW w:w="28" w:type="pct"/>
            <w:shd w:val="clear" w:color="auto" w:fill="auto"/>
          </w:tcPr>
          <w:p w14:paraId="746F120A" w14:textId="77777777" w:rsidR="008E7A10" w:rsidRDefault="008E7A10">
            <w:pPr>
              <w:rPr>
                <w:rFonts w:ascii="宋体"/>
              </w:rPr>
            </w:pPr>
          </w:p>
        </w:tc>
        <w:tc>
          <w:tcPr>
            <w:tcW w:w="5" w:type="pct"/>
            <w:shd w:val="clear" w:color="auto" w:fill="auto"/>
          </w:tcPr>
          <w:p w14:paraId="746F120B" w14:textId="77777777" w:rsidR="008E7A10" w:rsidRDefault="008E7A10">
            <w:pPr>
              <w:rPr>
                <w:rFonts w:ascii="宋体"/>
              </w:rPr>
            </w:pPr>
          </w:p>
        </w:tc>
        <w:tc>
          <w:tcPr>
            <w:tcW w:w="50" w:type="pct"/>
            <w:shd w:val="clear" w:color="auto" w:fill="auto"/>
          </w:tcPr>
          <w:p w14:paraId="746F120C" w14:textId="77777777" w:rsidR="008E7A10" w:rsidRDefault="008E7A10">
            <w:pPr>
              <w:rPr>
                <w:rFonts w:ascii="宋体"/>
              </w:rPr>
            </w:pPr>
          </w:p>
        </w:tc>
        <w:tc>
          <w:tcPr>
            <w:tcW w:w="770" w:type="pct"/>
            <w:shd w:val="clear" w:color="auto" w:fill="auto"/>
          </w:tcPr>
          <w:p w14:paraId="746F120D" w14:textId="77777777" w:rsidR="008E7A10" w:rsidRDefault="008E7A10">
            <w:pPr>
              <w:rPr>
                <w:rFonts w:ascii="宋体"/>
              </w:rPr>
            </w:pPr>
          </w:p>
        </w:tc>
        <w:tc>
          <w:tcPr>
            <w:tcW w:w="5" w:type="pct"/>
            <w:shd w:val="clear" w:color="auto" w:fill="auto"/>
          </w:tcPr>
          <w:p w14:paraId="746F120E" w14:textId="77777777" w:rsidR="008E7A10" w:rsidRDefault="008E7A10">
            <w:pPr>
              <w:rPr>
                <w:rFonts w:ascii="宋体"/>
              </w:rPr>
            </w:pPr>
          </w:p>
        </w:tc>
      </w:tr>
      <w:tr w:rsidR="008E7A10" w14:paraId="746F1214" w14:textId="77777777">
        <w:trPr>
          <w:jc w:val="center"/>
        </w:trPr>
        <w:tc>
          <w:tcPr>
            <w:tcW w:w="0" w:type="auto"/>
            <w:gridSpan w:val="3"/>
            <w:shd w:val="clear" w:color="auto" w:fill="auto"/>
            <w:tcMar>
              <w:top w:w="0" w:type="dxa"/>
              <w:left w:w="20" w:type="dxa"/>
              <w:bottom w:w="0" w:type="dxa"/>
              <w:right w:w="20" w:type="dxa"/>
            </w:tcMar>
          </w:tcPr>
          <w:p w14:paraId="746F1210" w14:textId="77777777" w:rsidR="008E7A10" w:rsidRDefault="008E7A10">
            <w:pPr>
              <w:rPr>
                <w:rFonts w:ascii="宋体"/>
              </w:rPr>
            </w:pPr>
          </w:p>
        </w:tc>
        <w:tc>
          <w:tcPr>
            <w:tcW w:w="0" w:type="auto"/>
            <w:gridSpan w:val="3"/>
            <w:shd w:val="clear" w:color="auto" w:fill="auto"/>
            <w:tcMar>
              <w:top w:w="40" w:type="dxa"/>
              <w:left w:w="20" w:type="dxa"/>
              <w:bottom w:w="40" w:type="dxa"/>
              <w:right w:w="20" w:type="dxa"/>
            </w:tcMar>
            <w:vAlign w:val="bottom"/>
          </w:tcPr>
          <w:p w14:paraId="746F1211" w14:textId="77777777" w:rsidR="008E7A10" w:rsidRDefault="00E047B2">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tcPr>
          <w:p w14:paraId="746F1212" w14:textId="77777777" w:rsidR="008E7A10" w:rsidRDefault="008E7A10">
            <w:pPr>
              <w:rPr>
                <w:rFonts w:ascii="宋体"/>
              </w:rPr>
            </w:pPr>
          </w:p>
        </w:tc>
        <w:tc>
          <w:tcPr>
            <w:tcW w:w="0" w:type="auto"/>
            <w:gridSpan w:val="3"/>
            <w:shd w:val="clear" w:color="auto" w:fill="auto"/>
            <w:tcMar>
              <w:top w:w="40" w:type="dxa"/>
              <w:left w:w="20" w:type="dxa"/>
              <w:bottom w:w="40" w:type="dxa"/>
              <w:right w:w="20" w:type="dxa"/>
            </w:tcMar>
            <w:vAlign w:val="bottom"/>
          </w:tcPr>
          <w:p w14:paraId="746F1213" w14:textId="77777777" w:rsidR="008E7A10" w:rsidRDefault="00E047B2">
            <w:pPr>
              <w:jc w:val="center"/>
              <w:textAlignment w:val="bottom"/>
            </w:pPr>
            <w:r>
              <w:rPr>
                <w:rFonts w:ascii="sans-serif" w:eastAsia="sans-serif" w:hAnsi="sans-serif" w:cs="sans-serif"/>
                <w:b/>
                <w:bCs/>
                <w:color w:val="000000"/>
                <w:sz w:val="17"/>
                <w:szCs w:val="17"/>
              </w:rPr>
              <w:t>MAY 31,</w:t>
            </w:r>
          </w:p>
        </w:tc>
      </w:tr>
      <w:tr w:rsidR="008E7A10" w14:paraId="746F1219" w14:textId="77777777">
        <w:trPr>
          <w:jc w:val="center"/>
        </w:trPr>
        <w:tc>
          <w:tcPr>
            <w:tcW w:w="0" w:type="auto"/>
            <w:gridSpan w:val="3"/>
            <w:shd w:val="clear" w:color="auto" w:fill="auto"/>
            <w:tcMar>
              <w:top w:w="40" w:type="dxa"/>
              <w:left w:w="20" w:type="dxa"/>
              <w:bottom w:w="40" w:type="dxa"/>
              <w:right w:w="20" w:type="dxa"/>
            </w:tcMar>
            <w:vAlign w:val="bottom"/>
          </w:tcPr>
          <w:p w14:paraId="746F1215"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216"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tcPr>
          <w:p w14:paraId="746F1217"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218" w14:textId="77777777" w:rsidR="008E7A10" w:rsidRDefault="00E047B2">
            <w:pPr>
              <w:jc w:val="center"/>
              <w:textAlignment w:val="bottom"/>
            </w:pPr>
            <w:r>
              <w:rPr>
                <w:rFonts w:ascii="sans-serif" w:eastAsia="sans-serif" w:hAnsi="sans-serif" w:cs="sans-serif"/>
                <w:b/>
                <w:bCs/>
                <w:color w:val="000000"/>
                <w:sz w:val="17"/>
                <w:szCs w:val="17"/>
              </w:rPr>
              <w:t>2020</w:t>
            </w:r>
          </w:p>
        </w:tc>
      </w:tr>
      <w:tr w:rsidR="008E7A10" w14:paraId="746F121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21A" w14:textId="77777777" w:rsidR="008E7A10" w:rsidRDefault="00E047B2">
            <w:pPr>
              <w:textAlignment w:val="bottom"/>
            </w:pPr>
            <w:r>
              <w:rPr>
                <w:rFonts w:ascii="Arial" w:eastAsia="宋体" w:hAnsi="Arial" w:cs="Arial"/>
                <w:b/>
                <w:bCs/>
                <w:color w:val="000000"/>
                <w:sz w:val="17"/>
                <w:szCs w:val="17"/>
              </w:rPr>
              <w:t>ACCOUNTS RECEIVABLE, NET</w:t>
            </w:r>
          </w:p>
        </w:tc>
        <w:tc>
          <w:tcPr>
            <w:tcW w:w="0" w:type="auto"/>
            <w:gridSpan w:val="3"/>
            <w:tcBorders>
              <w:top w:val="single" w:sz="8" w:space="0" w:color="E87722"/>
            </w:tcBorders>
            <w:shd w:val="clear" w:color="auto" w:fill="FFF1E7"/>
            <w:tcMar>
              <w:top w:w="0" w:type="dxa"/>
              <w:left w:w="20" w:type="dxa"/>
              <w:bottom w:w="0" w:type="dxa"/>
              <w:right w:w="20" w:type="dxa"/>
            </w:tcMar>
          </w:tcPr>
          <w:p w14:paraId="746F121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21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21D" w14:textId="77777777" w:rsidR="008E7A10" w:rsidRDefault="008E7A10">
            <w:pPr>
              <w:rPr>
                <w:rFonts w:ascii="宋体"/>
              </w:rPr>
            </w:pPr>
          </w:p>
        </w:tc>
      </w:tr>
      <w:tr w:rsidR="008E7A10" w14:paraId="746F1227"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1F" w14:textId="77777777" w:rsidR="008E7A10" w:rsidRDefault="00E047B2">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22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221" w14:textId="77777777" w:rsidR="008E7A10" w:rsidRDefault="00E047B2">
            <w:pPr>
              <w:jc w:val="right"/>
              <w:textAlignment w:val="bottom"/>
            </w:pPr>
            <w:r>
              <w:rPr>
                <w:rFonts w:ascii="Arial" w:eastAsia="宋体" w:hAnsi="Arial" w:cs="Arial"/>
                <w:color w:val="000000"/>
                <w:sz w:val="17"/>
                <w:szCs w:val="17"/>
              </w:rPr>
              <w:t>1,236 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2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23"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22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225" w14:textId="77777777" w:rsidR="008E7A10" w:rsidRDefault="00E047B2">
            <w:pPr>
              <w:jc w:val="right"/>
              <w:textAlignment w:val="bottom"/>
            </w:pPr>
            <w:r>
              <w:rPr>
                <w:rFonts w:ascii="Arial" w:eastAsia="宋体" w:hAnsi="Arial" w:cs="Arial"/>
                <w:color w:val="000000"/>
                <w:sz w:val="17"/>
                <w:szCs w:val="17"/>
              </w:rPr>
              <w:t>1,020 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26" w14:textId="77777777" w:rsidR="008E7A10" w:rsidRDefault="008E7A10">
            <w:pPr>
              <w:jc w:val="right"/>
              <w:rPr>
                <w:rFonts w:ascii="宋体"/>
              </w:rPr>
            </w:pPr>
          </w:p>
        </w:tc>
      </w:tr>
      <w:tr w:rsidR="008E7A10" w14:paraId="746F122E"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28" w14:textId="77777777" w:rsidR="008E7A10" w:rsidRDefault="00E047B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29" w14:textId="77777777" w:rsidR="008E7A10" w:rsidRDefault="00E047B2">
            <w:pPr>
              <w:jc w:val="right"/>
              <w:textAlignment w:val="bottom"/>
            </w:pPr>
            <w:r>
              <w:rPr>
                <w:rFonts w:ascii="Arial" w:eastAsia="宋体" w:hAnsi="Arial" w:cs="Arial"/>
                <w:color w:val="000000"/>
                <w:sz w:val="17"/>
                <w:szCs w:val="17"/>
              </w:rPr>
              <w:t>1,350 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2A"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2B"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2C" w14:textId="77777777" w:rsidR="008E7A10" w:rsidRDefault="00E047B2">
            <w:pPr>
              <w:jc w:val="right"/>
              <w:textAlignment w:val="bottom"/>
            </w:pPr>
            <w:r>
              <w:rPr>
                <w:rFonts w:ascii="Arial" w:eastAsia="宋体" w:hAnsi="Arial" w:cs="Arial"/>
                <w:color w:val="000000"/>
                <w:sz w:val="17"/>
                <w:szCs w:val="17"/>
              </w:rPr>
              <w:t>712 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2D" w14:textId="77777777" w:rsidR="008E7A10" w:rsidRDefault="008E7A10">
            <w:pPr>
              <w:jc w:val="right"/>
              <w:rPr>
                <w:rFonts w:ascii="宋体"/>
              </w:rPr>
            </w:pPr>
          </w:p>
        </w:tc>
      </w:tr>
      <w:tr w:rsidR="008E7A10" w14:paraId="746F1235"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2F" w14:textId="77777777" w:rsidR="008E7A10" w:rsidRDefault="00E047B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30" w14:textId="77777777" w:rsidR="008E7A10" w:rsidRDefault="00E047B2">
            <w:pPr>
              <w:jc w:val="right"/>
              <w:textAlignment w:val="bottom"/>
            </w:pPr>
            <w:r>
              <w:rPr>
                <w:rFonts w:ascii="Arial" w:eastAsia="宋体" w:hAnsi="Arial" w:cs="Arial"/>
                <w:color w:val="000000"/>
                <w:sz w:val="17"/>
                <w:szCs w:val="17"/>
              </w:rPr>
              <w:t>250 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31"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32"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33" w14:textId="77777777" w:rsidR="008E7A10" w:rsidRDefault="00E047B2">
            <w:pPr>
              <w:jc w:val="right"/>
              <w:textAlignment w:val="bottom"/>
            </w:pPr>
            <w:r>
              <w:rPr>
                <w:rFonts w:ascii="Arial" w:eastAsia="宋体" w:hAnsi="Arial" w:cs="Arial"/>
                <w:color w:val="000000"/>
                <w:sz w:val="17"/>
                <w:szCs w:val="17"/>
              </w:rPr>
              <w:t>321 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34" w14:textId="77777777" w:rsidR="008E7A10" w:rsidRDefault="008E7A10">
            <w:pPr>
              <w:jc w:val="right"/>
              <w:rPr>
                <w:rFonts w:ascii="宋体"/>
              </w:rPr>
            </w:pPr>
          </w:p>
        </w:tc>
      </w:tr>
      <w:tr w:rsidR="008E7A10" w14:paraId="746F123C"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236" w14:textId="77777777" w:rsidR="008E7A10" w:rsidRDefault="00E047B2">
            <w:pPr>
              <w:textAlignment w:val="bottom"/>
            </w:pPr>
            <w:r>
              <w:rPr>
                <w:rFonts w:ascii="Arial" w:eastAsia="宋体" w:hAnsi="Arial" w:cs="Arial"/>
                <w:color w:val="000000"/>
                <w:sz w:val="17"/>
                <w:szCs w:val="17"/>
              </w:rPr>
              <w:t>Asia Pacific &amp; Latin America</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37" w14:textId="77777777" w:rsidR="008E7A10" w:rsidRDefault="00E047B2">
            <w:pPr>
              <w:jc w:val="right"/>
              <w:textAlignment w:val="bottom"/>
            </w:pPr>
            <w:r>
              <w:rPr>
                <w:rFonts w:ascii="Arial" w:eastAsia="宋体" w:hAnsi="Arial" w:cs="Arial"/>
                <w:color w:val="000000"/>
                <w:sz w:val="17"/>
                <w:szCs w:val="17"/>
              </w:rPr>
              <w:t>591 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38"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39"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3A" w14:textId="77777777" w:rsidR="008E7A10" w:rsidRDefault="00E047B2">
            <w:pPr>
              <w:jc w:val="right"/>
              <w:textAlignment w:val="bottom"/>
            </w:pPr>
            <w:r>
              <w:rPr>
                <w:rFonts w:ascii="Arial" w:eastAsia="宋体" w:hAnsi="Arial" w:cs="Arial"/>
                <w:color w:val="000000"/>
                <w:sz w:val="17"/>
                <w:szCs w:val="17"/>
              </w:rPr>
              <w:t>425 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3B" w14:textId="77777777" w:rsidR="008E7A10" w:rsidRDefault="008E7A10">
            <w:pPr>
              <w:jc w:val="right"/>
              <w:rPr>
                <w:rFonts w:ascii="宋体"/>
              </w:rPr>
            </w:pPr>
          </w:p>
        </w:tc>
      </w:tr>
      <w:tr w:rsidR="008E7A10" w14:paraId="746F1243"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3D" w14:textId="77777777" w:rsidR="008E7A10" w:rsidRDefault="00E047B2">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3E" w14:textId="77777777" w:rsidR="008E7A10" w:rsidRDefault="00E047B2">
            <w:pPr>
              <w:jc w:val="right"/>
              <w:textAlignment w:val="bottom"/>
            </w:pPr>
            <w:r>
              <w:rPr>
                <w:rFonts w:ascii="Arial" w:eastAsia="宋体" w:hAnsi="Arial" w:cs="Arial"/>
                <w:color w:val="000000"/>
                <w:sz w:val="17"/>
                <w:szCs w:val="17"/>
              </w:rPr>
              <w:t>96 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3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40"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41" w14:textId="77777777" w:rsidR="008E7A10" w:rsidRDefault="00E047B2">
            <w:pPr>
              <w:jc w:val="right"/>
              <w:textAlignment w:val="bottom"/>
            </w:pPr>
            <w:r>
              <w:rPr>
                <w:rFonts w:ascii="Arial" w:eastAsia="宋体" w:hAnsi="Arial" w:cs="Arial"/>
                <w:color w:val="000000"/>
                <w:sz w:val="17"/>
                <w:szCs w:val="17"/>
              </w:rPr>
              <w:t>65 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42" w14:textId="77777777" w:rsidR="008E7A10" w:rsidRDefault="008E7A10">
            <w:pPr>
              <w:jc w:val="right"/>
              <w:rPr>
                <w:rFonts w:ascii="宋体"/>
              </w:rPr>
            </w:pPr>
          </w:p>
        </w:tc>
      </w:tr>
      <w:tr w:rsidR="008E7A10" w14:paraId="746F124A"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244" w14:textId="77777777" w:rsidR="008E7A10" w:rsidRDefault="00E047B2">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245" w14:textId="77777777" w:rsidR="008E7A10" w:rsidRDefault="00E047B2">
            <w:pPr>
              <w:jc w:val="right"/>
              <w:textAlignment w:val="bottom"/>
            </w:pPr>
            <w:r>
              <w:rPr>
                <w:rFonts w:ascii="Arial" w:eastAsia="宋体" w:hAnsi="Arial" w:cs="Arial"/>
                <w:color w:val="000000"/>
                <w:sz w:val="17"/>
                <w:szCs w:val="17"/>
              </w:rPr>
              <w:t>3,523 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246"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247"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248" w14:textId="77777777" w:rsidR="008E7A10" w:rsidRDefault="00E047B2">
            <w:pPr>
              <w:jc w:val="right"/>
              <w:textAlignment w:val="bottom"/>
            </w:pPr>
            <w:r>
              <w:rPr>
                <w:rFonts w:ascii="Arial" w:eastAsia="宋体" w:hAnsi="Arial" w:cs="Arial"/>
                <w:color w:val="000000"/>
                <w:sz w:val="17"/>
                <w:szCs w:val="17"/>
              </w:rPr>
              <w:t>2,543 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249" w14:textId="77777777" w:rsidR="008E7A10" w:rsidRDefault="008E7A10">
            <w:pPr>
              <w:jc w:val="right"/>
              <w:rPr>
                <w:rFonts w:ascii="宋体"/>
              </w:rPr>
            </w:pPr>
          </w:p>
        </w:tc>
      </w:tr>
      <w:tr w:rsidR="008E7A10" w14:paraId="746F1251"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4B" w14:textId="77777777" w:rsidR="008E7A10" w:rsidRDefault="00E047B2">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4C" w14:textId="77777777" w:rsidR="008E7A10" w:rsidRDefault="00E047B2">
            <w:pPr>
              <w:jc w:val="right"/>
              <w:textAlignment w:val="bottom"/>
            </w:pPr>
            <w:r>
              <w:rPr>
                <w:rFonts w:ascii="Arial" w:eastAsia="宋体" w:hAnsi="Arial" w:cs="Arial"/>
                <w:color w:val="000000"/>
                <w:sz w:val="17"/>
                <w:szCs w:val="17"/>
              </w:rPr>
              <w:t>153 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4D"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4E"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4F" w14:textId="77777777" w:rsidR="008E7A10" w:rsidRDefault="00E047B2">
            <w:pPr>
              <w:jc w:val="right"/>
              <w:textAlignment w:val="bottom"/>
            </w:pPr>
            <w:r>
              <w:rPr>
                <w:rFonts w:ascii="Arial" w:eastAsia="宋体" w:hAnsi="Arial" w:cs="Arial"/>
                <w:color w:val="000000"/>
                <w:sz w:val="17"/>
                <w:szCs w:val="17"/>
              </w:rPr>
              <w:t>149 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50" w14:textId="77777777" w:rsidR="008E7A10" w:rsidRDefault="008E7A10">
            <w:pPr>
              <w:jc w:val="right"/>
              <w:rPr>
                <w:rFonts w:ascii="宋体"/>
              </w:rPr>
            </w:pPr>
          </w:p>
        </w:tc>
      </w:tr>
      <w:tr w:rsidR="008E7A10" w14:paraId="746F1258"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52" w14:textId="77777777" w:rsidR="008E7A10" w:rsidRDefault="00E047B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53" w14:textId="77777777" w:rsidR="008E7A10" w:rsidRDefault="00E047B2">
            <w:pPr>
              <w:jc w:val="right"/>
              <w:textAlignment w:val="bottom"/>
            </w:pPr>
            <w:r>
              <w:rPr>
                <w:rFonts w:ascii="Arial" w:eastAsia="宋体" w:hAnsi="Arial" w:cs="Arial"/>
                <w:color w:val="000000"/>
                <w:sz w:val="17"/>
                <w:szCs w:val="17"/>
              </w:rPr>
              <w:t>37 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54"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55"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56" w14:textId="77777777" w:rsidR="008E7A10" w:rsidRDefault="00E047B2">
            <w:pPr>
              <w:jc w:val="right"/>
              <w:textAlignment w:val="bottom"/>
            </w:pPr>
            <w:r>
              <w:rPr>
                <w:rFonts w:ascii="Arial" w:eastAsia="宋体" w:hAnsi="Arial" w:cs="Arial"/>
                <w:color w:val="000000"/>
                <w:sz w:val="17"/>
                <w:szCs w:val="17"/>
              </w:rPr>
              <w:t>57 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57" w14:textId="77777777" w:rsidR="008E7A10" w:rsidRDefault="008E7A10">
            <w:pPr>
              <w:jc w:val="right"/>
              <w:rPr>
                <w:rFonts w:ascii="宋体"/>
              </w:rPr>
            </w:pPr>
          </w:p>
        </w:tc>
      </w:tr>
      <w:tr w:rsidR="008E7A10" w14:paraId="746F126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259" w14:textId="77777777" w:rsidR="008E7A10" w:rsidRDefault="00E047B2">
            <w:pPr>
              <w:textAlignment w:val="bottom"/>
            </w:pPr>
            <w:r>
              <w:rPr>
                <w:rFonts w:ascii="Arial" w:eastAsia="宋体" w:hAnsi="Arial" w:cs="Arial"/>
                <w:b/>
                <w:bCs/>
                <w:color w:val="000000"/>
                <w:sz w:val="17"/>
                <w:szCs w:val="17"/>
              </w:rPr>
              <w:t xml:space="preserve">TOTAL ACCOUNTS </w:t>
            </w:r>
            <w:r>
              <w:rPr>
                <w:rFonts w:ascii="Arial" w:eastAsia="宋体" w:hAnsi="Arial" w:cs="Arial"/>
                <w:b/>
                <w:bCs/>
                <w:color w:val="000000"/>
                <w:sz w:val="17"/>
                <w:szCs w:val="17"/>
              </w:rPr>
              <w:t>RECEIVABLE, NET</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25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25B" w14:textId="77777777" w:rsidR="008E7A10" w:rsidRDefault="00E047B2">
            <w:pPr>
              <w:jc w:val="right"/>
              <w:textAlignment w:val="bottom"/>
            </w:pPr>
            <w:r>
              <w:rPr>
                <w:rFonts w:ascii="Arial" w:eastAsia="宋体" w:hAnsi="Arial" w:cs="Arial"/>
                <w:b/>
                <w:bCs/>
                <w:color w:val="000000"/>
                <w:sz w:val="17"/>
                <w:szCs w:val="17"/>
              </w:rPr>
              <w:t>3,713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25C"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25D" w14:textId="77777777" w:rsidR="008E7A10" w:rsidRDefault="008E7A10">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25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25F" w14:textId="77777777" w:rsidR="008E7A10" w:rsidRDefault="00E047B2">
            <w:pPr>
              <w:jc w:val="right"/>
              <w:textAlignment w:val="bottom"/>
            </w:pPr>
            <w:r>
              <w:rPr>
                <w:rFonts w:ascii="Arial" w:eastAsia="宋体" w:hAnsi="Arial" w:cs="Arial"/>
                <w:b/>
                <w:bCs/>
                <w:color w:val="000000"/>
                <w:sz w:val="17"/>
                <w:szCs w:val="17"/>
              </w:rPr>
              <w:t>2,749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260" w14:textId="77777777" w:rsidR="008E7A10" w:rsidRDefault="008E7A10">
            <w:pPr>
              <w:jc w:val="right"/>
              <w:rPr>
                <w:rFonts w:ascii="宋体"/>
              </w:rPr>
            </w:pPr>
          </w:p>
        </w:tc>
      </w:tr>
      <w:tr w:rsidR="008E7A10" w14:paraId="746F126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262" w14:textId="77777777" w:rsidR="008E7A10" w:rsidRDefault="00E047B2">
            <w:pPr>
              <w:textAlignment w:val="bottom"/>
            </w:pPr>
            <w:r>
              <w:rPr>
                <w:rFonts w:ascii="Arial" w:eastAsia="宋体" w:hAnsi="Arial" w:cs="Arial"/>
                <w:b/>
                <w:bCs/>
                <w:color w:val="000000"/>
                <w:sz w:val="17"/>
                <w:szCs w:val="17"/>
              </w:rPr>
              <w:t>INVENTORIES</w:t>
            </w:r>
          </w:p>
        </w:tc>
        <w:tc>
          <w:tcPr>
            <w:tcW w:w="0" w:type="auto"/>
            <w:gridSpan w:val="3"/>
            <w:tcBorders>
              <w:top w:val="single" w:sz="8" w:space="0" w:color="E87722"/>
            </w:tcBorders>
            <w:shd w:val="clear" w:color="auto" w:fill="FFF1E7"/>
            <w:tcMar>
              <w:top w:w="0" w:type="dxa"/>
              <w:left w:w="20" w:type="dxa"/>
              <w:bottom w:w="0" w:type="dxa"/>
              <w:right w:w="20" w:type="dxa"/>
            </w:tcMar>
          </w:tcPr>
          <w:p w14:paraId="746F1263"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264"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265" w14:textId="77777777" w:rsidR="008E7A10" w:rsidRDefault="008E7A10">
            <w:pPr>
              <w:rPr>
                <w:rFonts w:ascii="宋体"/>
              </w:rPr>
            </w:pPr>
          </w:p>
        </w:tc>
      </w:tr>
      <w:tr w:rsidR="008E7A10" w14:paraId="746F126F"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67" w14:textId="77777777" w:rsidR="008E7A10" w:rsidRDefault="00E047B2">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26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269" w14:textId="77777777" w:rsidR="008E7A10" w:rsidRDefault="00E047B2">
            <w:pPr>
              <w:jc w:val="right"/>
              <w:textAlignment w:val="bottom"/>
            </w:pPr>
            <w:r>
              <w:rPr>
                <w:rFonts w:ascii="Arial" w:eastAsia="宋体" w:hAnsi="Arial" w:cs="Arial"/>
                <w:color w:val="000000"/>
                <w:sz w:val="17"/>
                <w:szCs w:val="17"/>
              </w:rPr>
              <w:t>2,401 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6A"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6B"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26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26D" w14:textId="77777777" w:rsidR="008E7A10" w:rsidRDefault="00E047B2">
            <w:pPr>
              <w:jc w:val="right"/>
              <w:textAlignment w:val="bottom"/>
            </w:pPr>
            <w:r>
              <w:rPr>
                <w:rFonts w:ascii="Arial" w:eastAsia="宋体" w:hAnsi="Arial" w:cs="Arial"/>
                <w:color w:val="000000"/>
                <w:sz w:val="17"/>
                <w:szCs w:val="17"/>
              </w:rPr>
              <w:t>3,077 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6E" w14:textId="77777777" w:rsidR="008E7A10" w:rsidRDefault="008E7A10">
            <w:pPr>
              <w:jc w:val="right"/>
              <w:rPr>
                <w:rFonts w:ascii="宋体"/>
              </w:rPr>
            </w:pPr>
          </w:p>
        </w:tc>
      </w:tr>
      <w:tr w:rsidR="008E7A10" w14:paraId="746F1276"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70" w14:textId="77777777" w:rsidR="008E7A10" w:rsidRDefault="00E047B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71" w14:textId="77777777" w:rsidR="008E7A10" w:rsidRDefault="00E047B2">
            <w:pPr>
              <w:jc w:val="right"/>
              <w:textAlignment w:val="bottom"/>
            </w:pPr>
            <w:r>
              <w:rPr>
                <w:rFonts w:ascii="Arial" w:eastAsia="宋体" w:hAnsi="Arial" w:cs="Arial"/>
                <w:color w:val="000000"/>
                <w:sz w:val="17"/>
                <w:szCs w:val="17"/>
              </w:rPr>
              <w:t>1,589 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72"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73"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74" w14:textId="77777777" w:rsidR="008E7A10" w:rsidRDefault="00E047B2">
            <w:pPr>
              <w:jc w:val="right"/>
              <w:textAlignment w:val="bottom"/>
            </w:pPr>
            <w:r>
              <w:rPr>
                <w:rFonts w:ascii="Arial" w:eastAsia="宋体" w:hAnsi="Arial" w:cs="Arial"/>
                <w:color w:val="000000"/>
                <w:sz w:val="17"/>
                <w:szCs w:val="17"/>
              </w:rPr>
              <w:t>2,070 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75" w14:textId="77777777" w:rsidR="008E7A10" w:rsidRDefault="008E7A10">
            <w:pPr>
              <w:jc w:val="right"/>
              <w:rPr>
                <w:rFonts w:ascii="宋体"/>
              </w:rPr>
            </w:pPr>
          </w:p>
        </w:tc>
      </w:tr>
      <w:tr w:rsidR="008E7A10" w14:paraId="746F127D"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77" w14:textId="77777777" w:rsidR="008E7A10" w:rsidRDefault="00E047B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78" w14:textId="77777777" w:rsidR="008E7A10" w:rsidRDefault="00E047B2">
            <w:pPr>
              <w:jc w:val="right"/>
              <w:textAlignment w:val="bottom"/>
            </w:pPr>
            <w:r>
              <w:rPr>
                <w:rFonts w:ascii="Arial" w:eastAsia="宋体" w:hAnsi="Arial" w:cs="Arial"/>
                <w:color w:val="000000"/>
                <w:sz w:val="17"/>
                <w:szCs w:val="17"/>
              </w:rPr>
              <w:t>1,137 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7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7A"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7B" w14:textId="77777777" w:rsidR="008E7A10" w:rsidRDefault="00E047B2">
            <w:pPr>
              <w:jc w:val="right"/>
              <w:textAlignment w:val="bottom"/>
            </w:pPr>
            <w:r>
              <w:rPr>
                <w:rFonts w:ascii="Arial" w:eastAsia="宋体" w:hAnsi="Arial" w:cs="Arial"/>
                <w:color w:val="000000"/>
                <w:sz w:val="17"/>
                <w:szCs w:val="17"/>
              </w:rPr>
              <w:t>882 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7C" w14:textId="77777777" w:rsidR="008E7A10" w:rsidRDefault="008E7A10">
            <w:pPr>
              <w:jc w:val="right"/>
              <w:rPr>
                <w:rFonts w:ascii="宋体"/>
              </w:rPr>
            </w:pPr>
          </w:p>
        </w:tc>
      </w:tr>
      <w:tr w:rsidR="008E7A10" w14:paraId="746F1284"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27E" w14:textId="77777777" w:rsidR="008E7A10" w:rsidRDefault="00E047B2">
            <w:pPr>
              <w:textAlignment w:val="bottom"/>
            </w:pPr>
            <w:r>
              <w:rPr>
                <w:rFonts w:ascii="Arial" w:eastAsia="宋体" w:hAnsi="Arial" w:cs="Arial"/>
                <w:color w:val="000000"/>
                <w:sz w:val="17"/>
                <w:szCs w:val="17"/>
              </w:rPr>
              <w:t>Asia Pacific &amp; Latin America</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7F" w14:textId="77777777" w:rsidR="008E7A10" w:rsidRDefault="00E047B2">
            <w:pPr>
              <w:jc w:val="right"/>
              <w:textAlignment w:val="bottom"/>
            </w:pPr>
            <w:r>
              <w:rPr>
                <w:rFonts w:ascii="Arial" w:eastAsia="宋体" w:hAnsi="Arial" w:cs="Arial"/>
                <w:color w:val="000000"/>
                <w:sz w:val="17"/>
                <w:szCs w:val="17"/>
              </w:rPr>
              <w:t>620 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80"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81"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82" w14:textId="77777777" w:rsidR="008E7A10" w:rsidRDefault="00E047B2">
            <w:pPr>
              <w:jc w:val="right"/>
              <w:textAlignment w:val="bottom"/>
            </w:pPr>
            <w:r>
              <w:rPr>
                <w:rFonts w:ascii="Arial" w:eastAsia="宋体" w:hAnsi="Arial" w:cs="Arial"/>
                <w:color w:val="000000"/>
                <w:sz w:val="17"/>
                <w:szCs w:val="17"/>
              </w:rPr>
              <w:t>770 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83" w14:textId="77777777" w:rsidR="008E7A10" w:rsidRDefault="008E7A10">
            <w:pPr>
              <w:jc w:val="right"/>
              <w:rPr>
                <w:rFonts w:ascii="宋体"/>
              </w:rPr>
            </w:pPr>
          </w:p>
        </w:tc>
      </w:tr>
      <w:tr w:rsidR="008E7A10" w14:paraId="746F128B"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85" w14:textId="77777777" w:rsidR="008E7A10" w:rsidRDefault="00E047B2">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86" w14:textId="77777777" w:rsidR="008E7A10" w:rsidRDefault="00E047B2">
            <w:pPr>
              <w:jc w:val="right"/>
              <w:textAlignment w:val="bottom"/>
            </w:pPr>
            <w:r>
              <w:rPr>
                <w:rFonts w:ascii="Arial" w:eastAsia="宋体" w:hAnsi="Arial" w:cs="Arial"/>
                <w:color w:val="000000"/>
                <w:sz w:val="17"/>
                <w:szCs w:val="17"/>
              </w:rPr>
              <w:t>131 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87"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88"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89" w14:textId="77777777" w:rsidR="008E7A10" w:rsidRDefault="00E047B2">
            <w:pPr>
              <w:jc w:val="right"/>
              <w:textAlignment w:val="bottom"/>
            </w:pPr>
            <w:r>
              <w:rPr>
                <w:rFonts w:ascii="Arial" w:eastAsia="宋体" w:hAnsi="Arial" w:cs="Arial"/>
                <w:color w:val="000000"/>
                <w:sz w:val="17"/>
                <w:szCs w:val="17"/>
              </w:rPr>
              <w:t>137 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8A" w14:textId="77777777" w:rsidR="008E7A10" w:rsidRDefault="008E7A10">
            <w:pPr>
              <w:jc w:val="right"/>
              <w:rPr>
                <w:rFonts w:ascii="宋体"/>
              </w:rPr>
            </w:pPr>
          </w:p>
        </w:tc>
      </w:tr>
      <w:tr w:rsidR="008E7A10" w14:paraId="746F129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28C" w14:textId="77777777" w:rsidR="008E7A10" w:rsidRDefault="00E047B2">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28D" w14:textId="77777777" w:rsidR="008E7A10" w:rsidRDefault="00E047B2">
            <w:pPr>
              <w:jc w:val="right"/>
              <w:textAlignment w:val="bottom"/>
            </w:pPr>
            <w:r>
              <w:rPr>
                <w:rFonts w:ascii="Arial" w:eastAsia="宋体" w:hAnsi="Arial" w:cs="Arial"/>
                <w:color w:val="000000"/>
                <w:sz w:val="17"/>
                <w:szCs w:val="17"/>
              </w:rPr>
              <w:t>5,878 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28E"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28F"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290" w14:textId="77777777" w:rsidR="008E7A10" w:rsidRDefault="00E047B2">
            <w:pPr>
              <w:jc w:val="right"/>
              <w:textAlignment w:val="bottom"/>
            </w:pPr>
            <w:r>
              <w:rPr>
                <w:rFonts w:ascii="Arial" w:eastAsia="宋体" w:hAnsi="Arial" w:cs="Arial"/>
                <w:color w:val="000000"/>
                <w:sz w:val="17"/>
                <w:szCs w:val="17"/>
              </w:rPr>
              <w:t>6,936 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291" w14:textId="77777777" w:rsidR="008E7A10" w:rsidRDefault="008E7A10">
            <w:pPr>
              <w:jc w:val="right"/>
              <w:rPr>
                <w:rFonts w:ascii="宋体"/>
              </w:rPr>
            </w:pPr>
          </w:p>
        </w:tc>
      </w:tr>
      <w:tr w:rsidR="008E7A10" w14:paraId="746F1299"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93" w14:textId="77777777" w:rsidR="008E7A10" w:rsidRDefault="00E047B2">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94" w14:textId="77777777" w:rsidR="008E7A10" w:rsidRDefault="00E047B2">
            <w:pPr>
              <w:jc w:val="right"/>
              <w:textAlignment w:val="bottom"/>
            </w:pPr>
            <w:r>
              <w:rPr>
                <w:rFonts w:ascii="Arial" w:eastAsia="宋体" w:hAnsi="Arial" w:cs="Arial"/>
                <w:color w:val="000000"/>
                <w:sz w:val="17"/>
                <w:szCs w:val="17"/>
              </w:rPr>
              <w:t>315 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9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96"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97" w14:textId="77777777" w:rsidR="008E7A10" w:rsidRDefault="00E047B2">
            <w:pPr>
              <w:jc w:val="right"/>
              <w:textAlignment w:val="bottom"/>
            </w:pPr>
            <w:r>
              <w:rPr>
                <w:rFonts w:ascii="Arial" w:eastAsia="宋体" w:hAnsi="Arial" w:cs="Arial"/>
                <w:color w:val="000000"/>
                <w:sz w:val="17"/>
                <w:szCs w:val="17"/>
              </w:rPr>
              <w:t>341 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98" w14:textId="77777777" w:rsidR="008E7A10" w:rsidRDefault="008E7A10">
            <w:pPr>
              <w:jc w:val="right"/>
              <w:rPr>
                <w:rFonts w:ascii="宋体"/>
              </w:rPr>
            </w:pPr>
          </w:p>
        </w:tc>
      </w:tr>
      <w:tr w:rsidR="008E7A10" w14:paraId="746F12A0"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9A" w14:textId="77777777" w:rsidR="008E7A10" w:rsidRDefault="00E047B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9B" w14:textId="77777777" w:rsidR="008E7A10" w:rsidRDefault="00E047B2">
            <w:pPr>
              <w:jc w:val="right"/>
              <w:textAlignment w:val="bottom"/>
            </w:pPr>
            <w:r>
              <w:rPr>
                <w:rFonts w:ascii="Arial" w:eastAsia="宋体" w:hAnsi="Arial" w:cs="Arial"/>
                <w:color w:val="000000"/>
                <w:sz w:val="17"/>
                <w:szCs w:val="17"/>
              </w:rPr>
              <w:t>(103)</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9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9D"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9E" w14:textId="77777777" w:rsidR="008E7A10" w:rsidRDefault="00E047B2">
            <w:pPr>
              <w:jc w:val="right"/>
              <w:textAlignment w:val="bottom"/>
            </w:pPr>
            <w:r>
              <w:rPr>
                <w:rFonts w:ascii="Arial" w:eastAsia="宋体" w:hAnsi="Arial" w:cs="Arial"/>
                <w:color w:val="000000"/>
                <w:sz w:val="17"/>
                <w:szCs w:val="17"/>
              </w:rPr>
              <w:t>90 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9F" w14:textId="77777777" w:rsidR="008E7A10" w:rsidRDefault="008E7A10">
            <w:pPr>
              <w:jc w:val="right"/>
              <w:rPr>
                <w:rFonts w:ascii="宋体"/>
              </w:rPr>
            </w:pPr>
          </w:p>
        </w:tc>
      </w:tr>
      <w:tr w:rsidR="008E7A10" w14:paraId="746F12A9"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2A1" w14:textId="77777777" w:rsidR="008E7A10" w:rsidRDefault="00E047B2">
            <w:pPr>
              <w:textAlignment w:val="bottom"/>
            </w:pPr>
            <w:r>
              <w:rPr>
                <w:rFonts w:ascii="Arial" w:eastAsia="宋体" w:hAnsi="Arial" w:cs="Arial"/>
                <w:b/>
                <w:bCs/>
                <w:color w:val="000000"/>
                <w:sz w:val="17"/>
                <w:szCs w:val="17"/>
              </w:rPr>
              <w:t>TOTAL INVENTORIES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2A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2A3" w14:textId="77777777" w:rsidR="008E7A10" w:rsidRDefault="00E047B2">
            <w:pPr>
              <w:jc w:val="right"/>
              <w:textAlignment w:val="bottom"/>
            </w:pPr>
            <w:r>
              <w:rPr>
                <w:rFonts w:ascii="Arial" w:eastAsia="宋体" w:hAnsi="Arial" w:cs="Arial"/>
                <w:b/>
                <w:bCs/>
                <w:color w:val="000000"/>
                <w:sz w:val="17"/>
                <w:szCs w:val="17"/>
              </w:rPr>
              <w:t>6,090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2A4"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2A5" w14:textId="77777777" w:rsidR="008E7A10" w:rsidRDefault="008E7A10">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2A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2A7" w14:textId="77777777" w:rsidR="008E7A10" w:rsidRDefault="00E047B2">
            <w:pPr>
              <w:jc w:val="right"/>
              <w:textAlignment w:val="bottom"/>
            </w:pPr>
            <w:r>
              <w:rPr>
                <w:rFonts w:ascii="Arial" w:eastAsia="宋体" w:hAnsi="Arial" w:cs="Arial"/>
                <w:b/>
                <w:bCs/>
                <w:color w:val="000000"/>
                <w:sz w:val="17"/>
                <w:szCs w:val="17"/>
              </w:rPr>
              <w:t>7,367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2A8" w14:textId="77777777" w:rsidR="008E7A10" w:rsidRDefault="008E7A10">
            <w:pPr>
              <w:jc w:val="right"/>
              <w:rPr>
                <w:rFonts w:ascii="宋体"/>
              </w:rPr>
            </w:pPr>
          </w:p>
        </w:tc>
      </w:tr>
    </w:tbl>
    <w:p w14:paraId="746F12AA" w14:textId="77777777" w:rsidR="008E7A10" w:rsidRDefault="00E047B2">
      <w:pPr>
        <w:spacing w:before="120" w:after="120"/>
      </w:pPr>
      <w:r>
        <w:rPr>
          <w:rFonts w:ascii="Arial" w:eastAsia="宋体" w:hAnsi="Arial" w:cs="Arial"/>
          <w:color w:val="E87722"/>
          <w:sz w:val="17"/>
          <w:szCs w:val="17"/>
        </w:rPr>
        <w:t>22</w:t>
      </w:r>
      <w:r>
        <w:rPr>
          <w:rFonts w:ascii="sans-serif" w:eastAsia="sans-serif" w:hAnsi="sans-serif" w:cs="sans-serif"/>
          <w:color w:val="000000"/>
          <w:sz w:val="17"/>
          <w:szCs w:val="17"/>
        </w:rPr>
        <w:t xml:space="preserve"> </w:t>
      </w:r>
    </w:p>
    <w:p w14:paraId="746F12AB" w14:textId="77777777" w:rsidR="008E7A10" w:rsidRDefault="00E047B2">
      <w:r>
        <w:pict w14:anchorId="746F201E">
          <v:rect id="_x0000_i1048" style="width:415.3pt;height:1.5pt" o:hralign="center" o:hrstd="t" o:hr="t" fillcolor="#a0a0a0" stroked="f"/>
        </w:pict>
      </w:r>
    </w:p>
    <w:p w14:paraId="746F12AC" w14:textId="77777777" w:rsidR="008E7A10" w:rsidRDefault="008E7A10"/>
    <w:p w14:paraId="746F12AD" w14:textId="77777777" w:rsidR="008E7A10" w:rsidRDefault="00E047B2">
      <w:hyperlink r:id="rId93" w:anchor="i31a624617c6c41b38f8f700fa0df5bde_7" w:history="1">
        <w:r>
          <w:rPr>
            <w:rStyle w:val="a5"/>
            <w:rFonts w:ascii="sans-serif" w:eastAsia="sans-serif" w:hAnsi="sans-serif" w:cs="sans-serif"/>
            <w:sz w:val="17"/>
            <w:szCs w:val="17"/>
          </w:rPr>
          <w:t>Table of Contents</w:t>
        </w:r>
      </w:hyperlink>
    </w:p>
    <w:p w14:paraId="746F12AE" w14:textId="77777777" w:rsidR="008E7A10" w:rsidRDefault="008E7A10"/>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8E7A10" w14:paraId="746F12BB" w14:textId="77777777">
        <w:trPr>
          <w:jc w:val="center"/>
        </w:trPr>
        <w:tc>
          <w:tcPr>
            <w:tcW w:w="50" w:type="pct"/>
            <w:shd w:val="clear" w:color="auto" w:fill="auto"/>
          </w:tcPr>
          <w:p w14:paraId="746F12AF" w14:textId="77777777" w:rsidR="008E7A10" w:rsidRDefault="008E7A10">
            <w:pPr>
              <w:rPr>
                <w:rFonts w:ascii="宋体"/>
              </w:rPr>
            </w:pPr>
          </w:p>
        </w:tc>
        <w:tc>
          <w:tcPr>
            <w:tcW w:w="3255" w:type="pct"/>
            <w:shd w:val="clear" w:color="auto" w:fill="auto"/>
          </w:tcPr>
          <w:p w14:paraId="746F12B0" w14:textId="77777777" w:rsidR="008E7A10" w:rsidRDefault="008E7A10">
            <w:pPr>
              <w:rPr>
                <w:rFonts w:ascii="宋体"/>
              </w:rPr>
            </w:pPr>
          </w:p>
        </w:tc>
        <w:tc>
          <w:tcPr>
            <w:tcW w:w="5" w:type="pct"/>
            <w:shd w:val="clear" w:color="auto" w:fill="auto"/>
          </w:tcPr>
          <w:p w14:paraId="746F12B1" w14:textId="77777777" w:rsidR="008E7A10" w:rsidRDefault="008E7A10">
            <w:pPr>
              <w:rPr>
                <w:rFonts w:ascii="宋体"/>
              </w:rPr>
            </w:pPr>
          </w:p>
        </w:tc>
        <w:tc>
          <w:tcPr>
            <w:tcW w:w="50" w:type="pct"/>
            <w:shd w:val="clear" w:color="auto" w:fill="auto"/>
          </w:tcPr>
          <w:p w14:paraId="746F12B2" w14:textId="77777777" w:rsidR="008E7A10" w:rsidRDefault="008E7A10">
            <w:pPr>
              <w:rPr>
                <w:rFonts w:ascii="宋体"/>
              </w:rPr>
            </w:pPr>
          </w:p>
        </w:tc>
        <w:tc>
          <w:tcPr>
            <w:tcW w:w="770" w:type="pct"/>
            <w:shd w:val="clear" w:color="auto" w:fill="auto"/>
          </w:tcPr>
          <w:p w14:paraId="746F12B3" w14:textId="77777777" w:rsidR="008E7A10" w:rsidRDefault="008E7A10">
            <w:pPr>
              <w:rPr>
                <w:rFonts w:ascii="宋体"/>
              </w:rPr>
            </w:pPr>
          </w:p>
        </w:tc>
        <w:tc>
          <w:tcPr>
            <w:tcW w:w="5" w:type="pct"/>
            <w:shd w:val="clear" w:color="auto" w:fill="auto"/>
          </w:tcPr>
          <w:p w14:paraId="746F12B4" w14:textId="77777777" w:rsidR="008E7A10" w:rsidRDefault="008E7A10">
            <w:pPr>
              <w:rPr>
                <w:rFonts w:ascii="宋体"/>
              </w:rPr>
            </w:pPr>
          </w:p>
        </w:tc>
        <w:tc>
          <w:tcPr>
            <w:tcW w:w="5" w:type="pct"/>
            <w:shd w:val="clear" w:color="auto" w:fill="auto"/>
          </w:tcPr>
          <w:p w14:paraId="746F12B5" w14:textId="77777777" w:rsidR="008E7A10" w:rsidRDefault="008E7A10">
            <w:pPr>
              <w:rPr>
                <w:rFonts w:ascii="宋体"/>
              </w:rPr>
            </w:pPr>
          </w:p>
        </w:tc>
        <w:tc>
          <w:tcPr>
            <w:tcW w:w="28" w:type="pct"/>
            <w:shd w:val="clear" w:color="auto" w:fill="auto"/>
          </w:tcPr>
          <w:p w14:paraId="746F12B6" w14:textId="77777777" w:rsidR="008E7A10" w:rsidRDefault="008E7A10">
            <w:pPr>
              <w:rPr>
                <w:rFonts w:ascii="宋体"/>
              </w:rPr>
            </w:pPr>
          </w:p>
        </w:tc>
        <w:tc>
          <w:tcPr>
            <w:tcW w:w="5" w:type="pct"/>
            <w:shd w:val="clear" w:color="auto" w:fill="auto"/>
          </w:tcPr>
          <w:p w14:paraId="746F12B7" w14:textId="77777777" w:rsidR="008E7A10" w:rsidRDefault="008E7A10">
            <w:pPr>
              <w:rPr>
                <w:rFonts w:ascii="宋体"/>
              </w:rPr>
            </w:pPr>
          </w:p>
        </w:tc>
        <w:tc>
          <w:tcPr>
            <w:tcW w:w="50" w:type="pct"/>
            <w:shd w:val="clear" w:color="auto" w:fill="auto"/>
          </w:tcPr>
          <w:p w14:paraId="746F12B8" w14:textId="77777777" w:rsidR="008E7A10" w:rsidRDefault="008E7A10">
            <w:pPr>
              <w:rPr>
                <w:rFonts w:ascii="宋体"/>
              </w:rPr>
            </w:pPr>
          </w:p>
        </w:tc>
        <w:tc>
          <w:tcPr>
            <w:tcW w:w="770" w:type="pct"/>
            <w:shd w:val="clear" w:color="auto" w:fill="auto"/>
          </w:tcPr>
          <w:p w14:paraId="746F12B9" w14:textId="77777777" w:rsidR="008E7A10" w:rsidRDefault="008E7A10">
            <w:pPr>
              <w:rPr>
                <w:rFonts w:ascii="宋体"/>
              </w:rPr>
            </w:pPr>
          </w:p>
        </w:tc>
        <w:tc>
          <w:tcPr>
            <w:tcW w:w="5" w:type="pct"/>
            <w:shd w:val="clear" w:color="auto" w:fill="auto"/>
          </w:tcPr>
          <w:p w14:paraId="746F12BA" w14:textId="77777777" w:rsidR="008E7A10" w:rsidRDefault="008E7A10">
            <w:pPr>
              <w:rPr>
                <w:rFonts w:ascii="宋体"/>
              </w:rPr>
            </w:pPr>
          </w:p>
        </w:tc>
      </w:tr>
      <w:tr w:rsidR="008E7A10" w14:paraId="746F12C0" w14:textId="77777777">
        <w:trPr>
          <w:jc w:val="center"/>
        </w:trPr>
        <w:tc>
          <w:tcPr>
            <w:tcW w:w="0" w:type="auto"/>
            <w:gridSpan w:val="3"/>
            <w:shd w:val="clear" w:color="auto" w:fill="auto"/>
            <w:tcMar>
              <w:top w:w="0" w:type="dxa"/>
              <w:left w:w="20" w:type="dxa"/>
              <w:bottom w:w="0" w:type="dxa"/>
              <w:right w:w="20" w:type="dxa"/>
            </w:tcMar>
          </w:tcPr>
          <w:p w14:paraId="746F12BC" w14:textId="77777777" w:rsidR="008E7A10" w:rsidRDefault="008E7A10">
            <w:pPr>
              <w:rPr>
                <w:rFonts w:ascii="宋体"/>
              </w:rPr>
            </w:pPr>
          </w:p>
        </w:tc>
        <w:tc>
          <w:tcPr>
            <w:tcW w:w="0" w:type="auto"/>
            <w:gridSpan w:val="3"/>
            <w:shd w:val="clear" w:color="auto" w:fill="auto"/>
            <w:tcMar>
              <w:top w:w="40" w:type="dxa"/>
              <w:left w:w="20" w:type="dxa"/>
              <w:bottom w:w="40" w:type="dxa"/>
              <w:right w:w="20" w:type="dxa"/>
            </w:tcMar>
            <w:vAlign w:val="bottom"/>
          </w:tcPr>
          <w:p w14:paraId="746F12BD" w14:textId="77777777" w:rsidR="008E7A10" w:rsidRDefault="00E047B2">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tcPr>
          <w:p w14:paraId="746F12BE" w14:textId="77777777" w:rsidR="008E7A10" w:rsidRDefault="008E7A10">
            <w:pPr>
              <w:rPr>
                <w:rFonts w:ascii="宋体"/>
              </w:rPr>
            </w:pPr>
          </w:p>
        </w:tc>
        <w:tc>
          <w:tcPr>
            <w:tcW w:w="0" w:type="auto"/>
            <w:gridSpan w:val="3"/>
            <w:shd w:val="clear" w:color="auto" w:fill="auto"/>
            <w:tcMar>
              <w:top w:w="40" w:type="dxa"/>
              <w:left w:w="20" w:type="dxa"/>
              <w:bottom w:w="40" w:type="dxa"/>
              <w:right w:w="20" w:type="dxa"/>
            </w:tcMar>
            <w:vAlign w:val="bottom"/>
          </w:tcPr>
          <w:p w14:paraId="746F12BF" w14:textId="77777777" w:rsidR="008E7A10" w:rsidRDefault="00E047B2">
            <w:pPr>
              <w:jc w:val="center"/>
              <w:textAlignment w:val="bottom"/>
            </w:pPr>
            <w:r>
              <w:rPr>
                <w:rFonts w:ascii="sans-serif" w:eastAsia="sans-serif" w:hAnsi="sans-serif" w:cs="sans-serif"/>
                <w:b/>
                <w:bCs/>
                <w:color w:val="000000"/>
                <w:sz w:val="17"/>
                <w:szCs w:val="17"/>
              </w:rPr>
              <w:t>MAY 31,</w:t>
            </w:r>
          </w:p>
        </w:tc>
      </w:tr>
      <w:tr w:rsidR="008E7A10" w14:paraId="746F12C5" w14:textId="77777777">
        <w:trPr>
          <w:jc w:val="center"/>
        </w:trPr>
        <w:tc>
          <w:tcPr>
            <w:tcW w:w="0" w:type="auto"/>
            <w:gridSpan w:val="3"/>
            <w:shd w:val="clear" w:color="auto" w:fill="auto"/>
            <w:tcMar>
              <w:top w:w="40" w:type="dxa"/>
              <w:left w:w="20" w:type="dxa"/>
              <w:bottom w:w="40" w:type="dxa"/>
              <w:right w:w="20" w:type="dxa"/>
            </w:tcMar>
            <w:vAlign w:val="bottom"/>
          </w:tcPr>
          <w:p w14:paraId="746F12C1"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2C2"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tcPr>
          <w:p w14:paraId="746F12C3"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2C4" w14:textId="77777777" w:rsidR="008E7A10" w:rsidRDefault="00E047B2">
            <w:pPr>
              <w:jc w:val="center"/>
              <w:textAlignment w:val="bottom"/>
            </w:pPr>
            <w:r>
              <w:rPr>
                <w:rFonts w:ascii="sans-serif" w:eastAsia="sans-serif" w:hAnsi="sans-serif" w:cs="sans-serif"/>
                <w:b/>
                <w:bCs/>
                <w:color w:val="000000"/>
                <w:sz w:val="17"/>
                <w:szCs w:val="17"/>
              </w:rPr>
              <w:t>2020</w:t>
            </w:r>
          </w:p>
        </w:tc>
      </w:tr>
      <w:tr w:rsidR="008E7A10" w14:paraId="746F12CA"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2C6" w14:textId="77777777" w:rsidR="008E7A10" w:rsidRDefault="00E047B2">
            <w:pPr>
              <w:textAlignment w:val="bottom"/>
            </w:pPr>
            <w:r>
              <w:rPr>
                <w:rFonts w:ascii="Arial" w:eastAsia="宋体" w:hAnsi="Arial" w:cs="Arial"/>
                <w:b/>
                <w:bCs/>
                <w:color w:val="000000"/>
                <w:sz w:val="17"/>
                <w:szCs w:val="17"/>
              </w:rPr>
              <w:t>PROPERTY, PLANT AND EQUIPMENT, NET</w:t>
            </w:r>
          </w:p>
        </w:tc>
        <w:tc>
          <w:tcPr>
            <w:tcW w:w="0" w:type="auto"/>
            <w:gridSpan w:val="3"/>
            <w:tcBorders>
              <w:top w:val="single" w:sz="8" w:space="0" w:color="E87722"/>
            </w:tcBorders>
            <w:shd w:val="clear" w:color="auto" w:fill="FFF1E7"/>
            <w:tcMar>
              <w:top w:w="0" w:type="dxa"/>
              <w:left w:w="20" w:type="dxa"/>
              <w:bottom w:w="0" w:type="dxa"/>
              <w:right w:w="20" w:type="dxa"/>
            </w:tcMar>
          </w:tcPr>
          <w:p w14:paraId="746F12C7"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2C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2C9" w14:textId="77777777" w:rsidR="008E7A10" w:rsidRDefault="008E7A10">
            <w:pPr>
              <w:rPr>
                <w:rFonts w:ascii="宋体"/>
              </w:rPr>
            </w:pPr>
          </w:p>
        </w:tc>
      </w:tr>
      <w:tr w:rsidR="008E7A10" w14:paraId="746F12D3"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CB" w14:textId="77777777" w:rsidR="008E7A10" w:rsidRDefault="00E047B2">
            <w:pPr>
              <w:textAlignment w:val="bottom"/>
            </w:pPr>
            <w:r>
              <w:rPr>
                <w:rFonts w:ascii="Arial" w:eastAsia="宋体" w:hAnsi="Arial" w:cs="Arial"/>
                <w:color w:val="000000"/>
                <w:sz w:val="17"/>
                <w:szCs w:val="17"/>
              </w:rPr>
              <w:t>North America</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2C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2CD" w14:textId="77777777" w:rsidR="008E7A10" w:rsidRDefault="00E047B2">
            <w:pPr>
              <w:jc w:val="right"/>
              <w:textAlignment w:val="bottom"/>
            </w:pPr>
            <w:r>
              <w:rPr>
                <w:rFonts w:ascii="Arial" w:eastAsia="宋体" w:hAnsi="Arial" w:cs="Arial"/>
                <w:color w:val="000000"/>
                <w:sz w:val="17"/>
                <w:szCs w:val="17"/>
              </w:rPr>
              <w:t>632 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CE"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CF" w14:textId="77777777" w:rsidR="008E7A10" w:rsidRDefault="008E7A10">
            <w:pPr>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2D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2D1" w14:textId="77777777" w:rsidR="008E7A10" w:rsidRDefault="00E047B2">
            <w:pPr>
              <w:jc w:val="right"/>
              <w:textAlignment w:val="bottom"/>
            </w:pPr>
            <w:r>
              <w:rPr>
                <w:rFonts w:ascii="Arial" w:eastAsia="宋体" w:hAnsi="Arial" w:cs="Arial"/>
                <w:color w:val="000000"/>
                <w:sz w:val="17"/>
                <w:szCs w:val="17"/>
              </w:rPr>
              <w:t>645 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D2" w14:textId="77777777" w:rsidR="008E7A10" w:rsidRDefault="008E7A10">
            <w:pPr>
              <w:jc w:val="right"/>
              <w:rPr>
                <w:rFonts w:ascii="宋体"/>
              </w:rPr>
            </w:pPr>
          </w:p>
        </w:tc>
      </w:tr>
      <w:tr w:rsidR="008E7A10" w14:paraId="746F12DA"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D4" w14:textId="77777777" w:rsidR="008E7A10" w:rsidRDefault="00E047B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D5" w14:textId="77777777" w:rsidR="008E7A10" w:rsidRDefault="00E047B2">
            <w:pPr>
              <w:jc w:val="right"/>
              <w:textAlignment w:val="bottom"/>
            </w:pPr>
            <w:r>
              <w:rPr>
                <w:rFonts w:ascii="Arial" w:eastAsia="宋体" w:hAnsi="Arial" w:cs="Arial"/>
                <w:color w:val="000000"/>
                <w:sz w:val="17"/>
                <w:szCs w:val="17"/>
              </w:rPr>
              <w:t>934 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D6"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D7"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D8" w14:textId="77777777" w:rsidR="008E7A10" w:rsidRDefault="00E047B2">
            <w:pPr>
              <w:jc w:val="right"/>
              <w:textAlignment w:val="bottom"/>
            </w:pPr>
            <w:r>
              <w:rPr>
                <w:rFonts w:ascii="Arial" w:eastAsia="宋体" w:hAnsi="Arial" w:cs="Arial"/>
                <w:color w:val="000000"/>
                <w:sz w:val="17"/>
                <w:szCs w:val="17"/>
              </w:rPr>
              <w:t>885 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D9" w14:textId="77777777" w:rsidR="008E7A10" w:rsidRDefault="008E7A10">
            <w:pPr>
              <w:jc w:val="right"/>
              <w:rPr>
                <w:rFonts w:ascii="宋体"/>
              </w:rPr>
            </w:pPr>
          </w:p>
        </w:tc>
      </w:tr>
      <w:tr w:rsidR="008E7A10" w14:paraId="746F12E1"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DB" w14:textId="77777777" w:rsidR="008E7A10" w:rsidRDefault="00E047B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DC" w14:textId="77777777" w:rsidR="008E7A10" w:rsidRDefault="00E047B2">
            <w:pPr>
              <w:jc w:val="right"/>
              <w:textAlignment w:val="bottom"/>
            </w:pPr>
            <w:r>
              <w:rPr>
                <w:rFonts w:ascii="Arial" w:eastAsia="宋体" w:hAnsi="Arial" w:cs="Arial"/>
                <w:color w:val="000000"/>
                <w:sz w:val="17"/>
                <w:szCs w:val="17"/>
              </w:rPr>
              <w:t>246 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DD"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DE"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DF" w14:textId="77777777" w:rsidR="008E7A10" w:rsidRDefault="00E047B2">
            <w:pPr>
              <w:jc w:val="right"/>
              <w:textAlignment w:val="bottom"/>
            </w:pPr>
            <w:r>
              <w:rPr>
                <w:rFonts w:ascii="Arial" w:eastAsia="宋体" w:hAnsi="Arial" w:cs="Arial"/>
                <w:color w:val="000000"/>
                <w:sz w:val="17"/>
                <w:szCs w:val="17"/>
              </w:rPr>
              <w:t>214 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E0" w14:textId="77777777" w:rsidR="008E7A10" w:rsidRDefault="008E7A10">
            <w:pPr>
              <w:jc w:val="right"/>
              <w:rPr>
                <w:rFonts w:ascii="宋体"/>
              </w:rPr>
            </w:pPr>
          </w:p>
        </w:tc>
      </w:tr>
      <w:tr w:rsidR="008E7A10" w14:paraId="746F12E8" w14:textId="77777777">
        <w:trPr>
          <w:jc w:val="center"/>
        </w:trPr>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2E2" w14:textId="77777777" w:rsidR="008E7A10" w:rsidRDefault="00E047B2">
            <w:pPr>
              <w:textAlignment w:val="bottom"/>
            </w:pPr>
            <w:r>
              <w:rPr>
                <w:rFonts w:ascii="Arial" w:eastAsia="宋体" w:hAnsi="Arial" w:cs="Arial"/>
                <w:color w:val="000000"/>
                <w:sz w:val="17"/>
                <w:szCs w:val="17"/>
              </w:rPr>
              <w:t>Asia Pacific &amp; Latin America</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E3" w14:textId="77777777" w:rsidR="008E7A10" w:rsidRDefault="00E047B2">
            <w:pPr>
              <w:jc w:val="right"/>
              <w:textAlignment w:val="bottom"/>
            </w:pPr>
            <w:r>
              <w:rPr>
                <w:rFonts w:ascii="Arial" w:eastAsia="宋体" w:hAnsi="Arial" w:cs="Arial"/>
                <w:color w:val="000000"/>
                <w:sz w:val="17"/>
                <w:szCs w:val="17"/>
              </w:rPr>
              <w:t>312 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E4"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E5"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E6" w14:textId="77777777" w:rsidR="008E7A10" w:rsidRDefault="00E047B2">
            <w:pPr>
              <w:jc w:val="right"/>
              <w:textAlignment w:val="bottom"/>
            </w:pPr>
            <w:r>
              <w:rPr>
                <w:rFonts w:ascii="Arial" w:eastAsia="宋体" w:hAnsi="Arial" w:cs="Arial"/>
                <w:color w:val="000000"/>
                <w:sz w:val="17"/>
                <w:szCs w:val="17"/>
              </w:rPr>
              <w:t>296 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E7" w14:textId="77777777" w:rsidR="008E7A10" w:rsidRDefault="008E7A10">
            <w:pPr>
              <w:jc w:val="right"/>
              <w:rPr>
                <w:rFonts w:ascii="宋体"/>
              </w:rPr>
            </w:pPr>
          </w:p>
        </w:tc>
      </w:tr>
      <w:tr w:rsidR="008E7A10" w14:paraId="746F12EF"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E9" w14:textId="77777777" w:rsidR="008E7A10" w:rsidRDefault="00E047B2">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EA" w14:textId="77777777" w:rsidR="008E7A10" w:rsidRDefault="00E047B2">
            <w:pPr>
              <w:jc w:val="right"/>
              <w:textAlignment w:val="bottom"/>
            </w:pPr>
            <w:r>
              <w:rPr>
                <w:rFonts w:ascii="Arial" w:eastAsia="宋体" w:hAnsi="Arial" w:cs="Arial"/>
                <w:color w:val="000000"/>
                <w:sz w:val="17"/>
                <w:szCs w:val="17"/>
              </w:rPr>
              <w:t>866 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E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EC"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ED" w14:textId="77777777" w:rsidR="008E7A10" w:rsidRDefault="00E047B2">
            <w:pPr>
              <w:jc w:val="right"/>
              <w:textAlignment w:val="bottom"/>
            </w:pPr>
            <w:r>
              <w:rPr>
                <w:rFonts w:ascii="Arial" w:eastAsia="宋体" w:hAnsi="Arial" w:cs="Arial"/>
                <w:color w:val="000000"/>
                <w:sz w:val="17"/>
                <w:szCs w:val="17"/>
              </w:rPr>
              <w:t>830 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EE" w14:textId="77777777" w:rsidR="008E7A10" w:rsidRDefault="008E7A10">
            <w:pPr>
              <w:jc w:val="right"/>
              <w:rPr>
                <w:rFonts w:ascii="宋体"/>
              </w:rPr>
            </w:pPr>
          </w:p>
        </w:tc>
      </w:tr>
      <w:tr w:rsidR="008E7A10" w14:paraId="746F12F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2F0" w14:textId="77777777" w:rsidR="008E7A10" w:rsidRDefault="00E047B2">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2F1" w14:textId="77777777" w:rsidR="008E7A10" w:rsidRDefault="00E047B2">
            <w:pPr>
              <w:jc w:val="right"/>
              <w:textAlignment w:val="bottom"/>
            </w:pPr>
            <w:r>
              <w:rPr>
                <w:rFonts w:ascii="Arial" w:eastAsia="宋体" w:hAnsi="Arial" w:cs="Arial"/>
                <w:color w:val="000000"/>
                <w:sz w:val="17"/>
                <w:szCs w:val="17"/>
              </w:rPr>
              <w:t>2,990 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2F2"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2F3" w14:textId="77777777" w:rsidR="008E7A10" w:rsidRDefault="008E7A10">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2F4" w14:textId="77777777" w:rsidR="008E7A10" w:rsidRDefault="00E047B2">
            <w:pPr>
              <w:jc w:val="right"/>
              <w:textAlignment w:val="bottom"/>
            </w:pPr>
            <w:r>
              <w:rPr>
                <w:rFonts w:ascii="Arial" w:eastAsia="宋体" w:hAnsi="Arial" w:cs="Arial"/>
                <w:color w:val="000000"/>
                <w:sz w:val="17"/>
                <w:szCs w:val="17"/>
              </w:rPr>
              <w:t>2,870 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2F5" w14:textId="77777777" w:rsidR="008E7A10" w:rsidRDefault="008E7A10">
            <w:pPr>
              <w:jc w:val="right"/>
              <w:rPr>
                <w:rFonts w:ascii="宋体"/>
              </w:rPr>
            </w:pPr>
          </w:p>
        </w:tc>
      </w:tr>
      <w:tr w:rsidR="008E7A10" w14:paraId="746F12FD"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F7" w14:textId="77777777" w:rsidR="008E7A10" w:rsidRDefault="00E047B2">
            <w:pPr>
              <w:textAlignment w:val="bottom"/>
            </w:pPr>
            <w:r>
              <w:rPr>
                <w:rFonts w:ascii="Arial" w:eastAsia="宋体" w:hAnsi="Arial" w:cs="Arial"/>
                <w:color w:val="000000"/>
                <w:sz w:val="17"/>
                <w:szCs w:val="17"/>
              </w:rPr>
              <w:t>Converse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F8" w14:textId="77777777" w:rsidR="008E7A10" w:rsidRDefault="00E047B2">
            <w:pPr>
              <w:jc w:val="right"/>
              <w:textAlignment w:val="bottom"/>
            </w:pPr>
            <w:r>
              <w:rPr>
                <w:rFonts w:ascii="Arial" w:eastAsia="宋体" w:hAnsi="Arial" w:cs="Arial"/>
                <w:color w:val="000000"/>
                <w:sz w:val="17"/>
                <w:szCs w:val="17"/>
              </w:rPr>
              <w:t>72 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2F9"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2FA"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2FB" w14:textId="77777777" w:rsidR="008E7A10" w:rsidRDefault="00E047B2">
            <w:pPr>
              <w:jc w:val="right"/>
              <w:textAlignment w:val="bottom"/>
            </w:pPr>
            <w:r>
              <w:rPr>
                <w:rFonts w:ascii="Arial" w:eastAsia="宋体" w:hAnsi="Arial" w:cs="Arial"/>
                <w:color w:val="000000"/>
                <w:sz w:val="17"/>
                <w:szCs w:val="17"/>
              </w:rPr>
              <w:t>80 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2FC" w14:textId="77777777" w:rsidR="008E7A10" w:rsidRDefault="008E7A10">
            <w:pPr>
              <w:jc w:val="right"/>
              <w:rPr>
                <w:rFonts w:ascii="宋体"/>
              </w:rPr>
            </w:pPr>
          </w:p>
        </w:tc>
      </w:tr>
      <w:tr w:rsidR="008E7A10" w14:paraId="746F1304" w14:textId="77777777">
        <w:trPr>
          <w:jc w:val="center"/>
        </w:trPr>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2FE" w14:textId="77777777" w:rsidR="008E7A10" w:rsidRDefault="00E047B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2FF" w14:textId="77777777" w:rsidR="008E7A10" w:rsidRDefault="00E047B2">
            <w:pPr>
              <w:jc w:val="right"/>
              <w:textAlignment w:val="bottom"/>
            </w:pPr>
            <w:r>
              <w:rPr>
                <w:rFonts w:ascii="Arial" w:eastAsia="宋体" w:hAnsi="Arial" w:cs="Arial"/>
                <w:color w:val="000000"/>
                <w:sz w:val="17"/>
                <w:szCs w:val="17"/>
              </w:rPr>
              <w:t>1,897 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300"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301" w14:textId="77777777" w:rsidR="008E7A10" w:rsidRDefault="008E7A10">
            <w:pPr>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302" w14:textId="77777777" w:rsidR="008E7A10" w:rsidRDefault="00E047B2">
            <w:pPr>
              <w:jc w:val="right"/>
              <w:textAlignment w:val="bottom"/>
            </w:pPr>
            <w:r>
              <w:rPr>
                <w:rFonts w:ascii="Arial" w:eastAsia="宋体" w:hAnsi="Arial" w:cs="Arial"/>
                <w:color w:val="000000"/>
                <w:sz w:val="17"/>
                <w:szCs w:val="17"/>
              </w:rPr>
              <w:t>1,916 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303" w14:textId="77777777" w:rsidR="008E7A10" w:rsidRDefault="008E7A10">
            <w:pPr>
              <w:jc w:val="right"/>
              <w:rPr>
                <w:rFonts w:ascii="宋体"/>
              </w:rPr>
            </w:pPr>
          </w:p>
        </w:tc>
      </w:tr>
      <w:tr w:rsidR="008E7A10" w14:paraId="746F130D"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305" w14:textId="77777777" w:rsidR="008E7A10" w:rsidRDefault="00E047B2">
            <w:pPr>
              <w:textAlignment w:val="bottom"/>
            </w:pPr>
            <w:r>
              <w:rPr>
                <w:rFonts w:ascii="Arial" w:eastAsia="宋体" w:hAnsi="Arial" w:cs="Arial"/>
                <w:b/>
                <w:bCs/>
                <w:color w:val="000000"/>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30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307" w14:textId="77777777" w:rsidR="008E7A10" w:rsidRDefault="00E047B2">
            <w:pPr>
              <w:jc w:val="right"/>
              <w:textAlignment w:val="bottom"/>
            </w:pPr>
            <w:r>
              <w:rPr>
                <w:rFonts w:ascii="Arial" w:eastAsia="宋体" w:hAnsi="Arial" w:cs="Arial"/>
                <w:b/>
                <w:bCs/>
                <w:color w:val="000000"/>
                <w:sz w:val="17"/>
                <w:szCs w:val="17"/>
              </w:rPr>
              <w:t>4,959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308"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309" w14:textId="77777777" w:rsidR="008E7A10" w:rsidRDefault="008E7A10">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30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30B" w14:textId="77777777" w:rsidR="008E7A10" w:rsidRDefault="00E047B2">
            <w:pPr>
              <w:jc w:val="right"/>
              <w:textAlignment w:val="bottom"/>
            </w:pPr>
            <w:r>
              <w:rPr>
                <w:rFonts w:ascii="Arial" w:eastAsia="宋体" w:hAnsi="Arial" w:cs="Arial"/>
                <w:b/>
                <w:bCs/>
                <w:color w:val="000000"/>
                <w:sz w:val="17"/>
                <w:szCs w:val="17"/>
              </w:rPr>
              <w:t>4,866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30C" w14:textId="77777777" w:rsidR="008E7A10" w:rsidRDefault="008E7A10">
            <w:pPr>
              <w:jc w:val="right"/>
              <w:rPr>
                <w:rFonts w:ascii="宋体"/>
              </w:rPr>
            </w:pPr>
          </w:p>
        </w:tc>
      </w:tr>
    </w:tbl>
    <w:p w14:paraId="746F130E" w14:textId="77777777" w:rsidR="008E7A10" w:rsidRDefault="00E047B2">
      <w:pPr>
        <w:spacing w:before="60" w:after="60"/>
        <w:ind w:hanging="360"/>
      </w:pPr>
      <w:r>
        <w:rPr>
          <w:rFonts w:ascii="Arial" w:eastAsia="宋体" w:hAnsi="Arial" w:cs="Arial"/>
          <w:i/>
          <w:iCs/>
          <w:color w:val="000000"/>
          <w:sz w:val="14"/>
          <w:szCs w:val="14"/>
        </w:rPr>
        <w:t xml:space="preserve">(1)Excludes assets held-for-sale as of November 30, 2020 and May 31, 2020. See Note 13 — Acquisitions and Divestitures for </w:t>
      </w:r>
      <w:r>
        <w:rPr>
          <w:rFonts w:ascii="Arial" w:eastAsia="宋体" w:hAnsi="Arial" w:cs="Arial"/>
          <w:i/>
          <w:iCs/>
          <w:color w:val="000000"/>
          <w:sz w:val="14"/>
          <w:szCs w:val="14"/>
        </w:rPr>
        <w:t>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1312" w14:textId="77777777">
        <w:tc>
          <w:tcPr>
            <w:tcW w:w="50" w:type="pct"/>
            <w:shd w:val="clear" w:color="auto" w:fill="auto"/>
          </w:tcPr>
          <w:p w14:paraId="746F130F" w14:textId="77777777" w:rsidR="008E7A10" w:rsidRDefault="008E7A10">
            <w:pPr>
              <w:rPr>
                <w:rFonts w:ascii="宋体"/>
              </w:rPr>
            </w:pPr>
          </w:p>
        </w:tc>
        <w:tc>
          <w:tcPr>
            <w:tcW w:w="4945" w:type="pct"/>
            <w:shd w:val="clear" w:color="auto" w:fill="auto"/>
          </w:tcPr>
          <w:p w14:paraId="746F1310" w14:textId="77777777" w:rsidR="008E7A10" w:rsidRDefault="008E7A10">
            <w:pPr>
              <w:rPr>
                <w:rFonts w:ascii="宋体"/>
              </w:rPr>
            </w:pPr>
          </w:p>
        </w:tc>
        <w:tc>
          <w:tcPr>
            <w:tcW w:w="5" w:type="pct"/>
            <w:shd w:val="clear" w:color="auto" w:fill="auto"/>
          </w:tcPr>
          <w:p w14:paraId="746F1311" w14:textId="77777777" w:rsidR="008E7A10" w:rsidRDefault="008E7A10">
            <w:pPr>
              <w:rPr>
                <w:rFonts w:ascii="宋体"/>
              </w:rPr>
            </w:pPr>
          </w:p>
        </w:tc>
      </w:tr>
      <w:tr w:rsidR="008E7A10" w14:paraId="746F1314" w14:textId="77777777">
        <w:tc>
          <w:tcPr>
            <w:tcW w:w="0" w:type="auto"/>
            <w:gridSpan w:val="3"/>
            <w:shd w:val="clear" w:color="auto" w:fill="auto"/>
            <w:tcMar>
              <w:top w:w="40" w:type="dxa"/>
              <w:left w:w="20" w:type="dxa"/>
              <w:bottom w:w="40" w:type="dxa"/>
              <w:right w:w="20" w:type="dxa"/>
            </w:tcMar>
            <w:vAlign w:val="bottom"/>
          </w:tcPr>
          <w:p w14:paraId="746F1313" w14:textId="77777777" w:rsidR="008E7A10" w:rsidRDefault="00E047B2">
            <w:pPr>
              <w:textAlignment w:val="bottom"/>
            </w:pPr>
            <w:r>
              <w:rPr>
                <w:rFonts w:ascii="sans-serif" w:eastAsia="sans-serif" w:hAnsi="sans-serif" w:cs="sans-serif"/>
                <w:b/>
                <w:bCs/>
                <w:color w:val="E87722"/>
                <w:sz w:val="36"/>
                <w:szCs w:val="36"/>
              </w:rPr>
              <w:t>NOTE 13 — ACQUISITIONS AND DIVESTITURES</w:t>
            </w:r>
          </w:p>
        </w:tc>
      </w:tr>
    </w:tbl>
    <w:p w14:paraId="746F1315" w14:textId="77777777" w:rsidR="008E7A10" w:rsidRDefault="00E047B2">
      <w:pPr>
        <w:spacing w:before="120" w:after="120"/>
      </w:pPr>
      <w:r>
        <w:rPr>
          <w:rFonts w:ascii="Arial" w:eastAsia="宋体" w:hAnsi="Arial" w:cs="Arial"/>
          <w:color w:val="000000"/>
          <w:sz w:val="17"/>
          <w:szCs w:val="17"/>
        </w:rPr>
        <w:t>During the third quarter of fiscal 2020, as a result of the Company's decision to transition its wholesale and direct to consumer operating model in certain countries within its APLA operating segment, the Company signed definitive agreements to sell its N</w:t>
      </w:r>
      <w:r>
        <w:rPr>
          <w:rFonts w:ascii="Arial" w:eastAsia="宋体" w:hAnsi="Arial" w:cs="Arial"/>
          <w:color w:val="000000"/>
          <w:sz w:val="17"/>
          <w:szCs w:val="17"/>
        </w:rPr>
        <w:t>IKE Brand businesses in Brazil, Argentina, Chile and Uruguay to third-party distributors. Specifically, NIKE entered into agreements to sell its operations in Argentina, Chile and Uruguay to Grupo Axo and to sell substantially all of its operations in Braz</w:t>
      </w:r>
      <w:r>
        <w:rPr>
          <w:rFonts w:ascii="Arial" w:eastAsia="宋体" w:hAnsi="Arial" w:cs="Arial"/>
          <w:color w:val="000000"/>
          <w:sz w:val="17"/>
          <w:szCs w:val="17"/>
        </w:rPr>
        <w:t xml:space="preserve">il to Grupo SBF S.A., through its wholly owned subsidiary. The Company will retain a small operation in Brazil focused on certain sports marketing assets, local manufacturing and Converse. </w:t>
      </w:r>
    </w:p>
    <w:p w14:paraId="746F1316" w14:textId="77777777" w:rsidR="008E7A10" w:rsidRDefault="00E047B2">
      <w:pPr>
        <w:spacing w:before="120"/>
      </w:pPr>
      <w:r>
        <w:rPr>
          <w:rFonts w:ascii="Arial" w:eastAsia="宋体" w:hAnsi="Arial" w:cs="Arial"/>
          <w:color w:val="000000"/>
          <w:sz w:val="17"/>
          <w:szCs w:val="17"/>
        </w:rPr>
        <w:t>As a result of this decision, beginning in the third quarter of fi</w:t>
      </w:r>
      <w:r>
        <w:rPr>
          <w:rFonts w:ascii="Arial" w:eastAsia="宋体" w:hAnsi="Arial" w:cs="Arial"/>
          <w:color w:val="000000"/>
          <w:sz w:val="17"/>
          <w:szCs w:val="17"/>
        </w:rPr>
        <w:t>scal 2020, the related assets and liabilities of these entities were classified as held-for-sale within Prepaid expenses and other current assets and Accrued liabilities, respectively, and remain as such on the Unaudited Condensed Consolidated Balance Shee</w:t>
      </w:r>
      <w:r>
        <w:rPr>
          <w:rFonts w:ascii="Arial" w:eastAsia="宋体" w:hAnsi="Arial" w:cs="Arial"/>
          <w:color w:val="000000"/>
          <w:sz w:val="17"/>
          <w:szCs w:val="17"/>
        </w:rPr>
        <w:t xml:space="preserve">ts as of November 30, 2020. </w:t>
      </w:r>
    </w:p>
    <w:p w14:paraId="746F1317" w14:textId="77777777" w:rsidR="008E7A10" w:rsidRDefault="00E047B2">
      <w:pPr>
        <w:spacing w:before="120"/>
      </w:pPr>
      <w:r>
        <w:rPr>
          <w:rFonts w:ascii="sans-serif" w:eastAsia="sans-serif" w:hAnsi="sans-serif" w:cs="sans-serif"/>
          <w:b/>
          <w:bCs/>
          <w:color w:val="808080"/>
          <w:sz w:val="22"/>
          <w:szCs w:val="22"/>
        </w:rPr>
        <w:t>BRAZIL</w:t>
      </w:r>
    </w:p>
    <w:p w14:paraId="746F1318" w14:textId="77777777" w:rsidR="008E7A10" w:rsidRDefault="00E047B2">
      <w:pPr>
        <w:spacing w:before="120" w:after="120"/>
      </w:pPr>
      <w:r>
        <w:rPr>
          <w:rFonts w:ascii="Arial" w:eastAsia="宋体" w:hAnsi="Arial" w:cs="Arial"/>
          <w:color w:val="000000"/>
          <w:sz w:val="17"/>
          <w:szCs w:val="17"/>
        </w:rPr>
        <w:t xml:space="preserve">On November 30, 2020, the Company received cash proceeds from Grupo SBF S.A., which were reflected within Other investing activities on the Unaudited Condensed Consolidated Statements of Cash Flows, and recognized a $47 </w:t>
      </w:r>
      <w:r>
        <w:rPr>
          <w:rFonts w:ascii="Arial" w:eastAsia="宋体" w:hAnsi="Arial" w:cs="Arial"/>
          <w:color w:val="000000"/>
          <w:sz w:val="17"/>
          <w:szCs w:val="17"/>
        </w:rPr>
        <w:t>million loss within Other (income) expense, net, classified within Corporate, on the Unaudited Condensed Consolidated Statements of Income. The transaction closed on December 1, 2020, subsequent to the end of the second quarter of fiscal 2021.</w:t>
      </w:r>
    </w:p>
    <w:p w14:paraId="746F1319" w14:textId="77777777" w:rsidR="008E7A10" w:rsidRDefault="00E047B2">
      <w:pPr>
        <w:spacing w:before="120" w:after="120"/>
      </w:pPr>
      <w:r>
        <w:rPr>
          <w:rFonts w:ascii="Arial" w:eastAsia="宋体" w:hAnsi="Arial" w:cs="Arial"/>
          <w:color w:val="000000"/>
          <w:sz w:val="17"/>
          <w:szCs w:val="17"/>
        </w:rPr>
        <w:t>As of Novemb</w:t>
      </w:r>
      <w:r>
        <w:rPr>
          <w:rFonts w:ascii="Arial" w:eastAsia="宋体" w:hAnsi="Arial" w:cs="Arial"/>
          <w:color w:val="000000"/>
          <w:sz w:val="17"/>
          <w:szCs w:val="17"/>
        </w:rPr>
        <w:t>er 30, 2020, held-for-sale assets and liabilities consisted of the following:</w:t>
      </w:r>
    </w:p>
    <w:p w14:paraId="746F131A" w14:textId="77777777" w:rsidR="008E7A10" w:rsidRDefault="00E047B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assets of $242 million, primarily consisting of $174 million of Accounts receivable, net; and</w:t>
      </w:r>
    </w:p>
    <w:p w14:paraId="746F131B" w14:textId="77777777" w:rsidR="008E7A10" w:rsidRDefault="00E047B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 xml:space="preserve">Held-for-sale liabilities of $59 million, primarily consisting of $30 million of Accrued liabilities. </w:t>
      </w:r>
    </w:p>
    <w:p w14:paraId="746F131C" w14:textId="77777777" w:rsidR="008E7A10" w:rsidRDefault="00E047B2">
      <w:pPr>
        <w:spacing w:before="120"/>
      </w:pPr>
      <w:r>
        <w:rPr>
          <w:rFonts w:ascii="Arial" w:eastAsia="宋体" w:hAnsi="Arial" w:cs="Arial"/>
          <w:color w:val="000000"/>
          <w:sz w:val="17"/>
          <w:szCs w:val="17"/>
        </w:rPr>
        <w:t>As of May 31, 2020, held-for-sale assets and liabilities consisted of the following:</w:t>
      </w:r>
    </w:p>
    <w:p w14:paraId="746F131D" w14:textId="77777777" w:rsidR="008E7A10" w:rsidRDefault="00E047B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 xml:space="preserve">Held-for-sale assets of $272 million, primarily consisting of $142 </w:t>
      </w:r>
      <w:r>
        <w:rPr>
          <w:rFonts w:ascii="Arial" w:eastAsia="宋体" w:hAnsi="Arial" w:cs="Arial"/>
          <w:color w:val="000000"/>
          <w:sz w:val="17"/>
          <w:szCs w:val="17"/>
        </w:rPr>
        <w:t>million of Inventories and $101 million of Accounts receivable, net; and</w:t>
      </w:r>
    </w:p>
    <w:p w14:paraId="746F131E" w14:textId="77777777" w:rsidR="008E7A10" w:rsidRDefault="00E047B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 xml:space="preserve">Held-for-sale liabilities of $91 million, primarily consisting of $51 million of Accrued liabilities. </w:t>
      </w:r>
    </w:p>
    <w:p w14:paraId="746F131F" w14:textId="77777777" w:rsidR="008E7A10" w:rsidRDefault="00E047B2">
      <w:pPr>
        <w:spacing w:before="120"/>
      </w:pPr>
      <w:r>
        <w:rPr>
          <w:rFonts w:ascii="sans-serif" w:eastAsia="sans-serif" w:hAnsi="sans-serif" w:cs="sans-serif"/>
          <w:b/>
          <w:bCs/>
          <w:color w:val="808080"/>
          <w:sz w:val="22"/>
          <w:szCs w:val="22"/>
        </w:rPr>
        <w:t>ARGENTINA, CHILE AND URUGUAY</w:t>
      </w:r>
    </w:p>
    <w:p w14:paraId="746F1320" w14:textId="77777777" w:rsidR="008E7A10" w:rsidRDefault="00E047B2">
      <w:pPr>
        <w:spacing w:before="120" w:after="120"/>
      </w:pPr>
      <w:r>
        <w:rPr>
          <w:rFonts w:ascii="Arial" w:eastAsia="宋体" w:hAnsi="Arial" w:cs="Arial"/>
          <w:color w:val="000000"/>
          <w:sz w:val="17"/>
          <w:szCs w:val="17"/>
        </w:rPr>
        <w:t>Subsequent to the end of the second quarter of fis</w:t>
      </w:r>
      <w:r>
        <w:rPr>
          <w:rFonts w:ascii="Arial" w:eastAsia="宋体" w:hAnsi="Arial" w:cs="Arial"/>
          <w:color w:val="000000"/>
          <w:sz w:val="17"/>
          <w:szCs w:val="17"/>
        </w:rPr>
        <w:t xml:space="preserve">cal 2021, the Company and Grupo Axo mutually agreed to terminate the sale and purchase agreement for the transition of NIKE’s businesses in Argentina, Chile and Uruguay to a distributor partnership. However, as the Company remains committed to selling its </w:t>
      </w:r>
      <w:r>
        <w:rPr>
          <w:rFonts w:ascii="Arial" w:eastAsia="宋体" w:hAnsi="Arial" w:cs="Arial"/>
          <w:color w:val="000000"/>
          <w:sz w:val="17"/>
          <w:szCs w:val="17"/>
        </w:rPr>
        <w:t xml:space="preserve">NIKE Brand businesses in all three countries to third-party distributors, the assets and liabilities of the entities will remain classified as held-for-sale on the Unaudited Condensed Consolidated Balance Sheets. </w:t>
      </w:r>
    </w:p>
    <w:p w14:paraId="746F1321" w14:textId="77777777" w:rsidR="008E7A10" w:rsidRDefault="00E047B2">
      <w:pPr>
        <w:spacing w:before="120" w:after="120"/>
      </w:pPr>
      <w:r>
        <w:rPr>
          <w:rFonts w:ascii="Arial" w:eastAsia="宋体" w:hAnsi="Arial" w:cs="Arial"/>
          <w:color w:val="000000"/>
          <w:sz w:val="17"/>
          <w:szCs w:val="17"/>
        </w:rPr>
        <w:t>As of November 30, 2020, held-for-sale ass</w:t>
      </w:r>
      <w:r>
        <w:rPr>
          <w:rFonts w:ascii="Arial" w:eastAsia="宋体" w:hAnsi="Arial" w:cs="Arial"/>
          <w:color w:val="000000"/>
          <w:sz w:val="17"/>
          <w:szCs w:val="17"/>
        </w:rPr>
        <w:t>ets and liabilities consisted of the following:</w:t>
      </w:r>
    </w:p>
    <w:p w14:paraId="746F1322" w14:textId="77777777" w:rsidR="008E7A10" w:rsidRDefault="00E047B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assets of $257 million, primarily consisting of $119 million of Inventories and $80 million of Accounts receivable, net; and</w:t>
      </w:r>
    </w:p>
    <w:p w14:paraId="746F1323" w14:textId="77777777" w:rsidR="008E7A10" w:rsidRDefault="00E047B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 xml:space="preserve">Held-for-sale liabilities of $26 million, primarily </w:t>
      </w:r>
      <w:r>
        <w:rPr>
          <w:rFonts w:ascii="Arial" w:eastAsia="宋体" w:hAnsi="Arial" w:cs="Arial"/>
          <w:color w:val="000000"/>
          <w:sz w:val="17"/>
          <w:szCs w:val="17"/>
        </w:rPr>
        <w:t>consisting of Accrued liabilities.</w:t>
      </w:r>
    </w:p>
    <w:p w14:paraId="746F1324" w14:textId="77777777" w:rsidR="008E7A10" w:rsidRDefault="008E7A10">
      <w:pPr>
        <w:spacing w:before="120"/>
      </w:pPr>
    </w:p>
    <w:p w14:paraId="746F1325" w14:textId="77777777" w:rsidR="008E7A10" w:rsidRDefault="00E047B2">
      <w:pPr>
        <w:spacing w:before="120" w:after="120"/>
        <w:jc w:val="right"/>
      </w:pPr>
      <w:r>
        <w:rPr>
          <w:rFonts w:ascii="Arial" w:eastAsia="宋体" w:hAnsi="Arial" w:cs="Arial"/>
          <w:color w:val="E87722"/>
          <w:sz w:val="17"/>
          <w:szCs w:val="17"/>
        </w:rPr>
        <w:t>23</w:t>
      </w:r>
    </w:p>
    <w:p w14:paraId="746F1326" w14:textId="77777777" w:rsidR="008E7A10" w:rsidRDefault="00E047B2">
      <w:r>
        <w:pict w14:anchorId="746F201F">
          <v:rect id="_x0000_i1049" style="width:415.3pt;height:1.5pt" o:hralign="center" o:hrstd="t" o:hr="t" fillcolor="#a0a0a0" stroked="f"/>
        </w:pict>
      </w:r>
    </w:p>
    <w:p w14:paraId="746F1327" w14:textId="77777777" w:rsidR="008E7A10" w:rsidRDefault="008E7A10"/>
    <w:p w14:paraId="746F1328" w14:textId="77777777" w:rsidR="008E7A10" w:rsidRDefault="00E047B2">
      <w:hyperlink r:id="rId94" w:anchor="i31a624617c6c41b38f8f700fa0df5bde_7" w:history="1">
        <w:r>
          <w:rPr>
            <w:rStyle w:val="a5"/>
            <w:rFonts w:ascii="sans-serif" w:eastAsia="sans-serif" w:hAnsi="sans-serif" w:cs="sans-serif"/>
            <w:sz w:val="17"/>
            <w:szCs w:val="17"/>
          </w:rPr>
          <w:t>Table of Contents</w:t>
        </w:r>
      </w:hyperlink>
    </w:p>
    <w:p w14:paraId="746F1329" w14:textId="77777777" w:rsidR="008E7A10" w:rsidRDefault="008E7A10"/>
    <w:p w14:paraId="746F132A" w14:textId="77777777" w:rsidR="008E7A10" w:rsidRDefault="00E047B2">
      <w:pPr>
        <w:spacing w:before="120"/>
      </w:pPr>
      <w:r>
        <w:rPr>
          <w:rFonts w:ascii="Arial" w:eastAsia="宋体" w:hAnsi="Arial" w:cs="Arial"/>
          <w:color w:val="000000"/>
          <w:sz w:val="17"/>
          <w:szCs w:val="17"/>
        </w:rPr>
        <w:t>As of May 31, 2020, held-for-sale assets an</w:t>
      </w:r>
      <w:r>
        <w:rPr>
          <w:rFonts w:ascii="Arial" w:eastAsia="宋体" w:hAnsi="Arial" w:cs="Arial"/>
          <w:color w:val="000000"/>
          <w:sz w:val="17"/>
          <w:szCs w:val="17"/>
        </w:rPr>
        <w:t>d liabilities consisted of the following:</w:t>
      </w:r>
    </w:p>
    <w:p w14:paraId="746F132B" w14:textId="77777777" w:rsidR="008E7A10" w:rsidRDefault="00E047B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assets of $234 million, primarily consisting of $122 million of Inventories and $50 million of Prepaid expenses and other current assets; and</w:t>
      </w:r>
    </w:p>
    <w:p w14:paraId="746F132C" w14:textId="77777777" w:rsidR="008E7A10" w:rsidRDefault="00E047B2">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liabilities of $55 million, primarily cons</w:t>
      </w:r>
      <w:r>
        <w:rPr>
          <w:rFonts w:ascii="Arial" w:eastAsia="宋体" w:hAnsi="Arial" w:cs="Arial"/>
          <w:color w:val="000000"/>
          <w:sz w:val="17"/>
          <w:szCs w:val="17"/>
        </w:rPr>
        <w:t>isting of $34 million of Accrued liabilities.</w:t>
      </w:r>
    </w:p>
    <w:p w14:paraId="746F132D" w14:textId="77777777" w:rsidR="008E7A10" w:rsidRDefault="00E047B2">
      <w:pPr>
        <w:spacing w:before="120" w:after="120"/>
      </w:pPr>
      <w:r>
        <w:rPr>
          <w:rFonts w:ascii="Arial" w:eastAsia="宋体" w:hAnsi="Arial" w:cs="Arial"/>
          <w:color w:val="000000"/>
          <w:sz w:val="17"/>
          <w:szCs w:val="17"/>
        </w:rPr>
        <w:t>As of November 30, 2020, the Company recognized total expected losses related to the Argentina, Chile and Uruguay transaction of $438 million within Other (income) expense, net, classified within Corporate, and</w:t>
      </w:r>
      <w:r>
        <w:rPr>
          <w:rFonts w:ascii="Arial" w:eastAsia="宋体" w:hAnsi="Arial" w:cs="Arial"/>
          <w:color w:val="000000"/>
          <w:sz w:val="17"/>
          <w:szCs w:val="17"/>
        </w:rPr>
        <w:t xml:space="preserve"> a corresponding allowance within Accrued liabilities on the Unaudited Condensed Consolidated Balance Sheets; $405 million of which was recognized in fiscal 2020, primarily upon meeting the held-for-sale criteria. The expected loss is largely due to the an</w:t>
      </w:r>
      <w:r>
        <w:rPr>
          <w:rFonts w:ascii="Arial" w:eastAsia="宋体" w:hAnsi="Arial" w:cs="Arial"/>
          <w:color w:val="000000"/>
          <w:sz w:val="17"/>
          <w:szCs w:val="17"/>
        </w:rPr>
        <w:t>ticipated release of the cumulative foreign currency translation losses recognized by the Argentina, Chile and Uruguay legal entities.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8E7A10" w14:paraId="746F1331" w14:textId="77777777">
        <w:trPr>
          <w:jc w:val="center"/>
        </w:trPr>
        <w:tc>
          <w:tcPr>
            <w:tcW w:w="50" w:type="pct"/>
            <w:shd w:val="clear" w:color="auto" w:fill="auto"/>
          </w:tcPr>
          <w:p w14:paraId="746F132E" w14:textId="77777777" w:rsidR="008E7A10" w:rsidRDefault="008E7A10">
            <w:pPr>
              <w:rPr>
                <w:rFonts w:ascii="宋体"/>
              </w:rPr>
            </w:pPr>
          </w:p>
        </w:tc>
        <w:tc>
          <w:tcPr>
            <w:tcW w:w="4945" w:type="pct"/>
            <w:shd w:val="clear" w:color="auto" w:fill="auto"/>
          </w:tcPr>
          <w:p w14:paraId="746F132F" w14:textId="77777777" w:rsidR="008E7A10" w:rsidRDefault="008E7A10">
            <w:pPr>
              <w:rPr>
                <w:rFonts w:ascii="宋体"/>
              </w:rPr>
            </w:pPr>
          </w:p>
        </w:tc>
        <w:tc>
          <w:tcPr>
            <w:tcW w:w="5" w:type="pct"/>
            <w:shd w:val="clear" w:color="auto" w:fill="auto"/>
          </w:tcPr>
          <w:p w14:paraId="746F1330" w14:textId="77777777" w:rsidR="008E7A10" w:rsidRDefault="008E7A10">
            <w:pPr>
              <w:rPr>
                <w:rFonts w:ascii="宋体"/>
              </w:rPr>
            </w:pPr>
          </w:p>
        </w:tc>
      </w:tr>
      <w:tr w:rsidR="008E7A10" w14:paraId="746F1333" w14:textId="77777777">
        <w:trPr>
          <w:jc w:val="center"/>
        </w:trPr>
        <w:tc>
          <w:tcPr>
            <w:tcW w:w="0" w:type="auto"/>
            <w:gridSpan w:val="3"/>
            <w:shd w:val="clear" w:color="auto" w:fill="auto"/>
            <w:tcMar>
              <w:top w:w="40" w:type="dxa"/>
              <w:left w:w="20" w:type="dxa"/>
              <w:bottom w:w="40" w:type="dxa"/>
              <w:right w:w="20" w:type="dxa"/>
            </w:tcMar>
            <w:vAlign w:val="bottom"/>
          </w:tcPr>
          <w:p w14:paraId="746F1332" w14:textId="77777777" w:rsidR="008E7A10" w:rsidRDefault="00E047B2">
            <w:pPr>
              <w:textAlignment w:val="bottom"/>
            </w:pPr>
            <w:r>
              <w:rPr>
                <w:rFonts w:ascii="sans-serif" w:eastAsia="sans-serif" w:hAnsi="sans-serif" w:cs="sans-serif"/>
                <w:b/>
                <w:bCs/>
                <w:color w:val="E87722"/>
                <w:sz w:val="36"/>
                <w:szCs w:val="36"/>
              </w:rPr>
              <w:t>NOTE 14 —RESTRUCTURING</w:t>
            </w:r>
          </w:p>
        </w:tc>
      </w:tr>
    </w:tbl>
    <w:p w14:paraId="746F1334" w14:textId="77777777" w:rsidR="008E7A10" w:rsidRDefault="00E047B2">
      <w:r>
        <w:rPr>
          <w:rFonts w:ascii="Arial" w:eastAsia="宋体" w:hAnsi="Arial" w:cs="Arial"/>
          <w:color w:val="000000"/>
          <w:sz w:val="17"/>
          <w:szCs w:val="17"/>
        </w:rPr>
        <w:t>During the first quarter of fiscal 2021, the Company announced a new digitally empowered phase of its Consumer Direct Offense strategy: Consumer Direct Acceleration. As a result, management announced a series of leadership and operating model changes to st</w:t>
      </w:r>
      <w:r>
        <w:rPr>
          <w:rFonts w:ascii="Arial" w:eastAsia="宋体" w:hAnsi="Arial" w:cs="Arial"/>
          <w:color w:val="000000"/>
          <w:sz w:val="17"/>
          <w:szCs w:val="17"/>
        </w:rPr>
        <w:t>reamline and speed up strategic execution for the Company. These changes will result in a net reduction of the Company's global workforce and the Company expects to incur pre-tax charges of approximately $315 million, the majority of which relate to employ</w:t>
      </w:r>
      <w:r>
        <w:rPr>
          <w:rFonts w:ascii="Arial" w:eastAsia="宋体" w:hAnsi="Arial" w:cs="Arial"/>
          <w:color w:val="000000"/>
          <w:sz w:val="17"/>
          <w:szCs w:val="17"/>
        </w:rPr>
        <w:t>ee termination costs and, to a lesser extent, stock-based compensation expense. These amounts reflect the continued evaluation and variability of the Company's original estimate of employee termination costs and required changes in assumptions used to calc</w:t>
      </w:r>
      <w:r>
        <w:rPr>
          <w:rFonts w:ascii="Arial" w:eastAsia="宋体" w:hAnsi="Arial" w:cs="Arial"/>
          <w:color w:val="000000"/>
          <w:sz w:val="17"/>
          <w:szCs w:val="17"/>
        </w:rPr>
        <w:t xml:space="preserve">ulate stock-based compensation expense. The related cash expenditures will primarily take place throughout fiscal 2021 and all related actions are expected to be substantially complete by the end of fiscal 2021. </w:t>
      </w:r>
    </w:p>
    <w:p w14:paraId="746F1335" w14:textId="77777777" w:rsidR="008E7A10" w:rsidRDefault="008E7A10"/>
    <w:p w14:paraId="746F1336" w14:textId="77777777" w:rsidR="008E7A10" w:rsidRDefault="00E047B2">
      <w:r>
        <w:rPr>
          <w:rFonts w:ascii="Arial" w:eastAsia="宋体" w:hAnsi="Arial" w:cs="Arial"/>
          <w:color w:val="000000"/>
          <w:sz w:val="17"/>
          <w:szCs w:val="17"/>
        </w:rPr>
        <w:t>During the three months ended November 30,</w:t>
      </w:r>
      <w:r>
        <w:rPr>
          <w:rFonts w:ascii="Arial" w:eastAsia="宋体" w:hAnsi="Arial" w:cs="Arial"/>
          <w:color w:val="000000"/>
          <w:sz w:val="17"/>
          <w:szCs w:val="17"/>
        </w:rPr>
        <w:t xml:space="preserve"> 2020, the Company recognized employee termination costs of $107 million and $30 million within Operating overhead expense and Cost of sales, respectively, on the Unaudited Condensed Consolidated Statements of Income. During the six months ended November 3</w:t>
      </w:r>
      <w:r>
        <w:rPr>
          <w:rFonts w:ascii="Arial" w:eastAsia="宋体" w:hAnsi="Arial" w:cs="Arial"/>
          <w:color w:val="000000"/>
          <w:sz w:val="17"/>
          <w:szCs w:val="17"/>
        </w:rPr>
        <w:t>0, 2020, the Company recognized employee termination costs of $145 million and $30 million within Operating overhead expense and Cost of sales, respectively. These costs were classified within Corporate.</w:t>
      </w:r>
    </w:p>
    <w:p w14:paraId="746F1337" w14:textId="77777777" w:rsidR="008E7A10" w:rsidRDefault="008E7A10"/>
    <w:p w14:paraId="746F1338" w14:textId="77777777" w:rsidR="008E7A10" w:rsidRDefault="00E047B2">
      <w:r>
        <w:rPr>
          <w:rFonts w:ascii="Arial" w:eastAsia="宋体" w:hAnsi="Arial" w:cs="Arial"/>
          <w:color w:val="000000"/>
          <w:sz w:val="17"/>
          <w:szCs w:val="17"/>
        </w:rPr>
        <w:t>The activity was recognized within Accrued liabilit</w:t>
      </w:r>
      <w:r>
        <w:rPr>
          <w:rFonts w:ascii="Arial" w:eastAsia="宋体" w:hAnsi="Arial" w:cs="Arial"/>
          <w:color w:val="000000"/>
          <w:sz w:val="17"/>
          <w:szCs w:val="17"/>
        </w:rPr>
        <w:t>ies as follows:</w:t>
      </w:r>
    </w:p>
    <w:p w14:paraId="746F1339" w14:textId="77777777" w:rsidR="008E7A10" w:rsidRDefault="008E7A10"/>
    <w:tbl>
      <w:tblPr>
        <w:tblW w:w="5000" w:type="pct"/>
        <w:tblCellMar>
          <w:top w:w="15" w:type="dxa"/>
          <w:left w:w="15" w:type="dxa"/>
          <w:bottom w:w="15" w:type="dxa"/>
          <w:right w:w="15" w:type="dxa"/>
        </w:tblCellMar>
        <w:tblLook w:val="04A0" w:firstRow="1" w:lastRow="0" w:firstColumn="1" w:lastColumn="0" w:noHBand="0" w:noVBand="1"/>
      </w:tblPr>
      <w:tblGrid>
        <w:gridCol w:w="55"/>
        <w:gridCol w:w="7046"/>
        <w:gridCol w:w="38"/>
        <w:gridCol w:w="109"/>
        <w:gridCol w:w="1052"/>
        <w:gridCol w:w="36"/>
      </w:tblGrid>
      <w:tr w:rsidR="008E7A10" w14:paraId="746F1340" w14:textId="77777777">
        <w:tc>
          <w:tcPr>
            <w:tcW w:w="50" w:type="pct"/>
            <w:shd w:val="clear" w:color="auto" w:fill="auto"/>
          </w:tcPr>
          <w:p w14:paraId="746F133A" w14:textId="77777777" w:rsidR="008E7A10" w:rsidRDefault="008E7A10">
            <w:pPr>
              <w:rPr>
                <w:rFonts w:ascii="宋体"/>
              </w:rPr>
            </w:pPr>
          </w:p>
        </w:tc>
        <w:tc>
          <w:tcPr>
            <w:tcW w:w="4242" w:type="pct"/>
            <w:shd w:val="clear" w:color="auto" w:fill="auto"/>
          </w:tcPr>
          <w:p w14:paraId="746F133B" w14:textId="77777777" w:rsidR="008E7A10" w:rsidRDefault="008E7A10">
            <w:pPr>
              <w:rPr>
                <w:rFonts w:ascii="宋体"/>
              </w:rPr>
            </w:pPr>
          </w:p>
        </w:tc>
        <w:tc>
          <w:tcPr>
            <w:tcW w:w="5" w:type="pct"/>
            <w:shd w:val="clear" w:color="auto" w:fill="auto"/>
          </w:tcPr>
          <w:p w14:paraId="746F133C" w14:textId="77777777" w:rsidR="008E7A10" w:rsidRDefault="008E7A10">
            <w:pPr>
              <w:rPr>
                <w:rFonts w:ascii="宋体"/>
              </w:rPr>
            </w:pPr>
          </w:p>
        </w:tc>
        <w:tc>
          <w:tcPr>
            <w:tcW w:w="50" w:type="pct"/>
            <w:shd w:val="clear" w:color="auto" w:fill="auto"/>
          </w:tcPr>
          <w:p w14:paraId="746F133D" w14:textId="77777777" w:rsidR="008E7A10" w:rsidRDefault="008E7A10">
            <w:pPr>
              <w:rPr>
                <w:rFonts w:ascii="宋体"/>
              </w:rPr>
            </w:pPr>
          </w:p>
        </w:tc>
        <w:tc>
          <w:tcPr>
            <w:tcW w:w="647" w:type="pct"/>
            <w:shd w:val="clear" w:color="auto" w:fill="auto"/>
          </w:tcPr>
          <w:p w14:paraId="746F133E" w14:textId="77777777" w:rsidR="008E7A10" w:rsidRDefault="008E7A10">
            <w:pPr>
              <w:rPr>
                <w:rFonts w:ascii="宋体"/>
              </w:rPr>
            </w:pPr>
          </w:p>
        </w:tc>
        <w:tc>
          <w:tcPr>
            <w:tcW w:w="5" w:type="pct"/>
            <w:shd w:val="clear" w:color="auto" w:fill="auto"/>
          </w:tcPr>
          <w:p w14:paraId="746F133F" w14:textId="77777777" w:rsidR="008E7A10" w:rsidRDefault="008E7A10">
            <w:pPr>
              <w:rPr>
                <w:rFonts w:ascii="宋体"/>
              </w:rPr>
            </w:pPr>
          </w:p>
        </w:tc>
      </w:tr>
      <w:tr w:rsidR="008E7A10" w14:paraId="746F1343" w14:textId="77777777">
        <w:tc>
          <w:tcPr>
            <w:tcW w:w="0" w:type="auto"/>
            <w:gridSpan w:val="3"/>
            <w:shd w:val="clear" w:color="auto" w:fill="auto"/>
            <w:tcMar>
              <w:top w:w="40" w:type="dxa"/>
              <w:left w:w="20" w:type="dxa"/>
              <w:bottom w:w="40" w:type="dxa"/>
              <w:right w:w="20" w:type="dxa"/>
            </w:tcMar>
            <w:vAlign w:val="bottom"/>
          </w:tcPr>
          <w:p w14:paraId="746F1341"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0" w:type="dxa"/>
              <w:left w:w="20" w:type="dxa"/>
              <w:bottom w:w="0" w:type="dxa"/>
              <w:right w:w="20" w:type="dxa"/>
            </w:tcMar>
          </w:tcPr>
          <w:p w14:paraId="746F1342" w14:textId="77777777" w:rsidR="008E7A10" w:rsidRDefault="008E7A10">
            <w:pPr>
              <w:rPr>
                <w:rFonts w:ascii="宋体"/>
              </w:rPr>
            </w:pPr>
          </w:p>
        </w:tc>
      </w:tr>
      <w:tr w:rsidR="008E7A10" w14:paraId="746F134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344" w14:textId="77777777" w:rsidR="008E7A10" w:rsidRDefault="00E047B2">
            <w:pPr>
              <w:textAlignment w:val="bottom"/>
            </w:pPr>
            <w:r>
              <w:rPr>
                <w:rFonts w:ascii="Arial" w:eastAsia="宋体" w:hAnsi="Arial" w:cs="Arial"/>
                <w:b/>
                <w:bCs/>
                <w:color w:val="000000"/>
                <w:sz w:val="16"/>
                <w:szCs w:val="16"/>
              </w:rPr>
              <w:t>Balance at August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746F1345" w14:textId="77777777" w:rsidR="008E7A10" w:rsidRDefault="00E047B2">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346" w14:textId="77777777" w:rsidR="008E7A10" w:rsidRDefault="00E047B2">
            <w:pPr>
              <w:jc w:val="right"/>
              <w:textAlignment w:val="bottom"/>
            </w:pPr>
            <w:r>
              <w:rPr>
                <w:rFonts w:ascii="Arial" w:eastAsia="宋体" w:hAnsi="Arial" w:cs="Arial"/>
                <w:b/>
                <w:bCs/>
                <w:color w:val="000000"/>
                <w:sz w:val="16"/>
                <w:szCs w:val="16"/>
              </w:rPr>
              <w:t>34</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347" w14:textId="77777777" w:rsidR="008E7A10" w:rsidRDefault="008E7A10">
            <w:pPr>
              <w:jc w:val="right"/>
              <w:rPr>
                <w:rFonts w:ascii="宋体"/>
              </w:rPr>
            </w:pPr>
          </w:p>
        </w:tc>
      </w:tr>
      <w:tr w:rsidR="008E7A10" w14:paraId="746F134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349" w14:textId="77777777" w:rsidR="008E7A10" w:rsidRDefault="00E047B2">
            <w:pPr>
              <w:textAlignment w:val="bottom"/>
            </w:pPr>
            <w:r>
              <w:rPr>
                <w:rFonts w:ascii="Arial" w:eastAsia="宋体" w:hAnsi="Arial" w:cs="Arial"/>
                <w:color w:val="000000"/>
                <w:sz w:val="16"/>
                <w:szCs w:val="16"/>
              </w:rPr>
              <w:t>Employee termination costs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34A" w14:textId="77777777" w:rsidR="008E7A10" w:rsidRDefault="00E047B2">
            <w:pPr>
              <w:jc w:val="right"/>
              <w:textAlignment w:val="bottom"/>
            </w:pPr>
            <w:r>
              <w:rPr>
                <w:rFonts w:ascii="Arial" w:eastAsia="宋体" w:hAnsi="Arial" w:cs="Arial"/>
                <w:color w:val="000000"/>
                <w:sz w:val="16"/>
                <w:szCs w:val="16"/>
              </w:rPr>
              <w:t>137 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34B" w14:textId="77777777" w:rsidR="008E7A10" w:rsidRDefault="008E7A10">
            <w:pPr>
              <w:jc w:val="right"/>
              <w:rPr>
                <w:rFonts w:ascii="宋体"/>
              </w:rPr>
            </w:pPr>
          </w:p>
        </w:tc>
      </w:tr>
      <w:tr w:rsidR="008E7A10" w14:paraId="746F1350" w14:textId="77777777">
        <w:tc>
          <w:tcPr>
            <w:tcW w:w="0" w:type="auto"/>
            <w:gridSpan w:val="3"/>
            <w:tcBorders>
              <w:top w:val="single" w:sz="8" w:space="0" w:color="929292"/>
            </w:tcBorders>
            <w:shd w:val="clear" w:color="auto" w:fill="auto"/>
            <w:tcMar>
              <w:top w:w="40" w:type="dxa"/>
              <w:left w:w="20" w:type="dxa"/>
              <w:bottom w:w="40" w:type="dxa"/>
              <w:right w:w="20" w:type="dxa"/>
            </w:tcMar>
            <w:vAlign w:val="bottom"/>
          </w:tcPr>
          <w:p w14:paraId="746F134D" w14:textId="77777777" w:rsidR="008E7A10" w:rsidRDefault="00E047B2">
            <w:pPr>
              <w:textAlignment w:val="bottom"/>
            </w:pPr>
            <w:r>
              <w:rPr>
                <w:rFonts w:ascii="Arial" w:eastAsia="宋体" w:hAnsi="Arial" w:cs="Arial"/>
                <w:color w:val="000000"/>
                <w:sz w:val="16"/>
                <w:szCs w:val="16"/>
              </w:rPr>
              <w:t>Cash payments</w:t>
            </w:r>
          </w:p>
        </w:tc>
        <w:tc>
          <w:tcPr>
            <w:tcW w:w="0" w:type="auto"/>
            <w:gridSpan w:val="2"/>
            <w:tcBorders>
              <w:top w:val="single" w:sz="8" w:space="0" w:color="929292"/>
            </w:tcBorders>
            <w:shd w:val="clear" w:color="auto" w:fill="FFF1E7"/>
            <w:tcMar>
              <w:top w:w="40" w:type="dxa"/>
              <w:left w:w="20" w:type="dxa"/>
              <w:bottom w:w="40" w:type="dxa"/>
              <w:right w:w="0" w:type="dxa"/>
            </w:tcMar>
            <w:vAlign w:val="bottom"/>
          </w:tcPr>
          <w:p w14:paraId="746F134E" w14:textId="77777777" w:rsidR="008E7A10" w:rsidRDefault="00E047B2">
            <w:pPr>
              <w:jc w:val="right"/>
              <w:textAlignment w:val="bottom"/>
            </w:pPr>
            <w:r>
              <w:rPr>
                <w:rFonts w:ascii="Arial" w:eastAsia="宋体" w:hAnsi="Arial" w:cs="Arial"/>
                <w:color w:val="000000"/>
                <w:sz w:val="16"/>
                <w:szCs w:val="16"/>
              </w:rPr>
              <w:t>(67)</w:t>
            </w:r>
          </w:p>
        </w:tc>
        <w:tc>
          <w:tcPr>
            <w:tcW w:w="0" w:type="auto"/>
            <w:tcBorders>
              <w:top w:val="single" w:sz="8" w:space="0" w:color="929292"/>
            </w:tcBorders>
            <w:shd w:val="clear" w:color="auto" w:fill="FFF1E7"/>
            <w:tcMar>
              <w:top w:w="40" w:type="dxa"/>
              <w:left w:w="0" w:type="dxa"/>
              <w:bottom w:w="40" w:type="dxa"/>
              <w:right w:w="20" w:type="dxa"/>
            </w:tcMar>
            <w:vAlign w:val="bottom"/>
          </w:tcPr>
          <w:p w14:paraId="746F134F" w14:textId="77777777" w:rsidR="008E7A10" w:rsidRDefault="008E7A10">
            <w:pPr>
              <w:jc w:val="right"/>
              <w:rPr>
                <w:rFonts w:ascii="宋体"/>
              </w:rPr>
            </w:pPr>
          </w:p>
        </w:tc>
      </w:tr>
      <w:tr w:rsidR="008E7A10" w14:paraId="746F135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351" w14:textId="77777777" w:rsidR="008E7A10" w:rsidRDefault="00E047B2">
            <w:pPr>
              <w:textAlignment w:val="bottom"/>
            </w:pPr>
            <w:r>
              <w:rPr>
                <w:rFonts w:ascii="Arial" w:eastAsia="宋体" w:hAnsi="Arial" w:cs="Arial"/>
                <w:b/>
                <w:bCs/>
                <w:color w:val="000000"/>
                <w:sz w:val="16"/>
                <w:szCs w:val="16"/>
              </w:rPr>
              <w:t>Balance at November 30, 2020</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352" w14:textId="77777777" w:rsidR="008E7A10" w:rsidRDefault="00E047B2">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353" w14:textId="77777777" w:rsidR="008E7A10" w:rsidRDefault="00E047B2">
            <w:pPr>
              <w:jc w:val="right"/>
              <w:textAlignment w:val="bottom"/>
            </w:pPr>
            <w:r>
              <w:rPr>
                <w:rFonts w:ascii="Arial" w:eastAsia="宋体" w:hAnsi="Arial" w:cs="Arial"/>
                <w:b/>
                <w:bCs/>
                <w:color w:val="000000"/>
                <w:sz w:val="16"/>
                <w:szCs w:val="16"/>
              </w:rPr>
              <w:t>104</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354" w14:textId="77777777" w:rsidR="008E7A10" w:rsidRDefault="008E7A10">
            <w:pPr>
              <w:jc w:val="right"/>
              <w:rPr>
                <w:rFonts w:ascii="宋体"/>
              </w:rPr>
            </w:pPr>
          </w:p>
        </w:tc>
      </w:tr>
    </w:tbl>
    <w:p w14:paraId="746F1356" w14:textId="77777777" w:rsidR="008E7A10" w:rsidRDefault="008E7A10"/>
    <w:tbl>
      <w:tblPr>
        <w:tblW w:w="5000" w:type="pct"/>
        <w:tblCellMar>
          <w:top w:w="15" w:type="dxa"/>
          <w:left w:w="15" w:type="dxa"/>
          <w:bottom w:w="15" w:type="dxa"/>
          <w:right w:w="15" w:type="dxa"/>
        </w:tblCellMar>
        <w:tblLook w:val="04A0" w:firstRow="1" w:lastRow="0" w:firstColumn="1" w:lastColumn="0" w:noHBand="0" w:noVBand="1"/>
      </w:tblPr>
      <w:tblGrid>
        <w:gridCol w:w="55"/>
        <w:gridCol w:w="7046"/>
        <w:gridCol w:w="38"/>
        <w:gridCol w:w="109"/>
        <w:gridCol w:w="1052"/>
        <w:gridCol w:w="36"/>
      </w:tblGrid>
      <w:tr w:rsidR="008E7A10" w14:paraId="746F135D" w14:textId="77777777">
        <w:tc>
          <w:tcPr>
            <w:tcW w:w="50" w:type="pct"/>
            <w:shd w:val="clear" w:color="auto" w:fill="auto"/>
          </w:tcPr>
          <w:p w14:paraId="746F1357" w14:textId="77777777" w:rsidR="008E7A10" w:rsidRDefault="008E7A10">
            <w:pPr>
              <w:rPr>
                <w:rFonts w:ascii="宋体"/>
              </w:rPr>
            </w:pPr>
          </w:p>
        </w:tc>
        <w:tc>
          <w:tcPr>
            <w:tcW w:w="4242" w:type="pct"/>
            <w:shd w:val="clear" w:color="auto" w:fill="auto"/>
          </w:tcPr>
          <w:p w14:paraId="746F1358" w14:textId="77777777" w:rsidR="008E7A10" w:rsidRDefault="008E7A10">
            <w:pPr>
              <w:rPr>
                <w:rFonts w:ascii="宋体"/>
              </w:rPr>
            </w:pPr>
          </w:p>
        </w:tc>
        <w:tc>
          <w:tcPr>
            <w:tcW w:w="5" w:type="pct"/>
            <w:shd w:val="clear" w:color="auto" w:fill="auto"/>
          </w:tcPr>
          <w:p w14:paraId="746F1359" w14:textId="77777777" w:rsidR="008E7A10" w:rsidRDefault="008E7A10">
            <w:pPr>
              <w:rPr>
                <w:rFonts w:ascii="宋体"/>
              </w:rPr>
            </w:pPr>
          </w:p>
        </w:tc>
        <w:tc>
          <w:tcPr>
            <w:tcW w:w="50" w:type="pct"/>
            <w:shd w:val="clear" w:color="auto" w:fill="auto"/>
          </w:tcPr>
          <w:p w14:paraId="746F135A" w14:textId="77777777" w:rsidR="008E7A10" w:rsidRDefault="008E7A10">
            <w:pPr>
              <w:rPr>
                <w:rFonts w:ascii="宋体"/>
              </w:rPr>
            </w:pPr>
          </w:p>
        </w:tc>
        <w:tc>
          <w:tcPr>
            <w:tcW w:w="647" w:type="pct"/>
            <w:shd w:val="clear" w:color="auto" w:fill="auto"/>
          </w:tcPr>
          <w:p w14:paraId="746F135B" w14:textId="77777777" w:rsidR="008E7A10" w:rsidRDefault="008E7A10">
            <w:pPr>
              <w:rPr>
                <w:rFonts w:ascii="宋体"/>
              </w:rPr>
            </w:pPr>
          </w:p>
        </w:tc>
        <w:tc>
          <w:tcPr>
            <w:tcW w:w="5" w:type="pct"/>
            <w:shd w:val="clear" w:color="auto" w:fill="auto"/>
          </w:tcPr>
          <w:p w14:paraId="746F135C" w14:textId="77777777" w:rsidR="008E7A10" w:rsidRDefault="008E7A10">
            <w:pPr>
              <w:rPr>
                <w:rFonts w:ascii="宋体"/>
              </w:rPr>
            </w:pPr>
          </w:p>
        </w:tc>
      </w:tr>
      <w:tr w:rsidR="008E7A10" w14:paraId="746F1360" w14:textId="77777777">
        <w:tc>
          <w:tcPr>
            <w:tcW w:w="0" w:type="auto"/>
            <w:gridSpan w:val="3"/>
            <w:shd w:val="clear" w:color="auto" w:fill="auto"/>
            <w:tcMar>
              <w:top w:w="40" w:type="dxa"/>
              <w:left w:w="20" w:type="dxa"/>
              <w:bottom w:w="40" w:type="dxa"/>
              <w:right w:w="20" w:type="dxa"/>
            </w:tcMar>
            <w:vAlign w:val="bottom"/>
          </w:tcPr>
          <w:p w14:paraId="746F135E"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0" w:type="dxa"/>
              <w:left w:w="20" w:type="dxa"/>
              <w:bottom w:w="0" w:type="dxa"/>
              <w:right w:w="20" w:type="dxa"/>
            </w:tcMar>
          </w:tcPr>
          <w:p w14:paraId="746F135F" w14:textId="77777777" w:rsidR="008E7A10" w:rsidRDefault="008E7A10">
            <w:pPr>
              <w:rPr>
                <w:rFonts w:ascii="宋体"/>
              </w:rPr>
            </w:pPr>
          </w:p>
        </w:tc>
      </w:tr>
      <w:tr w:rsidR="008E7A10" w14:paraId="746F136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361" w14:textId="77777777" w:rsidR="008E7A10" w:rsidRDefault="00E047B2">
            <w:pPr>
              <w:textAlignment w:val="bottom"/>
            </w:pPr>
            <w:r>
              <w:rPr>
                <w:rFonts w:ascii="Arial" w:eastAsia="宋体" w:hAnsi="Arial" w:cs="Arial"/>
                <w:b/>
                <w:bCs/>
                <w:color w:val="000000"/>
                <w:sz w:val="16"/>
                <w:szCs w:val="16"/>
              </w:rPr>
              <w:t>Balance at May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746F1362" w14:textId="77777777" w:rsidR="008E7A10" w:rsidRDefault="00E047B2">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363" w14:textId="77777777" w:rsidR="008E7A10" w:rsidRDefault="00E047B2">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364" w14:textId="77777777" w:rsidR="008E7A10" w:rsidRDefault="008E7A10">
            <w:pPr>
              <w:jc w:val="right"/>
              <w:rPr>
                <w:rFonts w:ascii="宋体"/>
              </w:rPr>
            </w:pPr>
          </w:p>
        </w:tc>
      </w:tr>
      <w:tr w:rsidR="008E7A10" w14:paraId="746F136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366" w14:textId="77777777" w:rsidR="008E7A10" w:rsidRDefault="00E047B2">
            <w:pPr>
              <w:textAlignment w:val="bottom"/>
            </w:pPr>
            <w:r>
              <w:rPr>
                <w:rFonts w:ascii="Arial" w:eastAsia="宋体" w:hAnsi="Arial" w:cs="Arial"/>
                <w:color w:val="000000"/>
                <w:sz w:val="16"/>
                <w:szCs w:val="16"/>
              </w:rPr>
              <w:t xml:space="preserve">Employee </w:t>
            </w:r>
            <w:r>
              <w:rPr>
                <w:rFonts w:ascii="Arial" w:eastAsia="宋体" w:hAnsi="Arial" w:cs="Arial"/>
                <w:color w:val="000000"/>
                <w:sz w:val="16"/>
                <w:szCs w:val="16"/>
              </w:rPr>
              <w:t>termination costs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367" w14:textId="77777777" w:rsidR="008E7A10" w:rsidRDefault="00E047B2">
            <w:pPr>
              <w:jc w:val="right"/>
              <w:textAlignment w:val="bottom"/>
            </w:pPr>
            <w:r>
              <w:rPr>
                <w:rFonts w:ascii="Arial" w:eastAsia="宋体" w:hAnsi="Arial" w:cs="Arial"/>
                <w:color w:val="000000"/>
                <w:sz w:val="16"/>
                <w:szCs w:val="16"/>
              </w:rPr>
              <w:t>175 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368" w14:textId="77777777" w:rsidR="008E7A10" w:rsidRDefault="008E7A10">
            <w:pPr>
              <w:jc w:val="right"/>
              <w:rPr>
                <w:rFonts w:ascii="宋体"/>
              </w:rPr>
            </w:pPr>
          </w:p>
        </w:tc>
      </w:tr>
      <w:tr w:rsidR="008E7A10" w14:paraId="746F136D" w14:textId="77777777">
        <w:tc>
          <w:tcPr>
            <w:tcW w:w="0" w:type="auto"/>
            <w:gridSpan w:val="3"/>
            <w:tcBorders>
              <w:top w:val="single" w:sz="8" w:space="0" w:color="929292"/>
            </w:tcBorders>
            <w:shd w:val="clear" w:color="auto" w:fill="auto"/>
            <w:tcMar>
              <w:top w:w="40" w:type="dxa"/>
              <w:left w:w="20" w:type="dxa"/>
              <w:bottom w:w="40" w:type="dxa"/>
              <w:right w:w="20" w:type="dxa"/>
            </w:tcMar>
            <w:vAlign w:val="bottom"/>
          </w:tcPr>
          <w:p w14:paraId="746F136A" w14:textId="77777777" w:rsidR="008E7A10" w:rsidRDefault="00E047B2">
            <w:pPr>
              <w:textAlignment w:val="bottom"/>
            </w:pPr>
            <w:r>
              <w:rPr>
                <w:rFonts w:ascii="Arial" w:eastAsia="宋体" w:hAnsi="Arial" w:cs="Arial"/>
                <w:color w:val="000000"/>
                <w:sz w:val="16"/>
                <w:szCs w:val="16"/>
              </w:rPr>
              <w:t>Cash payments</w:t>
            </w:r>
          </w:p>
        </w:tc>
        <w:tc>
          <w:tcPr>
            <w:tcW w:w="0" w:type="auto"/>
            <w:gridSpan w:val="2"/>
            <w:tcBorders>
              <w:top w:val="single" w:sz="8" w:space="0" w:color="929292"/>
            </w:tcBorders>
            <w:shd w:val="clear" w:color="auto" w:fill="FFF1E7"/>
            <w:tcMar>
              <w:top w:w="40" w:type="dxa"/>
              <w:left w:w="20" w:type="dxa"/>
              <w:bottom w:w="40" w:type="dxa"/>
              <w:right w:w="0" w:type="dxa"/>
            </w:tcMar>
            <w:vAlign w:val="bottom"/>
          </w:tcPr>
          <w:p w14:paraId="746F136B" w14:textId="77777777" w:rsidR="008E7A10" w:rsidRDefault="00E047B2">
            <w:pPr>
              <w:jc w:val="right"/>
              <w:textAlignment w:val="bottom"/>
            </w:pPr>
            <w:r>
              <w:rPr>
                <w:rFonts w:ascii="Arial" w:eastAsia="宋体" w:hAnsi="Arial" w:cs="Arial"/>
                <w:color w:val="000000"/>
                <w:sz w:val="16"/>
                <w:szCs w:val="16"/>
              </w:rPr>
              <w:t>(71)</w:t>
            </w:r>
          </w:p>
        </w:tc>
        <w:tc>
          <w:tcPr>
            <w:tcW w:w="0" w:type="auto"/>
            <w:tcBorders>
              <w:top w:val="single" w:sz="8" w:space="0" w:color="929292"/>
            </w:tcBorders>
            <w:shd w:val="clear" w:color="auto" w:fill="FFF1E7"/>
            <w:tcMar>
              <w:top w:w="40" w:type="dxa"/>
              <w:left w:w="0" w:type="dxa"/>
              <w:bottom w:w="40" w:type="dxa"/>
              <w:right w:w="20" w:type="dxa"/>
            </w:tcMar>
            <w:vAlign w:val="bottom"/>
          </w:tcPr>
          <w:p w14:paraId="746F136C" w14:textId="77777777" w:rsidR="008E7A10" w:rsidRDefault="008E7A10">
            <w:pPr>
              <w:jc w:val="right"/>
              <w:rPr>
                <w:rFonts w:ascii="宋体"/>
              </w:rPr>
            </w:pPr>
          </w:p>
        </w:tc>
      </w:tr>
      <w:tr w:rsidR="008E7A10" w14:paraId="746F137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36E" w14:textId="77777777" w:rsidR="008E7A10" w:rsidRDefault="00E047B2">
            <w:pPr>
              <w:textAlignment w:val="bottom"/>
            </w:pPr>
            <w:r>
              <w:rPr>
                <w:rFonts w:ascii="Arial" w:eastAsia="宋体" w:hAnsi="Arial" w:cs="Arial"/>
                <w:b/>
                <w:bCs/>
                <w:color w:val="000000"/>
                <w:sz w:val="16"/>
                <w:szCs w:val="16"/>
              </w:rPr>
              <w:t>Balance at November 30, 2020</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36F" w14:textId="77777777" w:rsidR="008E7A10" w:rsidRDefault="00E047B2">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370" w14:textId="77777777" w:rsidR="008E7A10" w:rsidRDefault="00E047B2">
            <w:pPr>
              <w:jc w:val="right"/>
              <w:textAlignment w:val="bottom"/>
            </w:pPr>
            <w:r>
              <w:rPr>
                <w:rFonts w:ascii="Arial" w:eastAsia="宋体" w:hAnsi="Arial" w:cs="Arial"/>
                <w:b/>
                <w:bCs/>
                <w:color w:val="000000"/>
                <w:sz w:val="16"/>
                <w:szCs w:val="16"/>
              </w:rPr>
              <w:t>104</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371" w14:textId="77777777" w:rsidR="008E7A10" w:rsidRDefault="008E7A10">
            <w:pPr>
              <w:jc w:val="right"/>
              <w:rPr>
                <w:rFonts w:ascii="宋体"/>
              </w:rPr>
            </w:pPr>
          </w:p>
        </w:tc>
      </w:tr>
    </w:tbl>
    <w:p w14:paraId="746F1373" w14:textId="77777777" w:rsidR="008E7A10" w:rsidRDefault="008E7A10"/>
    <w:p w14:paraId="746F1374" w14:textId="77777777" w:rsidR="008E7A10" w:rsidRDefault="00E047B2">
      <w:r>
        <w:rPr>
          <w:rFonts w:ascii="Arial" w:eastAsia="宋体" w:hAnsi="Arial" w:cs="Arial"/>
          <w:color w:val="000000"/>
          <w:sz w:val="17"/>
          <w:szCs w:val="17"/>
        </w:rPr>
        <w:t xml:space="preserve">Additionally, the related stock-based compensation expense recorded within Operating overhead expense and Costs of sales was $30 million and $4 million, </w:t>
      </w:r>
      <w:r>
        <w:rPr>
          <w:rFonts w:ascii="Arial" w:eastAsia="宋体" w:hAnsi="Arial" w:cs="Arial"/>
          <w:color w:val="000000"/>
          <w:sz w:val="17"/>
          <w:szCs w:val="17"/>
        </w:rPr>
        <w:t>respectively, for the three months ended November 30, 2020, and $39 million and $4 million, respectively, for the six months ended November 30, 2020.</w:t>
      </w:r>
    </w:p>
    <w:p w14:paraId="746F1375" w14:textId="77777777" w:rsidR="008E7A10" w:rsidRDefault="00E047B2">
      <w:pPr>
        <w:spacing w:before="120" w:after="120"/>
      </w:pPr>
      <w:r>
        <w:rPr>
          <w:rFonts w:ascii="Arial" w:eastAsia="宋体" w:hAnsi="Arial" w:cs="Arial"/>
          <w:color w:val="E87722"/>
          <w:sz w:val="17"/>
          <w:szCs w:val="17"/>
        </w:rPr>
        <w:t>24</w:t>
      </w:r>
      <w:r>
        <w:rPr>
          <w:rFonts w:ascii="sans-serif" w:eastAsia="sans-serif" w:hAnsi="sans-serif" w:cs="sans-serif"/>
          <w:color w:val="000000"/>
          <w:sz w:val="17"/>
          <w:szCs w:val="17"/>
        </w:rPr>
        <w:t xml:space="preserve"> </w:t>
      </w:r>
    </w:p>
    <w:p w14:paraId="746F1376" w14:textId="77777777" w:rsidR="008E7A10" w:rsidRDefault="00E047B2">
      <w:r>
        <w:pict w14:anchorId="746F2020">
          <v:rect id="_x0000_i1050" style="width:415.3pt;height:1.5pt" o:hralign="center" o:hrstd="t" o:hr="t" fillcolor="#a0a0a0" stroked="f"/>
        </w:pict>
      </w:r>
    </w:p>
    <w:p w14:paraId="746F1377" w14:textId="77777777" w:rsidR="008E7A10" w:rsidRDefault="008E7A10"/>
    <w:p w14:paraId="746F1378" w14:textId="77777777" w:rsidR="008E7A10" w:rsidRDefault="00E047B2">
      <w:hyperlink r:id="rId95" w:anchor="i31a624617c6c41b38f8f700fa0df5bde_7" w:history="1">
        <w:r>
          <w:rPr>
            <w:rStyle w:val="a5"/>
            <w:rFonts w:ascii="sans-serif" w:eastAsia="sans-serif" w:hAnsi="sans-serif" w:cs="sans-serif"/>
            <w:sz w:val="17"/>
            <w:szCs w:val="17"/>
          </w:rPr>
          <w:t>Table of Contents</w:t>
        </w:r>
      </w:hyperlink>
    </w:p>
    <w:p w14:paraId="746F1379" w14:textId="77777777" w:rsidR="008E7A10" w:rsidRDefault="008E7A10"/>
    <w:p w14:paraId="746F137A" w14:textId="77777777" w:rsidR="008E7A10" w:rsidRDefault="00E047B2">
      <w:pPr>
        <w:spacing w:before="360" w:after="180"/>
      </w:pPr>
      <w:r>
        <w:rPr>
          <w:rFonts w:ascii="sans-serif" w:eastAsia="sans-serif" w:hAnsi="sans-serif" w:cs="sans-serif"/>
          <w:color w:val="000000"/>
          <w:sz w:val="44"/>
          <w:szCs w:val="44"/>
        </w:rPr>
        <w:t>ITEM 2. MANAGEMENT'S DISCUSSION AND ANALYSIS OF FINANCIAL CONDITION AND RESULTS OF OP</w:t>
      </w:r>
      <w:r>
        <w:rPr>
          <w:rFonts w:ascii="sans-serif" w:eastAsia="sans-serif" w:hAnsi="sans-serif" w:cs="sans-serif"/>
          <w:color w:val="000000"/>
          <w:sz w:val="44"/>
          <w:szCs w:val="44"/>
        </w:rPr>
        <w:t>ERATIONS</w:t>
      </w:r>
    </w:p>
    <w:p w14:paraId="746F137B" w14:textId="77777777" w:rsidR="008E7A10" w:rsidRDefault="00E047B2">
      <w:pPr>
        <w:spacing w:before="240" w:after="120"/>
      </w:pPr>
      <w:r>
        <w:rPr>
          <w:rFonts w:ascii="sans-serif" w:eastAsia="sans-serif" w:hAnsi="sans-serif" w:cs="sans-serif"/>
          <w:b/>
          <w:bCs/>
          <w:color w:val="000000"/>
          <w:sz w:val="28"/>
          <w:szCs w:val="28"/>
        </w:rPr>
        <w:t>OVERVIEW</w:t>
      </w:r>
    </w:p>
    <w:p w14:paraId="746F137C" w14:textId="77777777" w:rsidR="008E7A10" w:rsidRDefault="00E047B2">
      <w:pPr>
        <w:spacing w:before="120" w:after="120"/>
      </w:pPr>
      <w:r>
        <w:rPr>
          <w:rFonts w:ascii="Arial" w:eastAsia="宋体" w:hAnsi="Arial" w:cs="Arial"/>
          <w:color w:val="000000"/>
          <w:sz w:val="17"/>
          <w:szCs w:val="17"/>
        </w:rPr>
        <w:t>NIKE designs, develops, markets and sells athletic footwear, apparel, equipment, accessories and services worldwide. We are the largest seller of athletic footwear and apparel in the world. We sell our products through NIKE-owned retail s</w:t>
      </w:r>
      <w:r>
        <w:rPr>
          <w:rFonts w:ascii="Arial" w:eastAsia="宋体" w:hAnsi="Arial" w:cs="Arial"/>
          <w:color w:val="000000"/>
          <w:sz w:val="17"/>
          <w:szCs w:val="17"/>
        </w:rPr>
        <w:t xml:space="preserve">tores and through digital platforms (which we refer to collectively as our “NIKE Direct” operations), to retail accounts and to a mix of independent distributors, licensees and sales representatives in virtually all countries around the world. Our goal is </w:t>
      </w:r>
      <w:r>
        <w:rPr>
          <w:rFonts w:ascii="Arial" w:eastAsia="宋体" w:hAnsi="Arial" w:cs="Arial"/>
          <w:color w:val="000000"/>
          <w:sz w:val="17"/>
          <w:szCs w:val="17"/>
        </w:rPr>
        <w:t>to deliver value to our shareholders by building a profitable global portfolio of branded footwear, apparel, equipment and accessories businesses. Our strategy is to achieve long-term revenue growth by creating innovative, “must-have” products, building de</w:t>
      </w:r>
      <w:r>
        <w:rPr>
          <w:rFonts w:ascii="Arial" w:eastAsia="宋体" w:hAnsi="Arial" w:cs="Arial"/>
          <w:color w:val="000000"/>
          <w:sz w:val="17"/>
          <w:szCs w:val="17"/>
        </w:rPr>
        <w:t xml:space="preserve">ep personal consumer connections with our brands and delivering compelling consumer experiences through digital platforms and at retail. </w:t>
      </w:r>
    </w:p>
    <w:p w14:paraId="746F137D" w14:textId="77777777" w:rsidR="008E7A10" w:rsidRDefault="00E047B2">
      <w:pPr>
        <w:spacing w:before="120" w:after="120"/>
      </w:pPr>
      <w:r>
        <w:rPr>
          <w:rFonts w:ascii="Arial" w:eastAsia="宋体" w:hAnsi="Arial" w:cs="Arial"/>
          <w:color w:val="212529"/>
          <w:sz w:val="17"/>
          <w:szCs w:val="17"/>
        </w:rPr>
        <w:t>Since fiscal 2018, through the Consumer Direct Offense and our Triple Double strategy, we have focused on doubling the</w:t>
      </w:r>
      <w:r>
        <w:rPr>
          <w:rFonts w:ascii="Arial" w:eastAsia="宋体" w:hAnsi="Arial" w:cs="Arial"/>
          <w:color w:val="212529"/>
          <w:sz w:val="17"/>
          <w:szCs w:val="17"/>
        </w:rPr>
        <w:t xml:space="preserve"> impact of innovation, increasing our speed and agility to market and growing our direct connections with consumers. In June 2020, we announced a new digitally empowered phase of the Consumer Direct Offense strategy: Consumer Direct Acceleration. This stra</w:t>
      </w:r>
      <w:r>
        <w:rPr>
          <w:rFonts w:ascii="Arial" w:eastAsia="宋体" w:hAnsi="Arial" w:cs="Arial"/>
          <w:color w:val="212529"/>
          <w:sz w:val="17"/>
          <w:szCs w:val="17"/>
        </w:rPr>
        <w:t xml:space="preserve">tegic acceleration will focus on three specific areas. First, creating the marketplace of the future through more premium, consistent and seamless consumer experiences that more closely align with what consumers want and need. This strategy will lead with </w:t>
      </w:r>
      <w:r>
        <w:rPr>
          <w:rFonts w:ascii="Arial" w:eastAsia="宋体" w:hAnsi="Arial" w:cs="Arial"/>
          <w:color w:val="212529"/>
          <w:sz w:val="17"/>
          <w:szCs w:val="17"/>
        </w:rPr>
        <w:t xml:space="preserve">NIKE Digital and our own stores, as well as through select strategic partners who share our marketplace vision. Second, we will align our product creation and category organizations around a new consumer construct focused on Men’s, Women's and Kids'. This </w:t>
      </w:r>
      <w:r>
        <w:rPr>
          <w:rFonts w:ascii="Arial" w:eastAsia="宋体" w:hAnsi="Arial" w:cs="Arial"/>
          <w:color w:val="212529"/>
          <w:sz w:val="17"/>
          <w:szCs w:val="17"/>
        </w:rPr>
        <w:t>approach is intended to allow us to create product that better meets individual consumer needs, including more specialization of our category approach, while re-aligning and simplifying our offense to accelerate our largest growth opportunities. In particu</w:t>
      </w:r>
      <w:r>
        <w:rPr>
          <w:rFonts w:ascii="Arial" w:eastAsia="宋体" w:hAnsi="Arial" w:cs="Arial"/>
          <w:color w:val="212529"/>
          <w:sz w:val="17"/>
          <w:szCs w:val="17"/>
        </w:rPr>
        <w:t>lar, we expect to reinvest in our Women's and Kids' businesses and also simplify our operating model across the remainder of the Company to optimize effectiveness. Third, we will unify investments in data and analytics, demand sensing, insight gathering, i</w:t>
      </w:r>
      <w:r>
        <w:rPr>
          <w:rFonts w:ascii="Arial" w:eastAsia="宋体" w:hAnsi="Arial" w:cs="Arial"/>
          <w:color w:val="212529"/>
          <w:sz w:val="17"/>
          <w:szCs w:val="17"/>
        </w:rPr>
        <w:t>nventory management and other areas against an end-to-end technology foundation to accelerate our digital transformation. We believe this unified approach will accelerate growth and unlock more efficiency for our business, while driving speed and responsiv</w:t>
      </w:r>
      <w:r>
        <w:rPr>
          <w:rFonts w:ascii="Arial" w:eastAsia="宋体" w:hAnsi="Arial" w:cs="Arial"/>
          <w:color w:val="212529"/>
          <w:sz w:val="17"/>
          <w:szCs w:val="17"/>
        </w:rPr>
        <w:t>eness as we serve consumers globally.</w:t>
      </w:r>
    </w:p>
    <w:p w14:paraId="746F137E" w14:textId="77777777" w:rsidR="008E7A10" w:rsidRDefault="00E047B2">
      <w:r>
        <w:rPr>
          <w:rFonts w:ascii="Arial" w:eastAsia="宋体" w:hAnsi="Arial" w:cs="Arial"/>
          <w:color w:val="212529"/>
          <w:sz w:val="17"/>
          <w:szCs w:val="17"/>
        </w:rPr>
        <w:t xml:space="preserve">As a result of our strategic acceleration, management announced on July 22, 2020, a series of leadership and operating model changes to streamline and speed up our execution. </w:t>
      </w:r>
      <w:r>
        <w:rPr>
          <w:rFonts w:ascii="Arial" w:eastAsia="宋体" w:hAnsi="Arial" w:cs="Arial"/>
          <w:color w:val="000000"/>
          <w:sz w:val="17"/>
          <w:szCs w:val="17"/>
        </w:rPr>
        <w:t>These changes will result in a net reductio</w:t>
      </w:r>
      <w:r>
        <w:rPr>
          <w:rFonts w:ascii="Arial" w:eastAsia="宋体" w:hAnsi="Arial" w:cs="Arial"/>
          <w:color w:val="000000"/>
          <w:sz w:val="17"/>
          <w:szCs w:val="17"/>
        </w:rPr>
        <w:t>n of our global workforce and we expect to incur pre-tax charges of approximately $315 million, the majority of which relate to employee termination costs and, to a lesser extent, stock-based compensation expense. These amounts reflect the continued evalua</w:t>
      </w:r>
      <w:r>
        <w:rPr>
          <w:rFonts w:ascii="Arial" w:eastAsia="宋体" w:hAnsi="Arial" w:cs="Arial"/>
          <w:color w:val="000000"/>
          <w:sz w:val="17"/>
          <w:szCs w:val="17"/>
        </w:rPr>
        <w:t>tion and variability of our original estimate of employee termination costs and required changes in assumptions used to calculate stock-based compensation expense. For the first six months of fiscal 2021, we incurred pre-tax charges of $218 million and exp</w:t>
      </w:r>
      <w:r>
        <w:rPr>
          <w:rFonts w:ascii="Arial" w:eastAsia="宋体" w:hAnsi="Arial" w:cs="Arial"/>
          <w:color w:val="000000"/>
          <w:sz w:val="17"/>
          <w:szCs w:val="17"/>
        </w:rPr>
        <w:t>ect all remaining actions to be substantially complete by the end of fiscal 2021.</w:t>
      </w:r>
      <w:r>
        <w:rPr>
          <w:rFonts w:ascii="Arial" w:eastAsia="宋体" w:hAnsi="Arial" w:cs="Arial"/>
          <w:color w:val="212529"/>
          <w:sz w:val="17"/>
          <w:szCs w:val="17"/>
        </w:rPr>
        <w:t xml:space="preserve"> We expect future annual wage-related savings will be reinvested to execute against this next phase of our strategy. </w:t>
      </w:r>
      <w:r>
        <w:rPr>
          <w:rFonts w:ascii="Arial" w:eastAsia="宋体" w:hAnsi="Arial" w:cs="Arial"/>
          <w:color w:val="000000"/>
          <w:sz w:val="17"/>
          <w:szCs w:val="17"/>
        </w:rPr>
        <w:t>For more information related to our organizational realign</w:t>
      </w:r>
      <w:r>
        <w:rPr>
          <w:rFonts w:ascii="Arial" w:eastAsia="宋体" w:hAnsi="Arial" w:cs="Arial"/>
          <w:color w:val="000000"/>
          <w:sz w:val="17"/>
          <w:szCs w:val="17"/>
        </w:rPr>
        <w:t>ment and related costs, see Note 14 — Restructuring within the accompanying Notes to the Unaudited Condensed Consolidated Financial Statements.</w:t>
      </w:r>
    </w:p>
    <w:p w14:paraId="746F137F" w14:textId="77777777" w:rsidR="008E7A10" w:rsidRDefault="00E047B2">
      <w:pPr>
        <w:spacing w:before="120"/>
      </w:pPr>
      <w:r>
        <w:rPr>
          <w:rFonts w:ascii="sans-serif" w:eastAsia="sans-serif" w:hAnsi="sans-serif" w:cs="sans-serif"/>
          <w:b/>
          <w:bCs/>
          <w:color w:val="808080"/>
          <w:sz w:val="22"/>
          <w:szCs w:val="22"/>
        </w:rPr>
        <w:t>COVID-19 UPDATE</w:t>
      </w:r>
    </w:p>
    <w:p w14:paraId="746F1380" w14:textId="77777777" w:rsidR="008E7A10" w:rsidRDefault="00E047B2">
      <w:pPr>
        <w:spacing w:before="120" w:after="120"/>
      </w:pPr>
      <w:r>
        <w:rPr>
          <w:rFonts w:ascii="Arial" w:eastAsia="宋体" w:hAnsi="Arial" w:cs="Arial"/>
          <w:color w:val="212529"/>
          <w:sz w:val="17"/>
          <w:szCs w:val="17"/>
        </w:rPr>
        <w:t xml:space="preserve">The COVID-19 pandemic continues to impact our business results and operations globally, </w:t>
      </w:r>
      <w:r>
        <w:rPr>
          <w:rFonts w:ascii="Arial" w:eastAsia="宋体" w:hAnsi="Arial" w:cs="Arial"/>
          <w:color w:val="212529"/>
          <w:sz w:val="17"/>
          <w:szCs w:val="17"/>
        </w:rPr>
        <w:t>causing us to transform the way we operate in order to better serve our consumers. Although uncertainty due to the pandemic continues to exist, our financial results for the second quarter and first six months of fiscal 2021 demonstrate our ability to navi</w:t>
      </w:r>
      <w:r>
        <w:rPr>
          <w:rFonts w:ascii="Arial" w:eastAsia="宋体" w:hAnsi="Arial" w:cs="Arial"/>
          <w:color w:val="212529"/>
          <w:sz w:val="17"/>
          <w:szCs w:val="17"/>
        </w:rPr>
        <w:t xml:space="preserve">gate the dynamic situation. Despite physical retail traffic being below prior year levels, Revenues grew 9% and 4% for the second quarter and first six months of fiscal 2021, respectively, and 7% and 4% on a currency-neutral basis. Through our intentional </w:t>
      </w:r>
      <w:r>
        <w:rPr>
          <w:rFonts w:ascii="Arial" w:eastAsia="宋体" w:hAnsi="Arial" w:cs="Arial"/>
          <w:color w:val="212529"/>
          <w:sz w:val="17"/>
          <w:szCs w:val="17"/>
        </w:rPr>
        <w:t xml:space="preserve">supply and demand management, inventory levels have declined, and we ended the second quarter of fiscal 2021 with Inventories down 17% compared to May 31, 2020. We reduced discretionary spending while continuing to invest in our digital transformation. As </w:t>
      </w:r>
      <w:r>
        <w:rPr>
          <w:rFonts w:ascii="Arial" w:eastAsia="宋体" w:hAnsi="Arial" w:cs="Arial"/>
          <w:color w:val="212529"/>
          <w:sz w:val="17"/>
          <w:szCs w:val="17"/>
        </w:rPr>
        <w:t>a result, total selling and administrative expense declined 2% for the second quarter and 6% for the first six months of fiscal 2021. However, we expect Demand creation expense to increase in future periods as major sporting events and key sports moments r</w:t>
      </w:r>
      <w:r>
        <w:rPr>
          <w:rFonts w:ascii="Arial" w:eastAsia="宋体" w:hAnsi="Arial" w:cs="Arial"/>
          <w:color w:val="212529"/>
          <w:sz w:val="17"/>
          <w:szCs w:val="17"/>
        </w:rPr>
        <w:t>esume following recovery from the pandemic, along with investments in strategic areas to drive growth. Our liquidity position remains strong and we ended the second quarter with $11.8 billion of Cash and equivalents and Short-term investments.</w:t>
      </w:r>
    </w:p>
    <w:p w14:paraId="746F1381" w14:textId="77777777" w:rsidR="008E7A10" w:rsidRDefault="00E047B2">
      <w:pPr>
        <w:spacing w:before="120" w:after="120"/>
      </w:pPr>
      <w:r>
        <w:rPr>
          <w:rFonts w:ascii="Arial" w:eastAsia="宋体" w:hAnsi="Arial" w:cs="Arial"/>
          <w:color w:val="212529"/>
          <w:sz w:val="17"/>
          <w:szCs w:val="17"/>
        </w:rPr>
        <w:t>Our NIKE Dir</w:t>
      </w:r>
      <w:r>
        <w:rPr>
          <w:rFonts w:ascii="Arial" w:eastAsia="宋体" w:hAnsi="Arial" w:cs="Arial"/>
          <w:color w:val="212529"/>
          <w:sz w:val="17"/>
          <w:szCs w:val="17"/>
        </w:rPr>
        <w:t xml:space="preserve">ect business continues to fuel our growth as we navigate through the pandemic, leveraging our digital assets with our store footprint to connect directly with the consumer. On a reported basis, NIKE Direct sales for the second quarter and first six months </w:t>
      </w:r>
      <w:r>
        <w:rPr>
          <w:rFonts w:ascii="Arial" w:eastAsia="宋体" w:hAnsi="Arial" w:cs="Arial"/>
          <w:color w:val="212529"/>
          <w:sz w:val="17"/>
          <w:szCs w:val="17"/>
        </w:rPr>
        <w:t>of fiscal 2021 were $4.3 billion and $8.0 billion, respectively, growing 30% and 22%, respectively, on a currency-neutral basis. NIKE Brand digital remained our fastest growing channel, with growth of 80% and 81% for the second quarter and first six months</w:t>
      </w:r>
      <w:r>
        <w:rPr>
          <w:rFonts w:ascii="Arial" w:eastAsia="宋体" w:hAnsi="Arial" w:cs="Arial"/>
          <w:color w:val="212529"/>
          <w:sz w:val="17"/>
          <w:szCs w:val="17"/>
        </w:rPr>
        <w:t xml:space="preserve"> of fiscal 2021, respectively. During the second quarter of fiscal 2021, we experienced temporary store closures in geographies affected by rising COVID-19 cases; however, more than 80% of our owned stores were open as of January 4, 2021, with some operati</w:t>
      </w:r>
      <w:r>
        <w:rPr>
          <w:rFonts w:ascii="Arial" w:eastAsia="宋体" w:hAnsi="Arial" w:cs="Arial"/>
          <w:color w:val="212529"/>
          <w:sz w:val="17"/>
          <w:szCs w:val="17"/>
        </w:rPr>
        <w:t xml:space="preserve">ng on reduced hours. Despite a substantial majority of stores being open during the quarter, we experienced a </w:t>
      </w:r>
    </w:p>
    <w:p w14:paraId="746F1382" w14:textId="77777777" w:rsidR="008E7A10" w:rsidRDefault="00E047B2">
      <w:pPr>
        <w:spacing w:before="120" w:after="120"/>
        <w:jc w:val="right"/>
      </w:pPr>
      <w:r>
        <w:rPr>
          <w:rFonts w:ascii="Arial" w:eastAsia="宋体" w:hAnsi="Arial" w:cs="Arial"/>
          <w:color w:val="E87722"/>
          <w:sz w:val="17"/>
          <w:szCs w:val="17"/>
        </w:rPr>
        <w:t>25</w:t>
      </w:r>
    </w:p>
    <w:p w14:paraId="746F1383" w14:textId="77777777" w:rsidR="008E7A10" w:rsidRDefault="00E047B2">
      <w:r>
        <w:pict w14:anchorId="746F2021">
          <v:rect id="_x0000_i1051" style="width:415.3pt;height:1.5pt" o:hralign="center" o:hrstd="t" o:hr="t" fillcolor="#a0a0a0" stroked="f"/>
        </w:pict>
      </w:r>
    </w:p>
    <w:p w14:paraId="746F1384" w14:textId="77777777" w:rsidR="008E7A10" w:rsidRDefault="008E7A10"/>
    <w:p w14:paraId="746F1385" w14:textId="77777777" w:rsidR="008E7A10" w:rsidRDefault="00E047B2">
      <w:hyperlink r:id="rId96" w:anchor="i31a624617c6c41b38f8f700fa0df5bde_7" w:history="1">
        <w:r>
          <w:rPr>
            <w:rStyle w:val="a5"/>
            <w:rFonts w:ascii="sans-serif" w:eastAsia="sans-serif" w:hAnsi="sans-serif" w:cs="sans-serif"/>
            <w:sz w:val="17"/>
            <w:szCs w:val="17"/>
          </w:rPr>
          <w:t>Table of Contents</w:t>
        </w:r>
      </w:hyperlink>
    </w:p>
    <w:p w14:paraId="746F1386" w14:textId="77777777" w:rsidR="008E7A10" w:rsidRDefault="008E7A10"/>
    <w:p w14:paraId="746F1387" w14:textId="77777777" w:rsidR="008E7A10" w:rsidRDefault="00E047B2">
      <w:pPr>
        <w:spacing w:before="120" w:after="120"/>
      </w:pPr>
      <w:r>
        <w:rPr>
          <w:rFonts w:ascii="Arial" w:eastAsia="宋体" w:hAnsi="Arial" w:cs="Arial"/>
          <w:color w:val="212529"/>
          <w:sz w:val="17"/>
          <w:szCs w:val="17"/>
        </w:rPr>
        <w:t>decline in comparable store sales in EMEA, North America and APLA, primarily due to reduced physical retail traffic, in part resulting from safety-related measures in response to COVID-19.</w:t>
      </w:r>
    </w:p>
    <w:p w14:paraId="746F1388" w14:textId="77777777" w:rsidR="008E7A10" w:rsidRDefault="00E047B2">
      <w:pPr>
        <w:spacing w:before="120" w:after="120"/>
      </w:pPr>
      <w:r>
        <w:rPr>
          <w:rFonts w:ascii="Arial" w:eastAsia="宋体" w:hAnsi="Arial" w:cs="Arial"/>
          <w:color w:val="212529"/>
          <w:sz w:val="17"/>
          <w:szCs w:val="17"/>
        </w:rPr>
        <w:t xml:space="preserve">We continue to monitor the ongoing </w:t>
      </w:r>
      <w:r>
        <w:rPr>
          <w:rFonts w:ascii="Arial" w:eastAsia="宋体" w:hAnsi="Arial" w:cs="Arial"/>
          <w:color w:val="212529"/>
          <w:sz w:val="17"/>
          <w:szCs w:val="17"/>
        </w:rPr>
        <w:t>and evolving situation, as well as guidance from international and domestic authorities, including federal, state and local public health authorities and may take additional actions based on their recommendations. In these circumstances, there may be devel</w:t>
      </w:r>
      <w:r>
        <w:rPr>
          <w:rFonts w:ascii="Arial" w:eastAsia="宋体" w:hAnsi="Arial" w:cs="Arial"/>
          <w:color w:val="212529"/>
          <w:sz w:val="17"/>
          <w:szCs w:val="17"/>
        </w:rPr>
        <w:t>opments outside our control requiring us to adjust our operating plan. As such, we expect that fiscal 2021 will continue to be a time of uncertainty across each of our geographies and we expect each market recovery will be dynamic. While our results for th</w:t>
      </w:r>
      <w:r>
        <w:rPr>
          <w:rFonts w:ascii="Arial" w:eastAsia="宋体" w:hAnsi="Arial" w:cs="Arial"/>
          <w:color w:val="212529"/>
          <w:sz w:val="17"/>
          <w:szCs w:val="17"/>
        </w:rPr>
        <w:t>e second quarter and first six months of fiscal 2021 are positive, there remains the risk that COVID-19 could have material adverse impacts on our future revenue growth as well as our overall profitability and may lead to higher than normal inventory level</w:t>
      </w:r>
      <w:r>
        <w:rPr>
          <w:rFonts w:ascii="Arial" w:eastAsia="宋体" w:hAnsi="Arial" w:cs="Arial"/>
          <w:color w:val="212529"/>
          <w:sz w:val="17"/>
          <w:szCs w:val="17"/>
        </w:rPr>
        <w:t>s in various markets, revised payment terms with certain of our wholesale customers, higher sales-related reserves and a volatile effective tax rate driven by changes in the mix of earnings across the Company's jurisdictions.</w:t>
      </w:r>
    </w:p>
    <w:p w14:paraId="746F1389" w14:textId="77777777" w:rsidR="008E7A10" w:rsidRDefault="00E047B2">
      <w:pPr>
        <w:spacing w:before="120"/>
      </w:pPr>
      <w:r>
        <w:rPr>
          <w:rFonts w:ascii="sans-serif" w:eastAsia="sans-serif" w:hAnsi="sans-serif" w:cs="sans-serif"/>
          <w:b/>
          <w:bCs/>
          <w:color w:val="808080"/>
          <w:sz w:val="22"/>
          <w:szCs w:val="22"/>
        </w:rPr>
        <w:t>SECOND QUARTER OVERVIEW</w:t>
      </w:r>
    </w:p>
    <w:p w14:paraId="746F138A" w14:textId="77777777" w:rsidR="008E7A10" w:rsidRDefault="00E047B2">
      <w:pPr>
        <w:spacing w:after="160"/>
      </w:pPr>
      <w:r>
        <w:rPr>
          <w:rFonts w:ascii="Arial" w:eastAsia="宋体" w:hAnsi="Arial" w:cs="Arial"/>
          <w:color w:val="000000"/>
          <w:sz w:val="17"/>
          <w:szCs w:val="17"/>
        </w:rPr>
        <w:t>For th</w:t>
      </w:r>
      <w:r>
        <w:rPr>
          <w:rFonts w:ascii="Arial" w:eastAsia="宋体" w:hAnsi="Arial" w:cs="Arial"/>
          <w:color w:val="000000"/>
          <w:sz w:val="17"/>
          <w:szCs w:val="17"/>
        </w:rPr>
        <w:t>e second quarter of fiscal 2021, NIKE, Inc. Revenues increased 9% to $11.2 billion compared to the second quarter of fiscal 2020. On a currency-neutral basis, Revenues increased 7%. Net income was $1,251 million and diluted earnings per common share was $0</w:t>
      </w:r>
      <w:r>
        <w:rPr>
          <w:rFonts w:ascii="Arial" w:eastAsia="宋体" w:hAnsi="Arial" w:cs="Arial"/>
          <w:color w:val="000000"/>
          <w:sz w:val="17"/>
          <w:szCs w:val="17"/>
        </w:rPr>
        <w:t>.78 for the second quarter of fiscal 2021, compared to Net income of $1,115 million and diluted earnings per common share of $0.70 for the second quarter of fiscal 2020.</w:t>
      </w:r>
    </w:p>
    <w:p w14:paraId="746F138B" w14:textId="77777777" w:rsidR="008E7A10" w:rsidRDefault="00E047B2">
      <w:pPr>
        <w:spacing w:before="120" w:after="120"/>
      </w:pPr>
      <w:r>
        <w:rPr>
          <w:rFonts w:ascii="Arial" w:eastAsia="宋体" w:hAnsi="Arial" w:cs="Arial"/>
          <w:color w:val="000000"/>
          <w:sz w:val="17"/>
          <w:szCs w:val="17"/>
        </w:rPr>
        <w:t>Income before income taxes increased 17% compared to the second quarter of fiscal 2020</w:t>
      </w:r>
      <w:r>
        <w:rPr>
          <w:rFonts w:ascii="Arial" w:eastAsia="宋体" w:hAnsi="Arial" w:cs="Arial"/>
          <w:color w:val="000000"/>
          <w:sz w:val="17"/>
          <w:szCs w:val="17"/>
        </w:rPr>
        <w:t>, primarily due to higher revenues and lower selling and administrative expense, partially offset by a decline in gross margin. The NIKE Brand, which represents over 90% of NIKE, Inc. Revenues, increased 9% compared to the second quarter of fiscal 2020. On</w:t>
      </w:r>
      <w:r>
        <w:rPr>
          <w:rFonts w:ascii="Arial" w:eastAsia="宋体" w:hAnsi="Arial" w:cs="Arial"/>
          <w:color w:val="000000"/>
          <w:sz w:val="17"/>
          <w:szCs w:val="17"/>
        </w:rPr>
        <w:t xml:space="preserve"> a currency-neutral basis, NIKE Brand revenues grew 8%, driven by higher revenues across all geographies, footwear and apparel, as well as growth in most key categories, primarily Sportswear and the Jordan Brand. Revenues for Converse decreased 1% and 4% o</w:t>
      </w:r>
      <w:r>
        <w:rPr>
          <w:rFonts w:ascii="Arial" w:eastAsia="宋体" w:hAnsi="Arial" w:cs="Arial"/>
          <w:color w:val="000000"/>
          <w:sz w:val="17"/>
          <w:szCs w:val="17"/>
        </w:rPr>
        <w:t>n a reported and currency-neutral basis, respectively, as double-digit growth in digital and growth in Asia were more than offset by declines in Europe and North America, primarily due to tighter supply and strategic distribution shifts.</w:t>
      </w:r>
    </w:p>
    <w:p w14:paraId="746F138C" w14:textId="77777777" w:rsidR="008E7A10" w:rsidRDefault="00E047B2">
      <w:pPr>
        <w:spacing w:before="120" w:after="120"/>
      </w:pPr>
      <w:r>
        <w:rPr>
          <w:rFonts w:ascii="Arial" w:eastAsia="宋体" w:hAnsi="Arial" w:cs="Arial"/>
          <w:color w:val="000000"/>
          <w:sz w:val="17"/>
          <w:szCs w:val="17"/>
        </w:rPr>
        <w:t xml:space="preserve">Our effective tax </w:t>
      </w:r>
      <w:r>
        <w:rPr>
          <w:rFonts w:ascii="Arial" w:eastAsia="宋体" w:hAnsi="Arial" w:cs="Arial"/>
          <w:color w:val="000000"/>
          <w:sz w:val="17"/>
          <w:szCs w:val="17"/>
        </w:rPr>
        <w:t>rate was 14.1% for the second quarter of fiscal 2021 compared to 10.7% for the second quarter of fiscal 2020, primarily due to changes in the proportion of earnings taxed in the U.S. and an increase in tax associated with the recent finalization of U.S. ta</w:t>
      </w:r>
      <w:r>
        <w:rPr>
          <w:rFonts w:ascii="Arial" w:eastAsia="宋体" w:hAnsi="Arial" w:cs="Arial"/>
          <w:color w:val="000000"/>
          <w:sz w:val="17"/>
          <w:szCs w:val="17"/>
        </w:rPr>
        <w:t xml:space="preserve">x regulations, partially offset by a more favorable impact from stock-based compensation. </w:t>
      </w:r>
    </w:p>
    <w:p w14:paraId="746F138D" w14:textId="77777777" w:rsidR="008E7A10" w:rsidRDefault="00E047B2">
      <w:pPr>
        <w:spacing w:before="120" w:after="120"/>
      </w:pPr>
      <w:r>
        <w:rPr>
          <w:rFonts w:ascii="Arial" w:eastAsia="宋体" w:hAnsi="Arial" w:cs="Arial"/>
          <w:color w:val="000000"/>
          <w:sz w:val="17"/>
          <w:szCs w:val="17"/>
        </w:rPr>
        <w:t>During the third quarter of fiscal 2020, we entered into definitive agreements to sell our NIKE Brand businesses in Brazil, Argentina, Chile and Uruguay and to shift</w:t>
      </w:r>
      <w:r>
        <w:rPr>
          <w:rFonts w:ascii="Arial" w:eastAsia="宋体" w:hAnsi="Arial" w:cs="Arial"/>
          <w:color w:val="000000"/>
          <w:sz w:val="17"/>
          <w:szCs w:val="17"/>
        </w:rPr>
        <w:t xml:space="preserve"> to a distributor operating model. The transaction with Grupo SBF S.A. to purchase substantially all of our NIKE Brand operations in Brazil closed on December 1, 2020, subsequent to the end of the second quarter of fiscal 2021. Additionally, subsequent to </w:t>
      </w:r>
      <w:r>
        <w:rPr>
          <w:rFonts w:ascii="Arial" w:eastAsia="宋体" w:hAnsi="Arial" w:cs="Arial"/>
          <w:color w:val="000000"/>
          <w:sz w:val="17"/>
          <w:szCs w:val="17"/>
        </w:rPr>
        <w:t>the end of the second quarter of fiscal 2021, we mutually agreed with Grupo Axo to terminate the sale and purchase agreement for the transition of NIKE’s businesses in Argentina, Chile and Uruguay to a distributor partnership. However, as we remain committ</w:t>
      </w:r>
      <w:r>
        <w:rPr>
          <w:rFonts w:ascii="Arial" w:eastAsia="宋体" w:hAnsi="Arial" w:cs="Arial"/>
          <w:color w:val="000000"/>
          <w:sz w:val="17"/>
          <w:szCs w:val="17"/>
        </w:rPr>
        <w:t xml:space="preserve">ed to selling our NIKE Brand businesses in all three countries to third-party distributors, the assets and liabilities of the entities will remain classified as held-for-sale on our Unaudited Condensed Consolidated Balance Sheets. For more information see </w:t>
      </w:r>
      <w:r>
        <w:rPr>
          <w:rFonts w:ascii="Arial" w:eastAsia="宋体" w:hAnsi="Arial" w:cs="Arial"/>
          <w:color w:val="000000"/>
          <w:sz w:val="17"/>
          <w:szCs w:val="17"/>
        </w:rPr>
        <w:t>Note 13 — Acquisitions and Divestitures within the accompanying Notes to the Unaudited Condensed Consolidated Financial Statements.</w:t>
      </w:r>
    </w:p>
    <w:p w14:paraId="746F138E" w14:textId="77777777" w:rsidR="008E7A10" w:rsidRDefault="00E047B2">
      <w:pPr>
        <w:spacing w:before="120"/>
      </w:pPr>
      <w:r>
        <w:rPr>
          <w:rFonts w:ascii="sans-serif" w:eastAsia="sans-serif" w:hAnsi="sans-serif" w:cs="sans-serif"/>
          <w:b/>
          <w:bCs/>
          <w:color w:val="808080"/>
          <w:sz w:val="22"/>
          <w:szCs w:val="22"/>
        </w:rPr>
        <w:t>USE OF NON-GAAP FINANCIAL MEASURES</w:t>
      </w:r>
    </w:p>
    <w:p w14:paraId="746F138F" w14:textId="77777777" w:rsidR="008E7A10" w:rsidRDefault="00E047B2">
      <w:pPr>
        <w:spacing w:after="120"/>
      </w:pPr>
      <w:r>
        <w:rPr>
          <w:rFonts w:ascii="Arial" w:eastAsia="宋体" w:hAnsi="Arial" w:cs="Arial"/>
          <w:color w:val="000000"/>
          <w:sz w:val="17"/>
          <w:szCs w:val="17"/>
        </w:rPr>
        <w:t>Throughout this Quarterly Report on Form 10-Q, we discuss non-GAAP financial measures, in</w:t>
      </w:r>
      <w:r>
        <w:rPr>
          <w:rFonts w:ascii="Arial" w:eastAsia="宋体" w:hAnsi="Arial" w:cs="Arial"/>
          <w:color w:val="000000"/>
          <w:sz w:val="17"/>
          <w:szCs w:val="17"/>
        </w:rPr>
        <w:t>cluding references to wholesale equivalent revenues, currency-neutral revenues as well as Total NIKE Brand earnings before interest and taxes (EBIT) and Total NIKE, Inc. EBIT, which should be considered in addition to, and not in lieu of, the financial mea</w:t>
      </w:r>
      <w:r>
        <w:rPr>
          <w:rFonts w:ascii="Arial" w:eastAsia="宋体" w:hAnsi="Arial" w:cs="Arial"/>
          <w:color w:val="000000"/>
          <w:sz w:val="17"/>
          <w:szCs w:val="17"/>
        </w:rPr>
        <w:t>sures calculated and presented in accordance with accounting principles generally accepted in the United States of America (“U.S. GAAP”). References to wholesale equivalent revenues are intended to provide context as to the total size of our NIKE Brand mar</w:t>
      </w:r>
      <w:r>
        <w:rPr>
          <w:rFonts w:ascii="Arial" w:eastAsia="宋体" w:hAnsi="Arial" w:cs="Arial"/>
          <w:color w:val="000000"/>
          <w:sz w:val="17"/>
          <w:szCs w:val="17"/>
        </w:rPr>
        <w:t>ket footprint if we had no NIKE Direct operations. NIKE Brand wholesale equivalent revenues consist of (1) sales to external wholesale customers and (2) internal sales from our wholesale operations to our NIKE Direct operations, which are charged at prices</w:t>
      </w:r>
      <w:r>
        <w:rPr>
          <w:rFonts w:ascii="Arial" w:eastAsia="宋体" w:hAnsi="Arial" w:cs="Arial"/>
          <w:color w:val="000000"/>
          <w:sz w:val="17"/>
          <w:szCs w:val="17"/>
        </w:rPr>
        <w:t xml:space="preserve"> comparable to those charged to external wholesale customers. Currency-neutral revenues are calculated using actual exchange rates in use during the comparative prior year period to enhance the visibility of the underlying business trends excluding the imp</w:t>
      </w:r>
      <w:r>
        <w:rPr>
          <w:rFonts w:ascii="Arial" w:eastAsia="宋体" w:hAnsi="Arial" w:cs="Arial"/>
          <w:color w:val="000000"/>
          <w:sz w:val="17"/>
          <w:szCs w:val="17"/>
        </w:rPr>
        <w:t>act of translation arising from foreign currency exchange rate fluctuations. EBIT is calculated as Net Income before Interest expense (income), net and Income tax expense in the Unaudited Condensed Consolidated Statements of Income.</w:t>
      </w:r>
    </w:p>
    <w:p w14:paraId="746F1390" w14:textId="77777777" w:rsidR="008E7A10" w:rsidRDefault="00E047B2">
      <w:pPr>
        <w:spacing w:before="120" w:after="120"/>
      </w:pPr>
      <w:r>
        <w:rPr>
          <w:rFonts w:ascii="Arial" w:eastAsia="宋体" w:hAnsi="Arial" w:cs="Arial"/>
          <w:color w:val="000000"/>
          <w:sz w:val="17"/>
          <w:szCs w:val="17"/>
        </w:rPr>
        <w:t>Management uses these n</w:t>
      </w:r>
      <w:r>
        <w:rPr>
          <w:rFonts w:ascii="Arial" w:eastAsia="宋体" w:hAnsi="Arial" w:cs="Arial"/>
          <w:color w:val="000000"/>
          <w:sz w:val="17"/>
          <w:szCs w:val="17"/>
        </w:rPr>
        <w:t xml:space="preserve">on-GAAP financial measures when evaluating the Company's performance, including when making financial and operating decisions. Additionally, management believes these non-GAAP financial measures provide investors with additional financial information that </w:t>
      </w:r>
      <w:r>
        <w:rPr>
          <w:rFonts w:ascii="Arial" w:eastAsia="宋体" w:hAnsi="Arial" w:cs="Arial"/>
          <w:color w:val="000000"/>
          <w:sz w:val="17"/>
          <w:szCs w:val="17"/>
        </w:rPr>
        <w:t>should be considered when assessing our underlying business performance and trends. However, references to wholesale equivalent revenues, currency-neutral revenues and EBIT should not be considered in isolation or as a substitute for other financial measur</w:t>
      </w:r>
      <w:r>
        <w:rPr>
          <w:rFonts w:ascii="Arial" w:eastAsia="宋体" w:hAnsi="Arial" w:cs="Arial"/>
          <w:color w:val="000000"/>
          <w:sz w:val="17"/>
          <w:szCs w:val="17"/>
        </w:rPr>
        <w:t>es calculated and presented in accordance with U.S. GAAP and may not be comparable to similarly titled non-GAAP measures used by other companies.</w:t>
      </w:r>
    </w:p>
    <w:p w14:paraId="746F1391" w14:textId="77777777" w:rsidR="008E7A10" w:rsidRDefault="00E047B2">
      <w:pPr>
        <w:spacing w:before="120" w:after="120"/>
      </w:pPr>
      <w:r>
        <w:rPr>
          <w:rFonts w:ascii="Arial" w:eastAsia="宋体" w:hAnsi="Arial" w:cs="Arial"/>
          <w:color w:val="E87722"/>
          <w:sz w:val="17"/>
          <w:szCs w:val="17"/>
        </w:rPr>
        <w:t>26</w:t>
      </w:r>
      <w:r>
        <w:rPr>
          <w:rFonts w:ascii="sans-serif" w:eastAsia="sans-serif" w:hAnsi="sans-serif" w:cs="sans-serif"/>
          <w:color w:val="000000"/>
          <w:sz w:val="17"/>
          <w:szCs w:val="17"/>
        </w:rPr>
        <w:t xml:space="preserve"> </w:t>
      </w:r>
    </w:p>
    <w:p w14:paraId="746F1392" w14:textId="77777777" w:rsidR="008E7A10" w:rsidRDefault="00E047B2">
      <w:r>
        <w:pict w14:anchorId="746F2022">
          <v:rect id="_x0000_i1052" style="width:415.3pt;height:1.5pt" o:hralign="center" o:hrstd="t" o:hr="t" fillcolor="#a0a0a0" stroked="f"/>
        </w:pict>
      </w:r>
    </w:p>
    <w:p w14:paraId="746F1393" w14:textId="77777777" w:rsidR="008E7A10" w:rsidRDefault="008E7A10"/>
    <w:p w14:paraId="746F1394" w14:textId="77777777" w:rsidR="008E7A10" w:rsidRDefault="00E047B2">
      <w:hyperlink r:id="rId97" w:anchor="i31a624617c6c41b38f8f700fa0df5bde_7" w:history="1">
        <w:r>
          <w:rPr>
            <w:rStyle w:val="a5"/>
            <w:rFonts w:ascii="sans-serif" w:eastAsia="sans-serif" w:hAnsi="sans-serif" w:cs="sans-serif"/>
            <w:sz w:val="17"/>
            <w:szCs w:val="17"/>
          </w:rPr>
          <w:t>Table of Contents</w:t>
        </w:r>
      </w:hyperlink>
    </w:p>
    <w:p w14:paraId="746F1395" w14:textId="77777777" w:rsidR="008E7A10" w:rsidRDefault="008E7A10"/>
    <w:p w14:paraId="746F1396" w14:textId="77777777" w:rsidR="008E7A10" w:rsidRDefault="00E047B2">
      <w:pPr>
        <w:spacing w:before="300" w:after="120"/>
      </w:pPr>
      <w:r>
        <w:rPr>
          <w:rFonts w:ascii="sans-serif" w:eastAsia="sans-serif" w:hAnsi="sans-serif" w:cs="sans-serif"/>
          <w:b/>
          <w:bCs/>
          <w:color w:val="E87722"/>
          <w:sz w:val="36"/>
          <w:szCs w:val="36"/>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046"/>
        <w:gridCol w:w="38"/>
        <w:gridCol w:w="115"/>
        <w:gridCol w:w="600"/>
        <w:gridCol w:w="172"/>
        <w:gridCol w:w="115"/>
        <w:gridCol w:w="601"/>
        <w:gridCol w:w="172"/>
        <w:gridCol w:w="66"/>
        <w:gridCol w:w="572"/>
        <w:gridCol w:w="172"/>
        <w:gridCol w:w="36"/>
        <w:gridCol w:w="36"/>
        <w:gridCol w:w="36"/>
        <w:gridCol w:w="115"/>
        <w:gridCol w:w="568"/>
        <w:gridCol w:w="172"/>
        <w:gridCol w:w="115"/>
        <w:gridCol w:w="568"/>
        <w:gridCol w:w="172"/>
        <w:gridCol w:w="66"/>
        <w:gridCol w:w="572"/>
        <w:gridCol w:w="172"/>
      </w:tblGrid>
      <w:tr w:rsidR="008E7A10" w14:paraId="746F13AF" w14:textId="77777777">
        <w:tc>
          <w:tcPr>
            <w:tcW w:w="50" w:type="pct"/>
            <w:shd w:val="clear" w:color="auto" w:fill="auto"/>
          </w:tcPr>
          <w:p w14:paraId="746F1397" w14:textId="77777777" w:rsidR="008E7A10" w:rsidRDefault="008E7A10">
            <w:pPr>
              <w:rPr>
                <w:rFonts w:ascii="宋体"/>
              </w:rPr>
            </w:pPr>
          </w:p>
        </w:tc>
        <w:tc>
          <w:tcPr>
            <w:tcW w:w="1943" w:type="pct"/>
            <w:shd w:val="clear" w:color="auto" w:fill="auto"/>
          </w:tcPr>
          <w:p w14:paraId="746F1398" w14:textId="77777777" w:rsidR="008E7A10" w:rsidRDefault="008E7A10">
            <w:pPr>
              <w:rPr>
                <w:rFonts w:ascii="宋体"/>
              </w:rPr>
            </w:pPr>
          </w:p>
        </w:tc>
        <w:tc>
          <w:tcPr>
            <w:tcW w:w="5" w:type="pct"/>
            <w:shd w:val="clear" w:color="auto" w:fill="auto"/>
          </w:tcPr>
          <w:p w14:paraId="746F1399" w14:textId="77777777" w:rsidR="008E7A10" w:rsidRDefault="008E7A10">
            <w:pPr>
              <w:rPr>
                <w:rFonts w:ascii="宋体"/>
              </w:rPr>
            </w:pPr>
          </w:p>
        </w:tc>
        <w:tc>
          <w:tcPr>
            <w:tcW w:w="50" w:type="pct"/>
            <w:shd w:val="clear" w:color="auto" w:fill="auto"/>
          </w:tcPr>
          <w:p w14:paraId="746F139A" w14:textId="77777777" w:rsidR="008E7A10" w:rsidRDefault="008E7A10">
            <w:pPr>
              <w:rPr>
                <w:rFonts w:ascii="宋体"/>
              </w:rPr>
            </w:pPr>
          </w:p>
        </w:tc>
        <w:tc>
          <w:tcPr>
            <w:tcW w:w="438" w:type="pct"/>
            <w:shd w:val="clear" w:color="auto" w:fill="auto"/>
          </w:tcPr>
          <w:p w14:paraId="746F139B" w14:textId="77777777" w:rsidR="008E7A10" w:rsidRDefault="008E7A10">
            <w:pPr>
              <w:rPr>
                <w:rFonts w:ascii="宋体"/>
              </w:rPr>
            </w:pPr>
          </w:p>
        </w:tc>
        <w:tc>
          <w:tcPr>
            <w:tcW w:w="5" w:type="pct"/>
            <w:shd w:val="clear" w:color="auto" w:fill="auto"/>
          </w:tcPr>
          <w:p w14:paraId="746F139C" w14:textId="77777777" w:rsidR="008E7A10" w:rsidRDefault="008E7A10">
            <w:pPr>
              <w:rPr>
                <w:rFonts w:ascii="宋体"/>
              </w:rPr>
            </w:pPr>
          </w:p>
        </w:tc>
        <w:tc>
          <w:tcPr>
            <w:tcW w:w="50" w:type="pct"/>
            <w:shd w:val="clear" w:color="auto" w:fill="auto"/>
          </w:tcPr>
          <w:p w14:paraId="746F139D" w14:textId="77777777" w:rsidR="008E7A10" w:rsidRDefault="008E7A10">
            <w:pPr>
              <w:rPr>
                <w:rFonts w:ascii="宋体"/>
              </w:rPr>
            </w:pPr>
          </w:p>
        </w:tc>
        <w:tc>
          <w:tcPr>
            <w:tcW w:w="438" w:type="pct"/>
            <w:shd w:val="clear" w:color="auto" w:fill="auto"/>
          </w:tcPr>
          <w:p w14:paraId="746F139E" w14:textId="77777777" w:rsidR="008E7A10" w:rsidRDefault="008E7A10">
            <w:pPr>
              <w:rPr>
                <w:rFonts w:ascii="宋体"/>
              </w:rPr>
            </w:pPr>
          </w:p>
        </w:tc>
        <w:tc>
          <w:tcPr>
            <w:tcW w:w="5" w:type="pct"/>
            <w:shd w:val="clear" w:color="auto" w:fill="auto"/>
          </w:tcPr>
          <w:p w14:paraId="746F139F" w14:textId="77777777" w:rsidR="008E7A10" w:rsidRDefault="008E7A10">
            <w:pPr>
              <w:rPr>
                <w:rFonts w:ascii="宋体"/>
              </w:rPr>
            </w:pPr>
          </w:p>
        </w:tc>
        <w:tc>
          <w:tcPr>
            <w:tcW w:w="50" w:type="pct"/>
            <w:shd w:val="clear" w:color="auto" w:fill="auto"/>
          </w:tcPr>
          <w:p w14:paraId="746F13A0" w14:textId="77777777" w:rsidR="008E7A10" w:rsidRDefault="008E7A10">
            <w:pPr>
              <w:rPr>
                <w:rFonts w:ascii="宋体"/>
              </w:rPr>
            </w:pPr>
          </w:p>
        </w:tc>
        <w:tc>
          <w:tcPr>
            <w:tcW w:w="438" w:type="pct"/>
            <w:shd w:val="clear" w:color="auto" w:fill="auto"/>
          </w:tcPr>
          <w:p w14:paraId="746F13A1" w14:textId="77777777" w:rsidR="008E7A10" w:rsidRDefault="008E7A10">
            <w:pPr>
              <w:rPr>
                <w:rFonts w:ascii="宋体"/>
              </w:rPr>
            </w:pPr>
          </w:p>
        </w:tc>
        <w:tc>
          <w:tcPr>
            <w:tcW w:w="5" w:type="pct"/>
            <w:shd w:val="clear" w:color="auto" w:fill="auto"/>
          </w:tcPr>
          <w:p w14:paraId="746F13A2" w14:textId="77777777" w:rsidR="008E7A10" w:rsidRDefault="008E7A10">
            <w:pPr>
              <w:rPr>
                <w:rFonts w:ascii="宋体"/>
              </w:rPr>
            </w:pPr>
          </w:p>
        </w:tc>
        <w:tc>
          <w:tcPr>
            <w:tcW w:w="5" w:type="pct"/>
            <w:shd w:val="clear" w:color="auto" w:fill="auto"/>
          </w:tcPr>
          <w:p w14:paraId="746F13A3" w14:textId="77777777" w:rsidR="008E7A10" w:rsidRDefault="008E7A10">
            <w:pPr>
              <w:rPr>
                <w:rFonts w:ascii="宋体"/>
              </w:rPr>
            </w:pPr>
          </w:p>
        </w:tc>
        <w:tc>
          <w:tcPr>
            <w:tcW w:w="28" w:type="pct"/>
            <w:shd w:val="clear" w:color="auto" w:fill="auto"/>
          </w:tcPr>
          <w:p w14:paraId="746F13A4" w14:textId="77777777" w:rsidR="008E7A10" w:rsidRDefault="008E7A10">
            <w:pPr>
              <w:rPr>
                <w:rFonts w:ascii="宋体"/>
              </w:rPr>
            </w:pPr>
          </w:p>
        </w:tc>
        <w:tc>
          <w:tcPr>
            <w:tcW w:w="5" w:type="pct"/>
            <w:shd w:val="clear" w:color="auto" w:fill="auto"/>
          </w:tcPr>
          <w:p w14:paraId="746F13A5" w14:textId="77777777" w:rsidR="008E7A10" w:rsidRDefault="008E7A10">
            <w:pPr>
              <w:rPr>
                <w:rFonts w:ascii="宋体"/>
              </w:rPr>
            </w:pPr>
          </w:p>
        </w:tc>
        <w:tc>
          <w:tcPr>
            <w:tcW w:w="50" w:type="pct"/>
            <w:shd w:val="clear" w:color="auto" w:fill="auto"/>
          </w:tcPr>
          <w:p w14:paraId="746F13A6" w14:textId="77777777" w:rsidR="008E7A10" w:rsidRDefault="008E7A10">
            <w:pPr>
              <w:rPr>
                <w:rFonts w:ascii="宋体"/>
              </w:rPr>
            </w:pPr>
          </w:p>
        </w:tc>
        <w:tc>
          <w:tcPr>
            <w:tcW w:w="438" w:type="pct"/>
            <w:shd w:val="clear" w:color="auto" w:fill="auto"/>
          </w:tcPr>
          <w:p w14:paraId="746F13A7" w14:textId="77777777" w:rsidR="008E7A10" w:rsidRDefault="008E7A10">
            <w:pPr>
              <w:rPr>
                <w:rFonts w:ascii="宋体"/>
              </w:rPr>
            </w:pPr>
          </w:p>
        </w:tc>
        <w:tc>
          <w:tcPr>
            <w:tcW w:w="5" w:type="pct"/>
            <w:shd w:val="clear" w:color="auto" w:fill="auto"/>
          </w:tcPr>
          <w:p w14:paraId="746F13A8" w14:textId="77777777" w:rsidR="008E7A10" w:rsidRDefault="008E7A10">
            <w:pPr>
              <w:rPr>
                <w:rFonts w:ascii="宋体"/>
              </w:rPr>
            </w:pPr>
          </w:p>
        </w:tc>
        <w:tc>
          <w:tcPr>
            <w:tcW w:w="50" w:type="pct"/>
            <w:shd w:val="clear" w:color="auto" w:fill="auto"/>
          </w:tcPr>
          <w:p w14:paraId="746F13A9" w14:textId="77777777" w:rsidR="008E7A10" w:rsidRDefault="008E7A10">
            <w:pPr>
              <w:rPr>
                <w:rFonts w:ascii="宋体"/>
              </w:rPr>
            </w:pPr>
          </w:p>
        </w:tc>
        <w:tc>
          <w:tcPr>
            <w:tcW w:w="438" w:type="pct"/>
            <w:shd w:val="clear" w:color="auto" w:fill="auto"/>
          </w:tcPr>
          <w:p w14:paraId="746F13AA" w14:textId="77777777" w:rsidR="008E7A10" w:rsidRDefault="008E7A10">
            <w:pPr>
              <w:rPr>
                <w:rFonts w:ascii="宋体"/>
              </w:rPr>
            </w:pPr>
          </w:p>
        </w:tc>
        <w:tc>
          <w:tcPr>
            <w:tcW w:w="5" w:type="pct"/>
            <w:shd w:val="clear" w:color="auto" w:fill="auto"/>
          </w:tcPr>
          <w:p w14:paraId="746F13AB" w14:textId="77777777" w:rsidR="008E7A10" w:rsidRDefault="008E7A10">
            <w:pPr>
              <w:rPr>
                <w:rFonts w:ascii="宋体"/>
              </w:rPr>
            </w:pPr>
          </w:p>
        </w:tc>
        <w:tc>
          <w:tcPr>
            <w:tcW w:w="50" w:type="pct"/>
            <w:shd w:val="clear" w:color="auto" w:fill="auto"/>
          </w:tcPr>
          <w:p w14:paraId="746F13AC" w14:textId="77777777" w:rsidR="008E7A10" w:rsidRDefault="008E7A10">
            <w:pPr>
              <w:rPr>
                <w:rFonts w:ascii="宋体"/>
              </w:rPr>
            </w:pPr>
          </w:p>
        </w:tc>
        <w:tc>
          <w:tcPr>
            <w:tcW w:w="438" w:type="pct"/>
            <w:shd w:val="clear" w:color="auto" w:fill="auto"/>
          </w:tcPr>
          <w:p w14:paraId="746F13AD" w14:textId="77777777" w:rsidR="008E7A10" w:rsidRDefault="008E7A10">
            <w:pPr>
              <w:rPr>
                <w:rFonts w:ascii="宋体"/>
              </w:rPr>
            </w:pPr>
          </w:p>
        </w:tc>
        <w:tc>
          <w:tcPr>
            <w:tcW w:w="5" w:type="pct"/>
            <w:shd w:val="clear" w:color="auto" w:fill="auto"/>
          </w:tcPr>
          <w:p w14:paraId="746F13AE" w14:textId="77777777" w:rsidR="008E7A10" w:rsidRDefault="008E7A10">
            <w:pPr>
              <w:rPr>
                <w:rFonts w:ascii="宋体"/>
              </w:rPr>
            </w:pPr>
          </w:p>
        </w:tc>
      </w:tr>
      <w:tr w:rsidR="008E7A10" w14:paraId="746F13B4" w14:textId="77777777">
        <w:tc>
          <w:tcPr>
            <w:tcW w:w="0" w:type="auto"/>
            <w:gridSpan w:val="3"/>
            <w:shd w:val="clear" w:color="auto" w:fill="auto"/>
            <w:tcMar>
              <w:top w:w="0" w:type="dxa"/>
              <w:left w:w="20" w:type="dxa"/>
              <w:bottom w:w="0" w:type="dxa"/>
              <w:right w:w="20" w:type="dxa"/>
            </w:tcMar>
          </w:tcPr>
          <w:p w14:paraId="746F13B0"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3B1"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3B2"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3B3"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3BD" w14:textId="77777777">
        <w:tc>
          <w:tcPr>
            <w:tcW w:w="0" w:type="auto"/>
            <w:gridSpan w:val="3"/>
            <w:shd w:val="clear" w:color="auto" w:fill="auto"/>
            <w:tcMar>
              <w:top w:w="40" w:type="dxa"/>
              <w:left w:w="20" w:type="dxa"/>
              <w:bottom w:w="40" w:type="dxa"/>
              <w:right w:w="20" w:type="dxa"/>
            </w:tcMar>
            <w:vAlign w:val="bottom"/>
          </w:tcPr>
          <w:p w14:paraId="746F13B5" w14:textId="77777777" w:rsidR="008E7A10" w:rsidRDefault="00E047B2">
            <w:pPr>
              <w:textAlignment w:val="bottom"/>
            </w:pPr>
            <w:r>
              <w:rPr>
                <w:rFonts w:ascii="Arial Narrow" w:eastAsia="Arial Narrow" w:hAnsi="Arial Narrow" w:cs="Arial Narrow"/>
                <w:i/>
                <w:iCs/>
                <w:color w:val="000000"/>
                <w:sz w:val="17"/>
                <w:szCs w:val="17"/>
              </w:rPr>
              <w:t>(Dollars 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3B6"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3B7"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3B8"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746F13B9"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3BA"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3BB"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3BC" w14:textId="77777777" w:rsidR="008E7A10" w:rsidRDefault="00E047B2">
            <w:pPr>
              <w:jc w:val="right"/>
              <w:textAlignment w:val="bottom"/>
            </w:pPr>
            <w:r>
              <w:rPr>
                <w:rFonts w:ascii="sans-serif" w:eastAsia="sans-serif" w:hAnsi="sans-serif" w:cs="sans-serif"/>
                <w:b/>
                <w:bCs/>
                <w:color w:val="000000"/>
                <w:sz w:val="17"/>
                <w:szCs w:val="17"/>
              </w:rPr>
              <w:t>% CHANGE</w:t>
            </w:r>
          </w:p>
        </w:tc>
      </w:tr>
      <w:tr w:rsidR="008E7A10" w14:paraId="746F13D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3BE" w14:textId="77777777" w:rsidR="008E7A10" w:rsidRDefault="00E047B2">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center"/>
          </w:tcPr>
          <w:p w14:paraId="746F13BF" w14:textId="77777777" w:rsidR="008E7A10" w:rsidRDefault="00E047B2">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746F13C0" w14:textId="77777777" w:rsidR="008E7A10" w:rsidRDefault="00E047B2">
            <w:pPr>
              <w:jc w:val="right"/>
              <w:textAlignment w:val="center"/>
            </w:pPr>
            <w:r>
              <w:rPr>
                <w:rFonts w:ascii="Arial" w:eastAsia="宋体" w:hAnsi="Arial" w:cs="Arial"/>
                <w:color w:val="000000"/>
                <w:sz w:val="17"/>
                <w:szCs w:val="17"/>
              </w:rPr>
              <w:t>11,243 </w:t>
            </w:r>
          </w:p>
        </w:tc>
        <w:tc>
          <w:tcPr>
            <w:tcW w:w="0" w:type="auto"/>
            <w:tcBorders>
              <w:top w:val="single" w:sz="8" w:space="0" w:color="E87722"/>
            </w:tcBorders>
            <w:shd w:val="clear" w:color="auto" w:fill="FFF1E7"/>
            <w:tcMar>
              <w:top w:w="40" w:type="dxa"/>
              <w:left w:w="0" w:type="dxa"/>
              <w:bottom w:w="40" w:type="dxa"/>
              <w:right w:w="20" w:type="dxa"/>
            </w:tcMar>
            <w:vAlign w:val="center"/>
          </w:tcPr>
          <w:p w14:paraId="746F13C1"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746F13C2" w14:textId="77777777" w:rsidR="008E7A10" w:rsidRDefault="00E047B2">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746F13C3" w14:textId="77777777" w:rsidR="008E7A10" w:rsidRDefault="00E047B2">
            <w:pPr>
              <w:jc w:val="right"/>
              <w:textAlignment w:val="center"/>
            </w:pPr>
            <w:r>
              <w:rPr>
                <w:rFonts w:ascii="Arial" w:eastAsia="宋体" w:hAnsi="Arial" w:cs="Arial"/>
                <w:color w:val="000000"/>
                <w:sz w:val="17"/>
                <w:szCs w:val="17"/>
              </w:rPr>
              <w:t>10,326 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3C4"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3C5" w14:textId="77777777" w:rsidR="008E7A10" w:rsidRDefault="00E047B2">
            <w:pPr>
              <w:jc w:val="right"/>
              <w:textAlignment w:val="center"/>
            </w:pPr>
            <w:r>
              <w:rPr>
                <w:rFonts w:ascii="Arial" w:eastAsia="宋体" w:hAnsi="Arial" w:cs="Arial"/>
                <w:color w:val="000000"/>
                <w:sz w:val="17"/>
                <w:szCs w:val="17"/>
              </w:rPr>
              <w:t>9 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3C6" w14:textId="77777777" w:rsidR="008E7A10" w:rsidRDefault="00E047B2">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3C7"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center"/>
          </w:tcPr>
          <w:p w14:paraId="746F13C8" w14:textId="77777777" w:rsidR="008E7A10" w:rsidRDefault="00E047B2">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746F13C9" w14:textId="77777777" w:rsidR="008E7A10" w:rsidRDefault="00E047B2">
            <w:pPr>
              <w:jc w:val="right"/>
              <w:textAlignment w:val="center"/>
            </w:pPr>
            <w:r>
              <w:rPr>
                <w:rFonts w:ascii="Arial" w:eastAsia="宋体" w:hAnsi="Arial" w:cs="Arial"/>
                <w:color w:val="000000"/>
                <w:sz w:val="17"/>
                <w:szCs w:val="17"/>
              </w:rPr>
              <w:t>21,837 </w:t>
            </w:r>
          </w:p>
        </w:tc>
        <w:tc>
          <w:tcPr>
            <w:tcW w:w="0" w:type="auto"/>
            <w:tcBorders>
              <w:top w:val="single" w:sz="8" w:space="0" w:color="E87722"/>
            </w:tcBorders>
            <w:shd w:val="clear" w:color="auto" w:fill="FFF1E7"/>
            <w:tcMar>
              <w:top w:w="40" w:type="dxa"/>
              <w:left w:w="0" w:type="dxa"/>
              <w:bottom w:w="40" w:type="dxa"/>
              <w:right w:w="20" w:type="dxa"/>
            </w:tcMar>
            <w:vAlign w:val="center"/>
          </w:tcPr>
          <w:p w14:paraId="746F13CA"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746F13CB" w14:textId="77777777" w:rsidR="008E7A10" w:rsidRDefault="00E047B2">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746F13CC" w14:textId="77777777" w:rsidR="008E7A10" w:rsidRDefault="00E047B2">
            <w:pPr>
              <w:jc w:val="right"/>
              <w:textAlignment w:val="center"/>
            </w:pPr>
            <w:r>
              <w:rPr>
                <w:rFonts w:ascii="Arial" w:eastAsia="宋体" w:hAnsi="Arial" w:cs="Arial"/>
                <w:color w:val="000000"/>
                <w:sz w:val="17"/>
                <w:szCs w:val="17"/>
              </w:rPr>
              <w:t>20,986 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3CD"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3CE" w14:textId="77777777" w:rsidR="008E7A10" w:rsidRDefault="00E047B2">
            <w:pPr>
              <w:jc w:val="right"/>
              <w:textAlignment w:val="center"/>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3CF" w14:textId="77777777" w:rsidR="008E7A10" w:rsidRDefault="00E047B2">
            <w:pPr>
              <w:jc w:val="right"/>
              <w:textAlignment w:val="center"/>
            </w:pPr>
            <w:r>
              <w:rPr>
                <w:rFonts w:ascii="Arial" w:eastAsia="宋体" w:hAnsi="Arial" w:cs="Arial"/>
                <w:color w:val="000000"/>
                <w:sz w:val="17"/>
                <w:szCs w:val="17"/>
              </w:rPr>
              <w:t>%</w:t>
            </w:r>
          </w:p>
        </w:tc>
      </w:tr>
      <w:tr w:rsidR="008E7A10" w14:paraId="746F13D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3D1" w14:textId="77777777" w:rsidR="008E7A10" w:rsidRDefault="00E047B2">
            <w:pPr>
              <w:textAlignment w:val="bottom"/>
            </w:pPr>
            <w:r>
              <w:rPr>
                <w:rFonts w:ascii="Arial" w:eastAsia="宋体" w:hAnsi="Arial" w:cs="Arial"/>
                <w:color w:val="000000"/>
                <w:sz w:val="17"/>
                <w:szCs w:val="17"/>
              </w:rPr>
              <w:t>Cost of sales</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3D2" w14:textId="77777777" w:rsidR="008E7A10" w:rsidRDefault="00E047B2">
            <w:pPr>
              <w:jc w:val="right"/>
              <w:textAlignment w:val="center"/>
            </w:pPr>
            <w:r>
              <w:rPr>
                <w:rFonts w:ascii="Arial" w:eastAsia="宋体" w:hAnsi="Arial" w:cs="Arial"/>
                <w:color w:val="000000"/>
                <w:sz w:val="17"/>
                <w:szCs w:val="17"/>
              </w:rPr>
              <w:t>6,396 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3D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3D4" w14:textId="77777777" w:rsidR="008E7A10" w:rsidRDefault="00E047B2">
            <w:pPr>
              <w:jc w:val="right"/>
              <w:textAlignment w:val="center"/>
            </w:pPr>
            <w:r>
              <w:rPr>
                <w:rFonts w:ascii="Arial" w:eastAsia="宋体" w:hAnsi="Arial" w:cs="Arial"/>
                <w:color w:val="000000"/>
                <w:sz w:val="17"/>
                <w:szCs w:val="17"/>
              </w:rPr>
              <w:t>5,782 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3D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3D6" w14:textId="77777777" w:rsidR="008E7A10" w:rsidRDefault="00E047B2">
            <w:pPr>
              <w:jc w:val="right"/>
              <w:textAlignment w:val="center"/>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3D7" w14:textId="77777777" w:rsidR="008E7A10" w:rsidRDefault="00E047B2">
            <w:pPr>
              <w:jc w:val="right"/>
              <w:textAlignment w:val="center"/>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3D8"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3D9" w14:textId="77777777" w:rsidR="008E7A10" w:rsidRDefault="00E047B2">
            <w:pPr>
              <w:jc w:val="right"/>
              <w:textAlignment w:val="center"/>
            </w:pPr>
            <w:r>
              <w:rPr>
                <w:rFonts w:ascii="Arial" w:eastAsia="宋体" w:hAnsi="Arial" w:cs="Arial"/>
                <w:color w:val="000000"/>
                <w:sz w:val="17"/>
                <w:szCs w:val="17"/>
              </w:rPr>
              <w:t>12,249 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3D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3DB" w14:textId="77777777" w:rsidR="008E7A10" w:rsidRDefault="00E047B2">
            <w:pPr>
              <w:jc w:val="right"/>
              <w:textAlignment w:val="center"/>
            </w:pPr>
            <w:r>
              <w:rPr>
                <w:rFonts w:ascii="Arial" w:eastAsia="宋体" w:hAnsi="Arial" w:cs="Arial"/>
                <w:color w:val="000000"/>
                <w:sz w:val="17"/>
                <w:szCs w:val="17"/>
              </w:rPr>
              <w:t>11,571 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3D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3DD" w14:textId="77777777" w:rsidR="008E7A10" w:rsidRDefault="00E047B2">
            <w:pPr>
              <w:jc w:val="right"/>
              <w:textAlignment w:val="center"/>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3DE" w14:textId="77777777" w:rsidR="008E7A10" w:rsidRDefault="00E047B2">
            <w:pPr>
              <w:jc w:val="right"/>
              <w:textAlignment w:val="center"/>
            </w:pPr>
            <w:r>
              <w:rPr>
                <w:rFonts w:ascii="Arial" w:eastAsia="宋体" w:hAnsi="Arial" w:cs="Arial"/>
                <w:color w:val="000000"/>
                <w:sz w:val="17"/>
                <w:szCs w:val="17"/>
              </w:rPr>
              <w:t>%</w:t>
            </w:r>
          </w:p>
        </w:tc>
      </w:tr>
      <w:tr w:rsidR="008E7A10" w14:paraId="746F13EE"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746F13E0" w14:textId="77777777" w:rsidR="008E7A10" w:rsidRDefault="00E047B2">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746F13E1" w14:textId="77777777" w:rsidR="008E7A10" w:rsidRDefault="00E047B2">
            <w:pPr>
              <w:jc w:val="right"/>
              <w:textAlignment w:val="center"/>
            </w:pPr>
            <w:r>
              <w:rPr>
                <w:rFonts w:ascii="Arial" w:eastAsia="宋体" w:hAnsi="Arial" w:cs="Arial"/>
                <w:color w:val="000000"/>
                <w:sz w:val="17"/>
                <w:szCs w:val="17"/>
              </w:rPr>
              <w:t>4,847 </w:t>
            </w:r>
          </w:p>
        </w:tc>
        <w:tc>
          <w:tcPr>
            <w:tcW w:w="0" w:type="auto"/>
            <w:tcBorders>
              <w:top w:val="single" w:sz="8" w:space="0" w:color="E87722"/>
            </w:tcBorders>
            <w:shd w:val="clear" w:color="auto" w:fill="FFF1E7"/>
            <w:tcMar>
              <w:top w:w="40" w:type="dxa"/>
              <w:left w:w="0" w:type="dxa"/>
              <w:bottom w:w="40" w:type="dxa"/>
              <w:right w:w="20" w:type="dxa"/>
            </w:tcMar>
            <w:vAlign w:val="center"/>
          </w:tcPr>
          <w:p w14:paraId="746F13E2"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3E3" w14:textId="77777777" w:rsidR="008E7A10" w:rsidRDefault="00E047B2">
            <w:pPr>
              <w:jc w:val="right"/>
              <w:textAlignment w:val="center"/>
            </w:pPr>
            <w:r>
              <w:rPr>
                <w:rFonts w:ascii="Arial" w:eastAsia="宋体" w:hAnsi="Arial" w:cs="Arial"/>
                <w:color w:val="000000"/>
                <w:sz w:val="17"/>
                <w:szCs w:val="17"/>
              </w:rPr>
              <w:t>4,544 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3E4"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3E5" w14:textId="77777777" w:rsidR="008E7A10" w:rsidRDefault="00E047B2">
            <w:pPr>
              <w:jc w:val="right"/>
              <w:textAlignment w:val="center"/>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3E6" w14:textId="77777777" w:rsidR="008E7A10" w:rsidRDefault="00E047B2">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3E7"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746F13E8" w14:textId="77777777" w:rsidR="008E7A10" w:rsidRDefault="00E047B2">
            <w:pPr>
              <w:jc w:val="right"/>
              <w:textAlignment w:val="center"/>
            </w:pPr>
            <w:r>
              <w:rPr>
                <w:rFonts w:ascii="Arial" w:eastAsia="宋体" w:hAnsi="Arial" w:cs="Arial"/>
                <w:color w:val="000000"/>
                <w:sz w:val="17"/>
                <w:szCs w:val="17"/>
              </w:rPr>
              <w:t>9,588 </w:t>
            </w:r>
          </w:p>
        </w:tc>
        <w:tc>
          <w:tcPr>
            <w:tcW w:w="0" w:type="auto"/>
            <w:tcBorders>
              <w:top w:val="single" w:sz="8" w:space="0" w:color="E87722"/>
            </w:tcBorders>
            <w:shd w:val="clear" w:color="auto" w:fill="FFF1E7"/>
            <w:tcMar>
              <w:top w:w="40" w:type="dxa"/>
              <w:left w:w="0" w:type="dxa"/>
              <w:bottom w:w="40" w:type="dxa"/>
              <w:right w:w="20" w:type="dxa"/>
            </w:tcMar>
            <w:vAlign w:val="center"/>
          </w:tcPr>
          <w:p w14:paraId="746F13E9"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3EA" w14:textId="77777777" w:rsidR="008E7A10" w:rsidRDefault="00E047B2">
            <w:pPr>
              <w:jc w:val="right"/>
              <w:textAlignment w:val="center"/>
            </w:pPr>
            <w:r>
              <w:rPr>
                <w:rFonts w:ascii="Arial" w:eastAsia="宋体" w:hAnsi="Arial" w:cs="Arial"/>
                <w:color w:val="000000"/>
                <w:sz w:val="17"/>
                <w:szCs w:val="17"/>
              </w:rPr>
              <w:t>9,415 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3EB"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3EC" w14:textId="77777777" w:rsidR="008E7A10" w:rsidRDefault="00E047B2">
            <w:pPr>
              <w:jc w:val="right"/>
              <w:textAlignment w:val="center"/>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3ED" w14:textId="77777777" w:rsidR="008E7A10" w:rsidRDefault="00E047B2">
            <w:pPr>
              <w:jc w:val="right"/>
              <w:textAlignment w:val="center"/>
            </w:pPr>
            <w:r>
              <w:rPr>
                <w:rFonts w:ascii="Arial" w:eastAsia="宋体" w:hAnsi="Arial" w:cs="Arial"/>
                <w:color w:val="000000"/>
                <w:sz w:val="17"/>
                <w:szCs w:val="17"/>
              </w:rPr>
              <w:t>%</w:t>
            </w:r>
          </w:p>
        </w:tc>
      </w:tr>
      <w:tr w:rsidR="008E7A10" w14:paraId="746F13F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3EF" w14:textId="77777777" w:rsidR="008E7A10" w:rsidRDefault="00E047B2">
            <w:pPr>
              <w:textAlignment w:val="bottom"/>
            </w:pPr>
            <w:r>
              <w:rPr>
                <w:rFonts w:ascii="Arial" w:eastAsia="宋体" w:hAnsi="Arial" w:cs="Arial"/>
                <w:i/>
                <w:iCs/>
                <w:color w:val="000000"/>
                <w:sz w:val="17"/>
                <w:szCs w:val="17"/>
              </w:rPr>
              <w:t>Gross margin</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3F0" w14:textId="77777777" w:rsidR="008E7A10" w:rsidRDefault="00E047B2">
            <w:pPr>
              <w:jc w:val="right"/>
              <w:textAlignment w:val="center"/>
            </w:pPr>
            <w:r>
              <w:rPr>
                <w:rFonts w:ascii="Arial" w:eastAsia="宋体" w:hAnsi="Arial" w:cs="Arial"/>
                <w:i/>
                <w:iCs/>
                <w:color w:val="000000"/>
                <w:sz w:val="17"/>
                <w:szCs w:val="17"/>
              </w:rPr>
              <w:t>43.1 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3F1"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3F2" w14:textId="77777777" w:rsidR="008E7A10" w:rsidRDefault="00E047B2">
            <w:pPr>
              <w:jc w:val="right"/>
              <w:textAlignment w:val="center"/>
            </w:pPr>
            <w:r>
              <w:rPr>
                <w:rFonts w:ascii="Arial" w:eastAsia="宋体" w:hAnsi="Arial" w:cs="Arial"/>
                <w:i/>
                <w:iCs/>
                <w:color w:val="000000"/>
                <w:sz w:val="17"/>
                <w:szCs w:val="17"/>
              </w:rPr>
              <w:t>44.0 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3F3"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3F4"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3F5"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3F6" w14:textId="77777777" w:rsidR="008E7A10" w:rsidRDefault="00E047B2">
            <w:pPr>
              <w:jc w:val="right"/>
              <w:textAlignment w:val="center"/>
            </w:pPr>
            <w:r>
              <w:rPr>
                <w:rFonts w:ascii="Arial" w:eastAsia="宋体" w:hAnsi="Arial" w:cs="Arial"/>
                <w:i/>
                <w:iCs/>
                <w:color w:val="000000"/>
                <w:sz w:val="17"/>
                <w:szCs w:val="17"/>
              </w:rPr>
              <w:t>43.9 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3F7"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3F8" w14:textId="77777777" w:rsidR="008E7A10" w:rsidRDefault="00E047B2">
            <w:pPr>
              <w:jc w:val="right"/>
              <w:textAlignment w:val="center"/>
            </w:pPr>
            <w:r>
              <w:rPr>
                <w:rFonts w:ascii="Arial" w:eastAsia="宋体" w:hAnsi="Arial" w:cs="Arial"/>
                <w:i/>
                <w:iCs/>
                <w:color w:val="000000"/>
                <w:sz w:val="17"/>
                <w:szCs w:val="17"/>
              </w:rPr>
              <w:t>44.9 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3F9"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3FA" w14:textId="77777777" w:rsidR="008E7A10" w:rsidRDefault="008E7A10">
            <w:pPr>
              <w:rPr>
                <w:rFonts w:ascii="宋体"/>
              </w:rPr>
            </w:pPr>
          </w:p>
        </w:tc>
      </w:tr>
      <w:tr w:rsidR="008E7A10" w14:paraId="746F140A"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3FC" w14:textId="77777777" w:rsidR="008E7A10" w:rsidRDefault="00E047B2">
            <w:pPr>
              <w:textAlignment w:val="bottom"/>
            </w:pPr>
            <w:r>
              <w:rPr>
                <w:rFonts w:ascii="Arial" w:eastAsia="宋体" w:hAnsi="Arial" w:cs="Arial"/>
                <w:color w:val="000000"/>
                <w:sz w:val="17"/>
                <w:szCs w:val="17"/>
              </w:rPr>
              <w:t>Demand creation expense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3FD" w14:textId="77777777" w:rsidR="008E7A10" w:rsidRDefault="00E047B2">
            <w:pPr>
              <w:jc w:val="right"/>
              <w:textAlignment w:val="center"/>
            </w:pPr>
            <w:r>
              <w:rPr>
                <w:rFonts w:ascii="Arial" w:eastAsia="宋体" w:hAnsi="Arial" w:cs="Arial"/>
                <w:color w:val="000000"/>
                <w:sz w:val="17"/>
                <w:szCs w:val="17"/>
              </w:rPr>
              <w:t>729 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3F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3FF" w14:textId="77777777" w:rsidR="008E7A10" w:rsidRDefault="00E047B2">
            <w:pPr>
              <w:jc w:val="right"/>
              <w:textAlignment w:val="center"/>
            </w:pPr>
            <w:r>
              <w:rPr>
                <w:rFonts w:ascii="Arial" w:eastAsia="宋体" w:hAnsi="Arial" w:cs="Arial"/>
                <w:color w:val="000000"/>
                <w:sz w:val="17"/>
                <w:szCs w:val="17"/>
              </w:rPr>
              <w:t>881 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0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01" w14:textId="77777777" w:rsidR="008E7A10" w:rsidRDefault="00E047B2">
            <w:pPr>
              <w:jc w:val="right"/>
              <w:textAlignment w:val="center"/>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02" w14:textId="77777777" w:rsidR="008E7A10" w:rsidRDefault="00E047B2">
            <w:pPr>
              <w:jc w:val="right"/>
              <w:textAlignment w:val="center"/>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403"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04" w14:textId="77777777" w:rsidR="008E7A10" w:rsidRDefault="00E047B2">
            <w:pPr>
              <w:jc w:val="right"/>
              <w:textAlignment w:val="center"/>
            </w:pPr>
            <w:r>
              <w:rPr>
                <w:rFonts w:ascii="Arial" w:eastAsia="宋体" w:hAnsi="Arial" w:cs="Arial"/>
                <w:color w:val="000000"/>
                <w:sz w:val="17"/>
                <w:szCs w:val="17"/>
              </w:rPr>
              <w:t>1,406 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0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06" w14:textId="77777777" w:rsidR="008E7A10" w:rsidRDefault="00E047B2">
            <w:pPr>
              <w:jc w:val="right"/>
              <w:textAlignment w:val="center"/>
            </w:pPr>
            <w:r>
              <w:rPr>
                <w:rFonts w:ascii="Arial" w:eastAsia="宋体" w:hAnsi="Arial" w:cs="Arial"/>
                <w:color w:val="000000"/>
                <w:sz w:val="17"/>
                <w:szCs w:val="17"/>
              </w:rPr>
              <w:t>1,899 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0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08" w14:textId="77777777" w:rsidR="008E7A10" w:rsidRDefault="00E047B2">
            <w:pPr>
              <w:jc w:val="right"/>
              <w:textAlignment w:val="center"/>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09" w14:textId="77777777" w:rsidR="008E7A10" w:rsidRDefault="00E047B2">
            <w:pPr>
              <w:jc w:val="right"/>
              <w:textAlignment w:val="center"/>
            </w:pPr>
            <w:r>
              <w:rPr>
                <w:rFonts w:ascii="Arial" w:eastAsia="宋体" w:hAnsi="Arial" w:cs="Arial"/>
                <w:color w:val="000000"/>
                <w:sz w:val="17"/>
                <w:szCs w:val="17"/>
              </w:rPr>
              <w:t>%</w:t>
            </w:r>
          </w:p>
        </w:tc>
      </w:tr>
      <w:tr w:rsidR="008E7A10" w14:paraId="746F141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40B" w14:textId="77777777" w:rsidR="008E7A10" w:rsidRDefault="00E047B2">
            <w:pPr>
              <w:textAlignment w:val="bottom"/>
            </w:pPr>
            <w:r>
              <w:rPr>
                <w:rFonts w:ascii="Arial" w:eastAsia="宋体" w:hAnsi="Arial" w:cs="Arial"/>
                <w:color w:val="000000"/>
                <w:sz w:val="17"/>
                <w:szCs w:val="17"/>
              </w:rPr>
              <w:t>Operating overhead expense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0C" w14:textId="77777777" w:rsidR="008E7A10" w:rsidRDefault="00E047B2">
            <w:pPr>
              <w:jc w:val="right"/>
              <w:textAlignment w:val="center"/>
            </w:pPr>
            <w:r>
              <w:rPr>
                <w:rFonts w:ascii="Arial" w:eastAsia="宋体" w:hAnsi="Arial" w:cs="Arial"/>
                <w:color w:val="000000"/>
                <w:sz w:val="17"/>
                <w:szCs w:val="17"/>
              </w:rPr>
              <w:t>2,538 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0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0E" w14:textId="77777777" w:rsidR="008E7A10" w:rsidRDefault="00E047B2">
            <w:pPr>
              <w:jc w:val="right"/>
              <w:textAlignment w:val="center"/>
            </w:pPr>
            <w:r>
              <w:rPr>
                <w:rFonts w:ascii="Arial" w:eastAsia="宋体" w:hAnsi="Arial" w:cs="Arial"/>
                <w:color w:val="000000"/>
                <w:sz w:val="17"/>
                <w:szCs w:val="17"/>
              </w:rPr>
              <w:t>2,443 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0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10" w14:textId="77777777" w:rsidR="008E7A10" w:rsidRDefault="00E047B2">
            <w:pPr>
              <w:jc w:val="right"/>
              <w:textAlignment w:val="center"/>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11" w14:textId="77777777" w:rsidR="008E7A10" w:rsidRDefault="00E047B2">
            <w:pPr>
              <w:jc w:val="right"/>
              <w:textAlignment w:val="center"/>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412"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13" w14:textId="77777777" w:rsidR="008E7A10" w:rsidRDefault="00E047B2">
            <w:pPr>
              <w:jc w:val="right"/>
              <w:textAlignment w:val="center"/>
            </w:pPr>
            <w:r>
              <w:rPr>
                <w:rFonts w:ascii="Arial" w:eastAsia="宋体" w:hAnsi="Arial" w:cs="Arial"/>
                <w:color w:val="000000"/>
                <w:sz w:val="17"/>
                <w:szCs w:val="17"/>
              </w:rPr>
              <w:t>4,836 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1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15" w14:textId="77777777" w:rsidR="008E7A10" w:rsidRDefault="00E047B2">
            <w:pPr>
              <w:jc w:val="right"/>
              <w:textAlignment w:val="center"/>
            </w:pPr>
            <w:r>
              <w:rPr>
                <w:rFonts w:ascii="Arial" w:eastAsia="宋体" w:hAnsi="Arial" w:cs="Arial"/>
                <w:color w:val="000000"/>
                <w:sz w:val="17"/>
                <w:szCs w:val="17"/>
              </w:rPr>
              <w:t>4,753 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1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17" w14:textId="77777777" w:rsidR="008E7A10" w:rsidRDefault="00E047B2">
            <w:pPr>
              <w:jc w:val="right"/>
              <w:textAlignment w:val="center"/>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18" w14:textId="77777777" w:rsidR="008E7A10" w:rsidRDefault="00E047B2">
            <w:pPr>
              <w:jc w:val="right"/>
              <w:textAlignment w:val="center"/>
            </w:pPr>
            <w:r>
              <w:rPr>
                <w:rFonts w:ascii="Arial" w:eastAsia="宋体" w:hAnsi="Arial" w:cs="Arial"/>
                <w:color w:val="000000"/>
                <w:sz w:val="17"/>
                <w:szCs w:val="17"/>
              </w:rPr>
              <w:t>%</w:t>
            </w:r>
          </w:p>
        </w:tc>
      </w:tr>
      <w:tr w:rsidR="008E7A10" w14:paraId="746F1428"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746F141A" w14:textId="77777777" w:rsidR="008E7A10" w:rsidRDefault="00E047B2">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746F141B" w14:textId="77777777" w:rsidR="008E7A10" w:rsidRDefault="00E047B2">
            <w:pPr>
              <w:jc w:val="right"/>
              <w:textAlignment w:val="center"/>
            </w:pPr>
            <w:r>
              <w:rPr>
                <w:rFonts w:ascii="Arial" w:eastAsia="宋体" w:hAnsi="Arial" w:cs="Arial"/>
                <w:color w:val="000000"/>
                <w:sz w:val="17"/>
                <w:szCs w:val="17"/>
              </w:rPr>
              <w:t>3,267 </w:t>
            </w:r>
          </w:p>
        </w:tc>
        <w:tc>
          <w:tcPr>
            <w:tcW w:w="0" w:type="auto"/>
            <w:tcBorders>
              <w:top w:val="single" w:sz="8" w:space="0" w:color="E87722"/>
            </w:tcBorders>
            <w:shd w:val="clear" w:color="auto" w:fill="FFF1E7"/>
            <w:tcMar>
              <w:top w:w="40" w:type="dxa"/>
              <w:left w:w="0" w:type="dxa"/>
              <w:bottom w:w="40" w:type="dxa"/>
              <w:right w:w="20" w:type="dxa"/>
            </w:tcMar>
            <w:vAlign w:val="center"/>
          </w:tcPr>
          <w:p w14:paraId="746F141C"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41D" w14:textId="77777777" w:rsidR="008E7A10" w:rsidRDefault="00E047B2">
            <w:pPr>
              <w:jc w:val="right"/>
              <w:textAlignment w:val="center"/>
            </w:pPr>
            <w:r>
              <w:rPr>
                <w:rFonts w:ascii="Arial" w:eastAsia="宋体" w:hAnsi="Arial" w:cs="Arial"/>
                <w:color w:val="000000"/>
                <w:sz w:val="17"/>
                <w:szCs w:val="17"/>
              </w:rPr>
              <w:t>3,324 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1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41F" w14:textId="77777777" w:rsidR="008E7A10" w:rsidRDefault="00E047B2">
            <w:pPr>
              <w:jc w:val="right"/>
              <w:textAlignment w:val="center"/>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20" w14:textId="77777777" w:rsidR="008E7A10" w:rsidRDefault="00E047B2">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421"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746F1422" w14:textId="77777777" w:rsidR="008E7A10" w:rsidRDefault="00E047B2">
            <w:pPr>
              <w:jc w:val="right"/>
              <w:textAlignment w:val="center"/>
            </w:pPr>
            <w:r>
              <w:rPr>
                <w:rFonts w:ascii="Arial" w:eastAsia="宋体" w:hAnsi="Arial" w:cs="Arial"/>
                <w:color w:val="000000"/>
                <w:sz w:val="17"/>
                <w:szCs w:val="17"/>
              </w:rPr>
              <w:t>6,242 </w:t>
            </w:r>
          </w:p>
        </w:tc>
        <w:tc>
          <w:tcPr>
            <w:tcW w:w="0" w:type="auto"/>
            <w:tcBorders>
              <w:top w:val="single" w:sz="8" w:space="0" w:color="E87722"/>
            </w:tcBorders>
            <w:shd w:val="clear" w:color="auto" w:fill="FFF1E7"/>
            <w:tcMar>
              <w:top w:w="40" w:type="dxa"/>
              <w:left w:w="0" w:type="dxa"/>
              <w:bottom w:w="40" w:type="dxa"/>
              <w:right w:w="20" w:type="dxa"/>
            </w:tcMar>
            <w:vAlign w:val="center"/>
          </w:tcPr>
          <w:p w14:paraId="746F1423"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424" w14:textId="77777777" w:rsidR="008E7A10" w:rsidRDefault="00E047B2">
            <w:pPr>
              <w:jc w:val="right"/>
              <w:textAlignment w:val="center"/>
            </w:pPr>
            <w:r>
              <w:rPr>
                <w:rFonts w:ascii="Arial" w:eastAsia="宋体" w:hAnsi="Arial" w:cs="Arial"/>
                <w:color w:val="000000"/>
                <w:sz w:val="17"/>
                <w:szCs w:val="17"/>
              </w:rPr>
              <w:t>6,652 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25"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426" w14:textId="77777777" w:rsidR="008E7A10" w:rsidRDefault="00E047B2">
            <w:pPr>
              <w:jc w:val="right"/>
              <w:textAlignment w:val="center"/>
            </w:pPr>
            <w:r>
              <w:rPr>
                <w:rFonts w:ascii="Arial" w:eastAsia="宋体" w:hAnsi="Arial" w:cs="Arial"/>
                <w:color w:val="000000"/>
                <w:sz w:val="17"/>
                <w:szCs w:val="17"/>
              </w:rPr>
              <w:t>-6 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27" w14:textId="77777777" w:rsidR="008E7A10" w:rsidRDefault="00E047B2">
            <w:pPr>
              <w:jc w:val="right"/>
              <w:textAlignment w:val="center"/>
            </w:pPr>
            <w:r>
              <w:rPr>
                <w:rFonts w:ascii="Arial" w:eastAsia="宋体" w:hAnsi="Arial" w:cs="Arial"/>
                <w:color w:val="000000"/>
                <w:sz w:val="17"/>
                <w:szCs w:val="17"/>
              </w:rPr>
              <w:t>%</w:t>
            </w:r>
          </w:p>
        </w:tc>
      </w:tr>
      <w:tr w:rsidR="008E7A10" w14:paraId="746F1435"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429" w14:textId="77777777" w:rsidR="008E7A10" w:rsidRDefault="00E047B2">
            <w:pPr>
              <w:textAlignment w:val="bottom"/>
            </w:pPr>
            <w:r>
              <w:rPr>
                <w:rFonts w:ascii="Arial" w:eastAsia="宋体" w:hAnsi="Arial" w:cs="Arial"/>
                <w:i/>
                <w:iCs/>
                <w:color w:val="000000"/>
                <w:sz w:val="17"/>
                <w:szCs w:val="17"/>
              </w:rPr>
              <w:t>% of revenues</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2A" w14:textId="77777777" w:rsidR="008E7A10" w:rsidRDefault="00E047B2">
            <w:pPr>
              <w:jc w:val="right"/>
              <w:textAlignment w:val="center"/>
            </w:pPr>
            <w:r>
              <w:rPr>
                <w:rFonts w:ascii="Arial" w:eastAsia="宋体" w:hAnsi="Arial" w:cs="Arial"/>
                <w:i/>
                <w:iCs/>
                <w:color w:val="000000"/>
                <w:sz w:val="17"/>
                <w:szCs w:val="17"/>
              </w:rPr>
              <w:t>29.1 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2B"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2C" w14:textId="77777777" w:rsidR="008E7A10" w:rsidRDefault="00E047B2">
            <w:pPr>
              <w:jc w:val="right"/>
              <w:textAlignment w:val="center"/>
            </w:pPr>
            <w:r>
              <w:rPr>
                <w:rFonts w:ascii="Arial" w:eastAsia="宋体" w:hAnsi="Arial" w:cs="Arial"/>
                <w:i/>
                <w:iCs/>
                <w:color w:val="000000"/>
                <w:sz w:val="17"/>
                <w:szCs w:val="17"/>
              </w:rPr>
              <w:t>32.2 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2D"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42E"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42F"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30" w14:textId="77777777" w:rsidR="008E7A10" w:rsidRDefault="00E047B2">
            <w:pPr>
              <w:jc w:val="right"/>
              <w:textAlignment w:val="center"/>
            </w:pPr>
            <w:r>
              <w:rPr>
                <w:rFonts w:ascii="Arial" w:eastAsia="宋体" w:hAnsi="Arial" w:cs="Arial"/>
                <w:i/>
                <w:iCs/>
                <w:color w:val="000000"/>
                <w:sz w:val="17"/>
                <w:szCs w:val="17"/>
              </w:rPr>
              <w:t>28.6 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31"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32" w14:textId="77777777" w:rsidR="008E7A10" w:rsidRDefault="00E047B2">
            <w:pPr>
              <w:jc w:val="right"/>
              <w:textAlignment w:val="center"/>
            </w:pPr>
            <w:r>
              <w:rPr>
                <w:rFonts w:ascii="Arial" w:eastAsia="宋体" w:hAnsi="Arial" w:cs="Arial"/>
                <w:i/>
                <w:iCs/>
                <w:color w:val="000000"/>
                <w:sz w:val="17"/>
                <w:szCs w:val="17"/>
              </w:rPr>
              <w:t>31.7 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33"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434" w14:textId="77777777" w:rsidR="008E7A10" w:rsidRDefault="008E7A10">
            <w:pPr>
              <w:rPr>
                <w:rFonts w:ascii="宋体"/>
              </w:rPr>
            </w:pPr>
          </w:p>
        </w:tc>
      </w:tr>
      <w:tr w:rsidR="008E7A10" w14:paraId="746F1444"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436" w14:textId="77777777" w:rsidR="008E7A10" w:rsidRDefault="00E047B2">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37" w14:textId="77777777" w:rsidR="008E7A10" w:rsidRDefault="00E047B2">
            <w:pPr>
              <w:jc w:val="right"/>
              <w:textAlignment w:val="center"/>
            </w:pPr>
            <w:r>
              <w:rPr>
                <w:rFonts w:ascii="Arial" w:eastAsia="宋体" w:hAnsi="Arial" w:cs="Arial"/>
                <w:color w:val="000000"/>
                <w:sz w:val="17"/>
                <w:szCs w:val="17"/>
              </w:rPr>
              <w:t>70 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3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39" w14:textId="77777777" w:rsidR="008E7A10" w:rsidRDefault="00E047B2">
            <w:pPr>
              <w:jc w:val="right"/>
              <w:textAlignment w:val="center"/>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3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3B" w14:textId="77777777" w:rsidR="008E7A10" w:rsidRDefault="00E047B2">
            <w:pPr>
              <w:jc w:val="right"/>
              <w:textAlignment w:val="center"/>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3C"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43D"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3E" w14:textId="77777777" w:rsidR="008E7A10" w:rsidRDefault="00E047B2">
            <w:pPr>
              <w:jc w:val="right"/>
              <w:textAlignment w:val="center"/>
            </w:pPr>
            <w:r>
              <w:rPr>
                <w:rFonts w:ascii="Arial" w:eastAsia="宋体" w:hAnsi="Arial" w:cs="Arial"/>
                <w:color w:val="000000"/>
                <w:sz w:val="17"/>
                <w:szCs w:val="17"/>
              </w:rPr>
              <w:t>135 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3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40" w14:textId="77777777" w:rsidR="008E7A10" w:rsidRDefault="00E047B2">
            <w:pPr>
              <w:jc w:val="right"/>
              <w:textAlignment w:val="center"/>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4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42" w14:textId="77777777" w:rsidR="008E7A10" w:rsidRDefault="00E047B2">
            <w:pPr>
              <w:jc w:val="right"/>
              <w:textAlignment w:val="center"/>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43" w14:textId="77777777" w:rsidR="008E7A10" w:rsidRDefault="008E7A10">
            <w:pPr>
              <w:jc w:val="right"/>
              <w:rPr>
                <w:rFonts w:ascii="宋体"/>
              </w:rPr>
            </w:pPr>
          </w:p>
        </w:tc>
      </w:tr>
      <w:tr w:rsidR="008E7A10" w14:paraId="746F145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445" w14:textId="77777777" w:rsidR="008E7A10" w:rsidRDefault="00E047B2">
            <w:pPr>
              <w:textAlignment w:val="bottom"/>
            </w:pPr>
            <w:r>
              <w:rPr>
                <w:rFonts w:ascii="Arial" w:eastAsia="宋体" w:hAnsi="Arial" w:cs="Arial"/>
                <w:color w:val="000000"/>
                <w:sz w:val="17"/>
                <w:szCs w:val="17"/>
              </w:rPr>
              <w:t>Other (income) expense, net</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46" w14:textId="77777777" w:rsidR="008E7A10" w:rsidRDefault="00E047B2">
            <w:pPr>
              <w:jc w:val="right"/>
              <w:textAlignment w:val="center"/>
            </w:pPr>
            <w:r>
              <w:rPr>
                <w:rFonts w:ascii="Arial" w:eastAsia="宋体" w:hAnsi="Arial" w:cs="Arial"/>
                <w:color w:val="000000"/>
                <w:sz w:val="17"/>
                <w:szCs w:val="17"/>
              </w:rPr>
              <w:t>54 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4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48" w14:textId="77777777" w:rsidR="008E7A10" w:rsidRDefault="00E047B2">
            <w:pPr>
              <w:jc w:val="right"/>
              <w:textAlignment w:val="center"/>
            </w:pPr>
            <w:r>
              <w:rPr>
                <w:rFonts w:ascii="Arial" w:eastAsia="宋体" w:hAnsi="Arial" w:cs="Arial"/>
                <w:color w:val="000000"/>
                <w:sz w:val="17"/>
                <w:szCs w:val="17"/>
              </w:rPr>
              <w:t>(41)</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4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4A" w14:textId="77777777" w:rsidR="008E7A10" w:rsidRDefault="00E047B2">
            <w:pPr>
              <w:jc w:val="right"/>
              <w:textAlignment w:val="center"/>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4B"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44C"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4D" w14:textId="77777777" w:rsidR="008E7A10" w:rsidRDefault="00E047B2">
            <w:pPr>
              <w:jc w:val="right"/>
              <w:textAlignment w:val="center"/>
            </w:pPr>
            <w:r>
              <w:rPr>
                <w:rFonts w:ascii="Arial" w:eastAsia="宋体" w:hAnsi="Arial" w:cs="Arial"/>
                <w:color w:val="000000"/>
                <w:sz w:val="17"/>
                <w:szCs w:val="17"/>
              </w:rPr>
              <w:t>40 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4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4F" w14:textId="77777777" w:rsidR="008E7A10" w:rsidRDefault="00E047B2">
            <w:pPr>
              <w:jc w:val="right"/>
              <w:textAlignment w:val="center"/>
            </w:pPr>
            <w:r>
              <w:rPr>
                <w:rFonts w:ascii="Arial" w:eastAsia="宋体" w:hAnsi="Arial" w:cs="Arial"/>
                <w:color w:val="000000"/>
                <w:sz w:val="17"/>
                <w:szCs w:val="17"/>
              </w:rPr>
              <w:t>(74)</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5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51" w14:textId="77777777" w:rsidR="008E7A10" w:rsidRDefault="00E047B2">
            <w:pPr>
              <w:jc w:val="right"/>
              <w:textAlignment w:val="center"/>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52" w14:textId="77777777" w:rsidR="008E7A10" w:rsidRDefault="008E7A10">
            <w:pPr>
              <w:jc w:val="right"/>
              <w:rPr>
                <w:rFonts w:ascii="宋体"/>
              </w:rPr>
            </w:pPr>
          </w:p>
        </w:tc>
      </w:tr>
      <w:tr w:rsidR="008E7A10" w14:paraId="746F146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454" w14:textId="77777777" w:rsidR="008E7A10" w:rsidRDefault="00E047B2">
            <w:pPr>
              <w:textAlignment w:val="bottom"/>
            </w:pPr>
            <w:r>
              <w:rPr>
                <w:rFonts w:ascii="Arial" w:eastAsia="宋体" w:hAnsi="Arial" w:cs="Arial"/>
                <w:color w:val="000000"/>
                <w:sz w:val="17"/>
                <w:szCs w:val="17"/>
              </w:rPr>
              <w:t>Income before income taxe</w:t>
            </w:r>
            <w:r>
              <w:rPr>
                <w:rFonts w:ascii="Arial" w:eastAsia="宋体" w:hAnsi="Arial" w:cs="Arial"/>
                <w:color w:val="000000"/>
                <w:sz w:val="17"/>
                <w:szCs w:val="17"/>
              </w:rPr>
              <w:t>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746F1455" w14:textId="77777777" w:rsidR="008E7A10" w:rsidRDefault="00E047B2">
            <w:pPr>
              <w:jc w:val="right"/>
              <w:textAlignment w:val="center"/>
            </w:pPr>
            <w:r>
              <w:rPr>
                <w:rFonts w:ascii="Arial" w:eastAsia="宋体" w:hAnsi="Arial" w:cs="Arial"/>
                <w:color w:val="000000"/>
                <w:sz w:val="17"/>
                <w:szCs w:val="17"/>
              </w:rPr>
              <w:t>1,456 </w:t>
            </w:r>
          </w:p>
        </w:tc>
        <w:tc>
          <w:tcPr>
            <w:tcW w:w="0" w:type="auto"/>
            <w:tcBorders>
              <w:top w:val="single" w:sz="8" w:space="0" w:color="E87722"/>
            </w:tcBorders>
            <w:shd w:val="clear" w:color="auto" w:fill="FFF1E7"/>
            <w:tcMar>
              <w:top w:w="40" w:type="dxa"/>
              <w:left w:w="0" w:type="dxa"/>
              <w:bottom w:w="40" w:type="dxa"/>
              <w:right w:w="20" w:type="dxa"/>
            </w:tcMar>
            <w:vAlign w:val="center"/>
          </w:tcPr>
          <w:p w14:paraId="746F1456"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457" w14:textId="77777777" w:rsidR="008E7A10" w:rsidRDefault="00E047B2">
            <w:pPr>
              <w:jc w:val="right"/>
              <w:textAlignment w:val="center"/>
            </w:pPr>
            <w:r>
              <w:rPr>
                <w:rFonts w:ascii="Arial" w:eastAsia="宋体" w:hAnsi="Arial" w:cs="Arial"/>
                <w:color w:val="000000"/>
                <w:sz w:val="17"/>
                <w:szCs w:val="17"/>
              </w:rPr>
              <w:t>1,249 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58"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459" w14:textId="77777777" w:rsidR="008E7A10" w:rsidRDefault="00E047B2">
            <w:pPr>
              <w:jc w:val="right"/>
              <w:textAlignment w:val="center"/>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5A" w14:textId="77777777" w:rsidR="008E7A10" w:rsidRDefault="00E047B2">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45B"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746F145C" w14:textId="77777777" w:rsidR="008E7A10" w:rsidRDefault="00E047B2">
            <w:pPr>
              <w:jc w:val="right"/>
              <w:textAlignment w:val="center"/>
            </w:pPr>
            <w:r>
              <w:rPr>
                <w:rFonts w:ascii="Arial" w:eastAsia="宋体" w:hAnsi="Arial" w:cs="Arial"/>
                <w:color w:val="000000"/>
                <w:sz w:val="17"/>
                <w:szCs w:val="17"/>
              </w:rPr>
              <w:t>3,171 </w:t>
            </w:r>
          </w:p>
        </w:tc>
        <w:tc>
          <w:tcPr>
            <w:tcW w:w="0" w:type="auto"/>
            <w:tcBorders>
              <w:top w:val="single" w:sz="8" w:space="0" w:color="E87722"/>
            </w:tcBorders>
            <w:shd w:val="clear" w:color="auto" w:fill="FFF1E7"/>
            <w:tcMar>
              <w:top w:w="40" w:type="dxa"/>
              <w:left w:w="0" w:type="dxa"/>
              <w:bottom w:w="40" w:type="dxa"/>
              <w:right w:w="20" w:type="dxa"/>
            </w:tcMar>
            <w:vAlign w:val="center"/>
          </w:tcPr>
          <w:p w14:paraId="746F145D"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45E" w14:textId="77777777" w:rsidR="008E7A10" w:rsidRDefault="00E047B2">
            <w:pPr>
              <w:jc w:val="right"/>
              <w:textAlignment w:val="center"/>
            </w:pPr>
            <w:r>
              <w:rPr>
                <w:rFonts w:ascii="Arial" w:eastAsia="宋体" w:hAnsi="Arial" w:cs="Arial"/>
                <w:color w:val="000000"/>
                <w:sz w:val="17"/>
                <w:szCs w:val="17"/>
              </w:rPr>
              <w:t>2,810 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5F"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460" w14:textId="77777777" w:rsidR="008E7A10" w:rsidRDefault="00E047B2">
            <w:pPr>
              <w:jc w:val="right"/>
              <w:textAlignment w:val="center"/>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61" w14:textId="77777777" w:rsidR="008E7A10" w:rsidRDefault="00E047B2">
            <w:pPr>
              <w:jc w:val="right"/>
              <w:textAlignment w:val="center"/>
            </w:pPr>
            <w:r>
              <w:rPr>
                <w:rFonts w:ascii="Arial" w:eastAsia="宋体" w:hAnsi="Arial" w:cs="Arial"/>
                <w:color w:val="000000"/>
                <w:sz w:val="17"/>
                <w:szCs w:val="17"/>
              </w:rPr>
              <w:t>%</w:t>
            </w:r>
          </w:p>
        </w:tc>
      </w:tr>
      <w:tr w:rsidR="008E7A10" w14:paraId="746F1471"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463" w14:textId="77777777" w:rsidR="008E7A10" w:rsidRDefault="00E047B2">
            <w:pPr>
              <w:textAlignment w:val="bottom"/>
            </w:pPr>
            <w:r>
              <w:rPr>
                <w:rFonts w:ascii="Arial" w:eastAsia="宋体" w:hAnsi="Arial" w:cs="Arial"/>
                <w:color w:val="000000"/>
                <w:sz w:val="17"/>
                <w:szCs w:val="17"/>
              </w:rPr>
              <w:t>Income tax expense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64" w14:textId="77777777" w:rsidR="008E7A10" w:rsidRDefault="00E047B2">
            <w:pPr>
              <w:jc w:val="right"/>
              <w:textAlignment w:val="center"/>
            </w:pPr>
            <w:r>
              <w:rPr>
                <w:rFonts w:ascii="Arial" w:eastAsia="宋体" w:hAnsi="Arial" w:cs="Arial"/>
                <w:color w:val="000000"/>
                <w:sz w:val="17"/>
                <w:szCs w:val="17"/>
              </w:rPr>
              <w:t>205 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6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66" w14:textId="77777777" w:rsidR="008E7A10" w:rsidRDefault="00E047B2">
            <w:pPr>
              <w:jc w:val="right"/>
              <w:textAlignment w:val="center"/>
            </w:pPr>
            <w:r>
              <w:rPr>
                <w:rFonts w:ascii="Arial" w:eastAsia="宋体" w:hAnsi="Arial" w:cs="Arial"/>
                <w:color w:val="000000"/>
                <w:sz w:val="17"/>
                <w:szCs w:val="17"/>
              </w:rPr>
              <w:t>134 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6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68" w14:textId="77777777" w:rsidR="008E7A10" w:rsidRDefault="00E047B2">
            <w:pPr>
              <w:jc w:val="right"/>
              <w:textAlignment w:val="center"/>
            </w:pPr>
            <w:r>
              <w:rPr>
                <w:rFonts w:ascii="Arial" w:eastAsia="宋体" w:hAnsi="Arial" w:cs="Arial"/>
                <w:color w:val="000000"/>
                <w:sz w:val="17"/>
                <w:szCs w:val="17"/>
              </w:rPr>
              <w:t>53 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69" w14:textId="77777777" w:rsidR="008E7A10" w:rsidRDefault="00E047B2">
            <w:pPr>
              <w:jc w:val="right"/>
              <w:textAlignment w:val="center"/>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46A"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6B" w14:textId="77777777" w:rsidR="008E7A10" w:rsidRDefault="00E047B2">
            <w:pPr>
              <w:jc w:val="right"/>
              <w:textAlignment w:val="center"/>
            </w:pPr>
            <w:r>
              <w:rPr>
                <w:rFonts w:ascii="Arial" w:eastAsia="宋体" w:hAnsi="Arial" w:cs="Arial"/>
                <w:color w:val="000000"/>
                <w:sz w:val="17"/>
                <w:szCs w:val="17"/>
              </w:rPr>
              <w:t>402 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6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6D" w14:textId="77777777" w:rsidR="008E7A10" w:rsidRDefault="00E047B2">
            <w:pPr>
              <w:jc w:val="right"/>
              <w:textAlignment w:val="center"/>
            </w:pPr>
            <w:r>
              <w:rPr>
                <w:rFonts w:ascii="Arial" w:eastAsia="宋体" w:hAnsi="Arial" w:cs="Arial"/>
                <w:color w:val="000000"/>
                <w:sz w:val="17"/>
                <w:szCs w:val="17"/>
              </w:rPr>
              <w:t>328 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6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6F" w14:textId="77777777" w:rsidR="008E7A10" w:rsidRDefault="00E047B2">
            <w:pPr>
              <w:jc w:val="right"/>
              <w:textAlignment w:val="center"/>
            </w:pPr>
            <w:r>
              <w:rPr>
                <w:rFonts w:ascii="Arial" w:eastAsia="宋体" w:hAnsi="Arial" w:cs="Arial"/>
                <w:color w:val="000000"/>
                <w:sz w:val="17"/>
                <w:szCs w:val="17"/>
              </w:rPr>
              <w:t>23 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70" w14:textId="77777777" w:rsidR="008E7A10" w:rsidRDefault="00E047B2">
            <w:pPr>
              <w:jc w:val="right"/>
              <w:textAlignment w:val="center"/>
            </w:pPr>
            <w:r>
              <w:rPr>
                <w:rFonts w:ascii="Arial" w:eastAsia="宋体" w:hAnsi="Arial" w:cs="Arial"/>
                <w:color w:val="000000"/>
                <w:sz w:val="17"/>
                <w:szCs w:val="17"/>
              </w:rPr>
              <w:t>%</w:t>
            </w:r>
          </w:p>
        </w:tc>
      </w:tr>
      <w:tr w:rsidR="008E7A10" w14:paraId="746F147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472" w14:textId="77777777" w:rsidR="008E7A10" w:rsidRDefault="00E047B2">
            <w:pPr>
              <w:textAlignment w:val="bottom"/>
            </w:pPr>
            <w:r>
              <w:rPr>
                <w:rFonts w:ascii="Arial" w:eastAsia="宋体" w:hAnsi="Arial" w:cs="Arial"/>
                <w:i/>
                <w:iCs/>
                <w:color w:val="000000"/>
                <w:sz w:val="17"/>
                <w:szCs w:val="17"/>
              </w:rPr>
              <w:t>Effective tax rate</w:t>
            </w: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73" w14:textId="77777777" w:rsidR="008E7A10" w:rsidRDefault="00E047B2">
            <w:pPr>
              <w:jc w:val="right"/>
              <w:textAlignment w:val="center"/>
            </w:pPr>
            <w:r>
              <w:rPr>
                <w:rFonts w:ascii="Arial" w:eastAsia="宋体" w:hAnsi="Arial" w:cs="Arial"/>
                <w:i/>
                <w:iCs/>
                <w:color w:val="000000"/>
                <w:sz w:val="17"/>
                <w:szCs w:val="17"/>
              </w:rPr>
              <w:t>14.1 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74"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75" w14:textId="77777777" w:rsidR="008E7A10" w:rsidRDefault="00E047B2">
            <w:pPr>
              <w:jc w:val="right"/>
              <w:textAlignment w:val="center"/>
            </w:pPr>
            <w:r>
              <w:rPr>
                <w:rFonts w:ascii="Arial" w:eastAsia="宋体" w:hAnsi="Arial" w:cs="Arial"/>
                <w:i/>
                <w:iCs/>
                <w:color w:val="000000"/>
                <w:sz w:val="17"/>
                <w:szCs w:val="17"/>
              </w:rPr>
              <w:t>10.7 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76"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477"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478"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center"/>
          </w:tcPr>
          <w:p w14:paraId="746F1479" w14:textId="77777777" w:rsidR="008E7A10" w:rsidRDefault="00E047B2">
            <w:pPr>
              <w:jc w:val="right"/>
              <w:textAlignment w:val="center"/>
            </w:pPr>
            <w:r>
              <w:rPr>
                <w:rFonts w:ascii="Arial" w:eastAsia="宋体" w:hAnsi="Arial" w:cs="Arial"/>
                <w:i/>
                <w:iCs/>
                <w:color w:val="000000"/>
                <w:sz w:val="17"/>
                <w:szCs w:val="17"/>
              </w:rPr>
              <w:t>12.7 </w:t>
            </w:r>
          </w:p>
        </w:tc>
        <w:tc>
          <w:tcPr>
            <w:tcW w:w="0" w:type="auto"/>
            <w:tcBorders>
              <w:top w:val="single" w:sz="8" w:space="0" w:color="808080"/>
            </w:tcBorders>
            <w:shd w:val="clear" w:color="auto" w:fill="FFF1E7"/>
            <w:tcMar>
              <w:top w:w="40" w:type="dxa"/>
              <w:left w:w="0" w:type="dxa"/>
              <w:bottom w:w="40" w:type="dxa"/>
              <w:right w:w="20" w:type="dxa"/>
            </w:tcMar>
            <w:vAlign w:val="center"/>
          </w:tcPr>
          <w:p w14:paraId="746F147A"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center"/>
          </w:tcPr>
          <w:p w14:paraId="746F147B" w14:textId="77777777" w:rsidR="008E7A10" w:rsidRDefault="00E047B2">
            <w:pPr>
              <w:jc w:val="right"/>
              <w:textAlignment w:val="center"/>
            </w:pPr>
            <w:r>
              <w:rPr>
                <w:rFonts w:ascii="Arial" w:eastAsia="宋体" w:hAnsi="Arial" w:cs="Arial"/>
                <w:i/>
                <w:iCs/>
                <w:color w:val="000000"/>
                <w:sz w:val="17"/>
                <w:szCs w:val="17"/>
              </w:rPr>
              <w:t>11.7 </w:t>
            </w:r>
          </w:p>
        </w:tc>
        <w:tc>
          <w:tcPr>
            <w:tcW w:w="0" w:type="auto"/>
            <w:tcBorders>
              <w:top w:val="single" w:sz="8" w:space="0" w:color="808080"/>
            </w:tcBorders>
            <w:shd w:val="clear" w:color="auto" w:fill="auto"/>
            <w:tcMar>
              <w:top w:w="40" w:type="dxa"/>
              <w:left w:w="0" w:type="dxa"/>
              <w:bottom w:w="40" w:type="dxa"/>
              <w:right w:w="20" w:type="dxa"/>
            </w:tcMar>
            <w:vAlign w:val="center"/>
          </w:tcPr>
          <w:p w14:paraId="746F147C" w14:textId="77777777" w:rsidR="008E7A10" w:rsidRDefault="00E047B2">
            <w:pPr>
              <w:jc w:val="right"/>
              <w:textAlignment w:val="center"/>
            </w:pPr>
            <w:r>
              <w:rPr>
                <w:rFonts w:ascii="Arial" w:eastAsia="宋体" w:hAnsi="Arial" w:cs="Arial"/>
                <w:i/>
                <w:iCs/>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47D" w14:textId="77777777" w:rsidR="008E7A10" w:rsidRDefault="008E7A10">
            <w:pPr>
              <w:rPr>
                <w:rFonts w:ascii="宋体"/>
              </w:rPr>
            </w:pPr>
          </w:p>
        </w:tc>
      </w:tr>
      <w:tr w:rsidR="008E7A10" w14:paraId="746F149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47F" w14:textId="77777777" w:rsidR="008E7A10" w:rsidRDefault="00E047B2">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center"/>
          </w:tcPr>
          <w:p w14:paraId="746F1480" w14:textId="77777777" w:rsidR="008E7A10" w:rsidRDefault="00E047B2">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746F1481" w14:textId="77777777" w:rsidR="008E7A10" w:rsidRDefault="00E047B2">
            <w:pPr>
              <w:jc w:val="right"/>
              <w:textAlignment w:val="center"/>
            </w:pPr>
            <w:r>
              <w:rPr>
                <w:rFonts w:ascii="Arial" w:eastAsia="宋体" w:hAnsi="Arial" w:cs="Arial"/>
                <w:b/>
                <w:bCs/>
                <w:color w:val="000000"/>
                <w:sz w:val="17"/>
                <w:szCs w:val="17"/>
              </w:rPr>
              <w:t>1,251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746F1482"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746F1483" w14:textId="77777777" w:rsidR="008E7A10" w:rsidRDefault="00E047B2">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746F1484" w14:textId="77777777" w:rsidR="008E7A10" w:rsidRDefault="00E047B2">
            <w:pPr>
              <w:jc w:val="right"/>
              <w:textAlignment w:val="center"/>
            </w:pPr>
            <w:r>
              <w:rPr>
                <w:rFonts w:ascii="Arial" w:eastAsia="宋体" w:hAnsi="Arial" w:cs="Arial"/>
                <w:b/>
                <w:bCs/>
                <w:color w:val="000000"/>
                <w:sz w:val="17"/>
                <w:szCs w:val="17"/>
              </w:rPr>
              <w:t>1,115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85"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486" w14:textId="77777777" w:rsidR="008E7A10" w:rsidRDefault="00E047B2">
            <w:pPr>
              <w:jc w:val="right"/>
              <w:textAlignment w:val="center"/>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87" w14:textId="77777777" w:rsidR="008E7A10" w:rsidRDefault="00E047B2">
            <w:pPr>
              <w:jc w:val="right"/>
              <w:textAlignment w:val="center"/>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488"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center"/>
          </w:tcPr>
          <w:p w14:paraId="746F1489" w14:textId="77777777" w:rsidR="008E7A10" w:rsidRDefault="00E047B2">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746F148A" w14:textId="77777777" w:rsidR="008E7A10" w:rsidRDefault="00E047B2">
            <w:pPr>
              <w:jc w:val="right"/>
              <w:textAlignment w:val="center"/>
            </w:pPr>
            <w:r>
              <w:rPr>
                <w:rFonts w:ascii="Arial" w:eastAsia="宋体" w:hAnsi="Arial" w:cs="Arial"/>
                <w:b/>
                <w:bCs/>
                <w:color w:val="000000"/>
                <w:sz w:val="17"/>
                <w:szCs w:val="17"/>
              </w:rPr>
              <w:t>2,769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746F148B"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746F148C" w14:textId="77777777" w:rsidR="008E7A10" w:rsidRDefault="00E047B2">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746F148D" w14:textId="77777777" w:rsidR="008E7A10" w:rsidRDefault="00E047B2">
            <w:pPr>
              <w:jc w:val="right"/>
              <w:textAlignment w:val="center"/>
            </w:pPr>
            <w:r>
              <w:rPr>
                <w:rFonts w:ascii="Arial" w:eastAsia="宋体" w:hAnsi="Arial" w:cs="Arial"/>
                <w:b/>
                <w:bCs/>
                <w:color w:val="000000"/>
                <w:sz w:val="17"/>
                <w:szCs w:val="17"/>
              </w:rPr>
              <w:t>2,482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8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746F148F" w14:textId="77777777" w:rsidR="008E7A10" w:rsidRDefault="00E047B2">
            <w:pPr>
              <w:jc w:val="right"/>
              <w:textAlignment w:val="center"/>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746F1490" w14:textId="77777777" w:rsidR="008E7A10" w:rsidRDefault="00E047B2">
            <w:pPr>
              <w:jc w:val="right"/>
              <w:textAlignment w:val="center"/>
            </w:pPr>
            <w:r>
              <w:rPr>
                <w:rFonts w:ascii="Arial" w:eastAsia="宋体" w:hAnsi="Arial" w:cs="Arial"/>
                <w:b/>
                <w:bCs/>
                <w:color w:val="000000"/>
                <w:sz w:val="17"/>
                <w:szCs w:val="17"/>
              </w:rPr>
              <w:t>%</w:t>
            </w:r>
          </w:p>
        </w:tc>
      </w:tr>
      <w:tr w:rsidR="008E7A10" w14:paraId="746F14A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492" w14:textId="77777777" w:rsidR="008E7A10" w:rsidRDefault="00E047B2">
            <w:pPr>
              <w:textAlignment w:val="bottom"/>
            </w:pPr>
            <w:r>
              <w:rPr>
                <w:rFonts w:ascii="Arial" w:eastAsia="宋体" w:hAnsi="Arial" w:cs="Arial"/>
                <w:color w:val="000000"/>
                <w:sz w:val="17"/>
                <w:szCs w:val="17"/>
              </w:rPr>
              <w:t>Diluted earnings per common share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746F1493" w14:textId="77777777" w:rsidR="008E7A10" w:rsidRDefault="00E047B2">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746F1494" w14:textId="77777777" w:rsidR="008E7A10" w:rsidRDefault="00E047B2">
            <w:pPr>
              <w:jc w:val="right"/>
              <w:textAlignment w:val="center"/>
            </w:pPr>
            <w:r>
              <w:rPr>
                <w:rFonts w:ascii="Arial" w:eastAsia="宋体" w:hAnsi="Arial" w:cs="Arial"/>
                <w:color w:val="000000"/>
                <w:sz w:val="17"/>
                <w:szCs w:val="17"/>
              </w:rPr>
              <w:t>0.78 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746F1495"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746F1496" w14:textId="77777777" w:rsidR="008E7A10" w:rsidRDefault="00E047B2">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746F1497" w14:textId="77777777" w:rsidR="008E7A10" w:rsidRDefault="00E047B2">
            <w:pPr>
              <w:jc w:val="right"/>
              <w:textAlignment w:val="center"/>
            </w:pPr>
            <w:r>
              <w:rPr>
                <w:rFonts w:ascii="Arial" w:eastAsia="宋体" w:hAnsi="Arial" w:cs="Arial"/>
                <w:color w:val="000000"/>
                <w:sz w:val="17"/>
                <w:szCs w:val="17"/>
              </w:rPr>
              <w:t>0.70 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746F1498"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746F1499" w14:textId="77777777" w:rsidR="008E7A10" w:rsidRDefault="00E047B2">
            <w:pPr>
              <w:jc w:val="right"/>
              <w:textAlignment w:val="center"/>
            </w:pPr>
            <w:r>
              <w:rPr>
                <w:rFonts w:ascii="Arial" w:eastAsia="宋体" w:hAnsi="Arial" w:cs="Arial"/>
                <w:color w:val="000000"/>
                <w:sz w:val="17"/>
                <w:szCs w:val="17"/>
              </w:rPr>
              <w:t>11 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746F149A" w14:textId="77777777" w:rsidR="008E7A10" w:rsidRDefault="00E047B2">
            <w:pPr>
              <w:jc w:val="right"/>
              <w:textAlignment w:val="center"/>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49B"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746F149C" w14:textId="77777777" w:rsidR="008E7A10" w:rsidRDefault="00E047B2">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746F149D" w14:textId="77777777" w:rsidR="008E7A10" w:rsidRDefault="00E047B2">
            <w:pPr>
              <w:jc w:val="right"/>
              <w:textAlignment w:val="center"/>
            </w:pPr>
            <w:r>
              <w:rPr>
                <w:rFonts w:ascii="Arial" w:eastAsia="宋体" w:hAnsi="Arial" w:cs="Arial"/>
                <w:color w:val="000000"/>
                <w:sz w:val="17"/>
                <w:szCs w:val="17"/>
              </w:rPr>
              <w:t>1.73 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746F149E"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746F149F" w14:textId="77777777" w:rsidR="008E7A10" w:rsidRDefault="00E047B2">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746F14A0" w14:textId="77777777" w:rsidR="008E7A10" w:rsidRDefault="00E047B2">
            <w:pPr>
              <w:jc w:val="right"/>
              <w:textAlignment w:val="center"/>
            </w:pPr>
            <w:r>
              <w:rPr>
                <w:rFonts w:ascii="Arial" w:eastAsia="宋体" w:hAnsi="Arial" w:cs="Arial"/>
                <w:color w:val="000000"/>
                <w:sz w:val="17"/>
                <w:szCs w:val="17"/>
              </w:rPr>
              <w:t>1.56 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746F14A1"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746F14A2" w14:textId="77777777" w:rsidR="008E7A10" w:rsidRDefault="00E047B2">
            <w:pPr>
              <w:jc w:val="right"/>
              <w:textAlignment w:val="center"/>
            </w:pPr>
            <w:r>
              <w:rPr>
                <w:rFonts w:ascii="Arial" w:eastAsia="宋体" w:hAnsi="Arial" w:cs="Arial"/>
                <w:color w:val="000000"/>
                <w:sz w:val="17"/>
                <w:szCs w:val="17"/>
              </w:rPr>
              <w:t>11 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746F14A3" w14:textId="77777777" w:rsidR="008E7A10" w:rsidRDefault="00E047B2">
            <w:pPr>
              <w:jc w:val="right"/>
              <w:textAlignment w:val="center"/>
            </w:pPr>
            <w:r>
              <w:rPr>
                <w:rFonts w:ascii="Arial" w:eastAsia="宋体" w:hAnsi="Arial" w:cs="Arial"/>
                <w:color w:val="000000"/>
                <w:sz w:val="17"/>
                <w:szCs w:val="17"/>
              </w:rPr>
              <w:t>%</w:t>
            </w:r>
          </w:p>
        </w:tc>
      </w:tr>
    </w:tbl>
    <w:p w14:paraId="746F14A5" w14:textId="77777777" w:rsidR="008E7A10" w:rsidRDefault="00E047B2">
      <w:pPr>
        <w:spacing w:before="120" w:after="120"/>
        <w:jc w:val="right"/>
      </w:pPr>
      <w:r>
        <w:rPr>
          <w:rFonts w:ascii="Arial" w:eastAsia="宋体" w:hAnsi="Arial" w:cs="Arial"/>
          <w:color w:val="E87722"/>
          <w:sz w:val="17"/>
          <w:szCs w:val="17"/>
        </w:rPr>
        <w:t>27</w:t>
      </w:r>
    </w:p>
    <w:p w14:paraId="746F14A6" w14:textId="77777777" w:rsidR="008E7A10" w:rsidRDefault="00E047B2">
      <w:r>
        <w:pict w14:anchorId="746F2023">
          <v:rect id="_x0000_i1053" style="width:415.3pt;height:1.5pt" o:hralign="center" o:hrstd="t" o:hr="t" fillcolor="#a0a0a0" stroked="f"/>
        </w:pict>
      </w:r>
    </w:p>
    <w:p w14:paraId="746F14A7" w14:textId="77777777" w:rsidR="008E7A10" w:rsidRDefault="008E7A10"/>
    <w:p w14:paraId="746F14A8" w14:textId="77777777" w:rsidR="008E7A10" w:rsidRDefault="00E047B2">
      <w:hyperlink r:id="rId98" w:anchor="i31a624617c6c41b38f8f700fa0df5bde_7" w:history="1">
        <w:r>
          <w:rPr>
            <w:rStyle w:val="a5"/>
            <w:rFonts w:ascii="sans-serif" w:eastAsia="sans-serif" w:hAnsi="sans-serif" w:cs="sans-serif"/>
            <w:sz w:val="17"/>
            <w:szCs w:val="17"/>
          </w:rPr>
          <w:t>Table of Contents</w:t>
        </w:r>
      </w:hyperlink>
    </w:p>
    <w:p w14:paraId="746F14A9" w14:textId="77777777" w:rsidR="008E7A10" w:rsidRDefault="008E7A10"/>
    <w:p w14:paraId="746F14AA" w14:textId="77777777" w:rsidR="008E7A10" w:rsidRDefault="00E047B2">
      <w:pPr>
        <w:spacing w:before="300" w:after="120"/>
      </w:pPr>
      <w:r>
        <w:rPr>
          <w:rFonts w:ascii="sans-serif" w:eastAsia="sans-serif" w:hAnsi="sans-serif" w:cs="sans-serif"/>
          <w:b/>
          <w:bCs/>
          <w:color w:val="E87722"/>
          <w:sz w:val="36"/>
          <w:szCs w:val="36"/>
        </w:rPr>
        <w:t>CONSOLIDATED OPERATING RESULTS</w:t>
      </w:r>
    </w:p>
    <w:p w14:paraId="746F14AB" w14:textId="77777777" w:rsidR="008E7A10" w:rsidRDefault="00E047B2">
      <w:pPr>
        <w:spacing w:before="240" w:after="120"/>
      </w:pPr>
      <w:r>
        <w:rPr>
          <w:rFonts w:ascii="sans-serif" w:eastAsia="sans-serif" w:hAnsi="sans-serif" w:cs="sans-serif"/>
          <w:b/>
          <w:bCs/>
          <w:color w:val="000000"/>
          <w:sz w:val="28"/>
          <w:szCs w:val="28"/>
        </w:rPr>
        <w:t>REVENUES</w:t>
      </w:r>
    </w:p>
    <w:tbl>
      <w:tblPr>
        <w:tblW w:w="5000" w:type="pct"/>
        <w:tblCellMar>
          <w:top w:w="15" w:type="dxa"/>
          <w:left w:w="15" w:type="dxa"/>
          <w:bottom w:w="15" w:type="dxa"/>
          <w:right w:w="15" w:type="dxa"/>
        </w:tblCellMar>
        <w:tblLook w:val="04A0" w:firstRow="1" w:lastRow="0" w:firstColumn="1" w:lastColumn="0" w:noHBand="0" w:noVBand="1"/>
      </w:tblPr>
      <w:tblGrid>
        <w:gridCol w:w="40"/>
        <w:gridCol w:w="1605"/>
        <w:gridCol w:w="39"/>
        <w:gridCol w:w="115"/>
        <w:gridCol w:w="568"/>
        <w:gridCol w:w="36"/>
        <w:gridCol w:w="115"/>
        <w:gridCol w:w="568"/>
        <w:gridCol w:w="36"/>
        <w:gridCol w:w="76"/>
        <w:gridCol w:w="561"/>
        <w:gridCol w:w="172"/>
        <w:gridCol w:w="102"/>
        <w:gridCol w:w="751"/>
        <w:gridCol w:w="172"/>
        <w:gridCol w:w="36"/>
        <w:gridCol w:w="36"/>
        <w:gridCol w:w="36"/>
        <w:gridCol w:w="115"/>
        <w:gridCol w:w="568"/>
        <w:gridCol w:w="36"/>
        <w:gridCol w:w="115"/>
        <w:gridCol w:w="568"/>
        <w:gridCol w:w="36"/>
        <w:gridCol w:w="76"/>
        <w:gridCol w:w="561"/>
        <w:gridCol w:w="172"/>
        <w:gridCol w:w="101"/>
        <w:gridCol w:w="752"/>
        <w:gridCol w:w="172"/>
      </w:tblGrid>
      <w:tr w:rsidR="008E7A10" w14:paraId="746F14CA" w14:textId="77777777">
        <w:tc>
          <w:tcPr>
            <w:tcW w:w="50" w:type="pct"/>
            <w:shd w:val="clear" w:color="auto" w:fill="auto"/>
          </w:tcPr>
          <w:p w14:paraId="746F14AC" w14:textId="77777777" w:rsidR="008E7A10" w:rsidRDefault="008E7A10">
            <w:pPr>
              <w:rPr>
                <w:rFonts w:ascii="宋体"/>
              </w:rPr>
            </w:pPr>
          </w:p>
        </w:tc>
        <w:tc>
          <w:tcPr>
            <w:tcW w:w="1484" w:type="pct"/>
            <w:shd w:val="clear" w:color="auto" w:fill="auto"/>
          </w:tcPr>
          <w:p w14:paraId="746F14AD" w14:textId="77777777" w:rsidR="008E7A10" w:rsidRDefault="008E7A10">
            <w:pPr>
              <w:rPr>
                <w:rFonts w:ascii="宋体"/>
              </w:rPr>
            </w:pPr>
          </w:p>
        </w:tc>
        <w:tc>
          <w:tcPr>
            <w:tcW w:w="5" w:type="pct"/>
            <w:shd w:val="clear" w:color="auto" w:fill="auto"/>
          </w:tcPr>
          <w:p w14:paraId="746F14AE" w14:textId="77777777" w:rsidR="008E7A10" w:rsidRDefault="008E7A10">
            <w:pPr>
              <w:rPr>
                <w:rFonts w:ascii="宋体"/>
              </w:rPr>
            </w:pPr>
          </w:p>
        </w:tc>
        <w:tc>
          <w:tcPr>
            <w:tcW w:w="50" w:type="pct"/>
            <w:shd w:val="clear" w:color="auto" w:fill="auto"/>
          </w:tcPr>
          <w:p w14:paraId="746F14AF" w14:textId="77777777" w:rsidR="008E7A10" w:rsidRDefault="008E7A10">
            <w:pPr>
              <w:rPr>
                <w:rFonts w:ascii="宋体"/>
              </w:rPr>
            </w:pPr>
          </w:p>
        </w:tc>
        <w:tc>
          <w:tcPr>
            <w:tcW w:w="372" w:type="pct"/>
            <w:shd w:val="clear" w:color="auto" w:fill="auto"/>
          </w:tcPr>
          <w:p w14:paraId="746F14B0" w14:textId="77777777" w:rsidR="008E7A10" w:rsidRDefault="008E7A10">
            <w:pPr>
              <w:rPr>
                <w:rFonts w:ascii="宋体"/>
              </w:rPr>
            </w:pPr>
          </w:p>
        </w:tc>
        <w:tc>
          <w:tcPr>
            <w:tcW w:w="5" w:type="pct"/>
            <w:shd w:val="clear" w:color="auto" w:fill="auto"/>
          </w:tcPr>
          <w:p w14:paraId="746F14B1" w14:textId="77777777" w:rsidR="008E7A10" w:rsidRDefault="008E7A10">
            <w:pPr>
              <w:rPr>
                <w:rFonts w:ascii="宋体"/>
              </w:rPr>
            </w:pPr>
          </w:p>
        </w:tc>
        <w:tc>
          <w:tcPr>
            <w:tcW w:w="50" w:type="pct"/>
            <w:shd w:val="clear" w:color="auto" w:fill="auto"/>
          </w:tcPr>
          <w:p w14:paraId="746F14B2" w14:textId="77777777" w:rsidR="008E7A10" w:rsidRDefault="008E7A10">
            <w:pPr>
              <w:rPr>
                <w:rFonts w:ascii="宋体"/>
              </w:rPr>
            </w:pPr>
          </w:p>
        </w:tc>
        <w:tc>
          <w:tcPr>
            <w:tcW w:w="372" w:type="pct"/>
            <w:shd w:val="clear" w:color="auto" w:fill="auto"/>
          </w:tcPr>
          <w:p w14:paraId="746F14B3" w14:textId="77777777" w:rsidR="008E7A10" w:rsidRDefault="008E7A10">
            <w:pPr>
              <w:rPr>
                <w:rFonts w:ascii="宋体"/>
              </w:rPr>
            </w:pPr>
          </w:p>
        </w:tc>
        <w:tc>
          <w:tcPr>
            <w:tcW w:w="5" w:type="pct"/>
            <w:shd w:val="clear" w:color="auto" w:fill="auto"/>
          </w:tcPr>
          <w:p w14:paraId="746F14B4" w14:textId="77777777" w:rsidR="008E7A10" w:rsidRDefault="008E7A10">
            <w:pPr>
              <w:rPr>
                <w:rFonts w:ascii="宋体"/>
              </w:rPr>
            </w:pPr>
          </w:p>
        </w:tc>
        <w:tc>
          <w:tcPr>
            <w:tcW w:w="50" w:type="pct"/>
            <w:shd w:val="clear" w:color="auto" w:fill="auto"/>
          </w:tcPr>
          <w:p w14:paraId="746F14B5" w14:textId="77777777" w:rsidR="008E7A10" w:rsidRDefault="008E7A10">
            <w:pPr>
              <w:rPr>
                <w:rFonts w:ascii="宋体"/>
              </w:rPr>
            </w:pPr>
          </w:p>
        </w:tc>
        <w:tc>
          <w:tcPr>
            <w:tcW w:w="372" w:type="pct"/>
            <w:shd w:val="clear" w:color="auto" w:fill="auto"/>
          </w:tcPr>
          <w:p w14:paraId="746F14B6" w14:textId="77777777" w:rsidR="008E7A10" w:rsidRDefault="008E7A10">
            <w:pPr>
              <w:rPr>
                <w:rFonts w:ascii="宋体"/>
              </w:rPr>
            </w:pPr>
          </w:p>
        </w:tc>
        <w:tc>
          <w:tcPr>
            <w:tcW w:w="5" w:type="pct"/>
            <w:shd w:val="clear" w:color="auto" w:fill="auto"/>
          </w:tcPr>
          <w:p w14:paraId="746F14B7" w14:textId="77777777" w:rsidR="008E7A10" w:rsidRDefault="008E7A10">
            <w:pPr>
              <w:rPr>
                <w:rFonts w:ascii="宋体"/>
              </w:rPr>
            </w:pPr>
          </w:p>
        </w:tc>
        <w:tc>
          <w:tcPr>
            <w:tcW w:w="50" w:type="pct"/>
            <w:shd w:val="clear" w:color="auto" w:fill="auto"/>
          </w:tcPr>
          <w:p w14:paraId="746F14B8" w14:textId="77777777" w:rsidR="008E7A10" w:rsidRDefault="008E7A10">
            <w:pPr>
              <w:rPr>
                <w:rFonts w:ascii="宋体"/>
              </w:rPr>
            </w:pPr>
          </w:p>
        </w:tc>
        <w:tc>
          <w:tcPr>
            <w:tcW w:w="372" w:type="pct"/>
            <w:shd w:val="clear" w:color="auto" w:fill="auto"/>
          </w:tcPr>
          <w:p w14:paraId="746F14B9" w14:textId="77777777" w:rsidR="008E7A10" w:rsidRDefault="008E7A10">
            <w:pPr>
              <w:rPr>
                <w:rFonts w:ascii="宋体"/>
              </w:rPr>
            </w:pPr>
          </w:p>
        </w:tc>
        <w:tc>
          <w:tcPr>
            <w:tcW w:w="5" w:type="pct"/>
            <w:shd w:val="clear" w:color="auto" w:fill="auto"/>
          </w:tcPr>
          <w:p w14:paraId="746F14BA" w14:textId="77777777" w:rsidR="008E7A10" w:rsidRDefault="008E7A10">
            <w:pPr>
              <w:rPr>
                <w:rFonts w:ascii="宋体"/>
              </w:rPr>
            </w:pPr>
          </w:p>
        </w:tc>
        <w:tc>
          <w:tcPr>
            <w:tcW w:w="5" w:type="pct"/>
            <w:shd w:val="clear" w:color="auto" w:fill="auto"/>
          </w:tcPr>
          <w:p w14:paraId="746F14BB" w14:textId="77777777" w:rsidR="008E7A10" w:rsidRDefault="008E7A10">
            <w:pPr>
              <w:rPr>
                <w:rFonts w:ascii="宋体"/>
              </w:rPr>
            </w:pPr>
          </w:p>
        </w:tc>
        <w:tc>
          <w:tcPr>
            <w:tcW w:w="27" w:type="pct"/>
            <w:shd w:val="clear" w:color="auto" w:fill="auto"/>
          </w:tcPr>
          <w:p w14:paraId="746F14BC" w14:textId="77777777" w:rsidR="008E7A10" w:rsidRDefault="008E7A10">
            <w:pPr>
              <w:rPr>
                <w:rFonts w:ascii="宋体"/>
              </w:rPr>
            </w:pPr>
          </w:p>
        </w:tc>
        <w:tc>
          <w:tcPr>
            <w:tcW w:w="5" w:type="pct"/>
            <w:shd w:val="clear" w:color="auto" w:fill="auto"/>
          </w:tcPr>
          <w:p w14:paraId="746F14BD" w14:textId="77777777" w:rsidR="008E7A10" w:rsidRDefault="008E7A10">
            <w:pPr>
              <w:rPr>
                <w:rFonts w:ascii="宋体"/>
              </w:rPr>
            </w:pPr>
          </w:p>
        </w:tc>
        <w:tc>
          <w:tcPr>
            <w:tcW w:w="50" w:type="pct"/>
            <w:shd w:val="clear" w:color="auto" w:fill="auto"/>
          </w:tcPr>
          <w:p w14:paraId="746F14BE" w14:textId="77777777" w:rsidR="008E7A10" w:rsidRDefault="008E7A10">
            <w:pPr>
              <w:rPr>
                <w:rFonts w:ascii="宋体"/>
              </w:rPr>
            </w:pPr>
          </w:p>
        </w:tc>
        <w:tc>
          <w:tcPr>
            <w:tcW w:w="372" w:type="pct"/>
            <w:shd w:val="clear" w:color="auto" w:fill="auto"/>
          </w:tcPr>
          <w:p w14:paraId="746F14BF" w14:textId="77777777" w:rsidR="008E7A10" w:rsidRDefault="008E7A10">
            <w:pPr>
              <w:rPr>
                <w:rFonts w:ascii="宋体"/>
              </w:rPr>
            </w:pPr>
          </w:p>
        </w:tc>
        <w:tc>
          <w:tcPr>
            <w:tcW w:w="5" w:type="pct"/>
            <w:shd w:val="clear" w:color="auto" w:fill="auto"/>
          </w:tcPr>
          <w:p w14:paraId="746F14C0" w14:textId="77777777" w:rsidR="008E7A10" w:rsidRDefault="008E7A10">
            <w:pPr>
              <w:rPr>
                <w:rFonts w:ascii="宋体"/>
              </w:rPr>
            </w:pPr>
          </w:p>
        </w:tc>
        <w:tc>
          <w:tcPr>
            <w:tcW w:w="50" w:type="pct"/>
            <w:shd w:val="clear" w:color="auto" w:fill="auto"/>
          </w:tcPr>
          <w:p w14:paraId="746F14C1" w14:textId="77777777" w:rsidR="008E7A10" w:rsidRDefault="008E7A10">
            <w:pPr>
              <w:rPr>
                <w:rFonts w:ascii="宋体"/>
              </w:rPr>
            </w:pPr>
          </w:p>
        </w:tc>
        <w:tc>
          <w:tcPr>
            <w:tcW w:w="372" w:type="pct"/>
            <w:shd w:val="clear" w:color="auto" w:fill="auto"/>
          </w:tcPr>
          <w:p w14:paraId="746F14C2" w14:textId="77777777" w:rsidR="008E7A10" w:rsidRDefault="008E7A10">
            <w:pPr>
              <w:rPr>
                <w:rFonts w:ascii="宋体"/>
              </w:rPr>
            </w:pPr>
          </w:p>
        </w:tc>
        <w:tc>
          <w:tcPr>
            <w:tcW w:w="5" w:type="pct"/>
            <w:shd w:val="clear" w:color="auto" w:fill="auto"/>
          </w:tcPr>
          <w:p w14:paraId="746F14C3" w14:textId="77777777" w:rsidR="008E7A10" w:rsidRDefault="008E7A10">
            <w:pPr>
              <w:rPr>
                <w:rFonts w:ascii="宋体"/>
              </w:rPr>
            </w:pPr>
          </w:p>
        </w:tc>
        <w:tc>
          <w:tcPr>
            <w:tcW w:w="50" w:type="pct"/>
            <w:shd w:val="clear" w:color="auto" w:fill="auto"/>
          </w:tcPr>
          <w:p w14:paraId="746F14C4" w14:textId="77777777" w:rsidR="008E7A10" w:rsidRDefault="008E7A10">
            <w:pPr>
              <w:rPr>
                <w:rFonts w:ascii="宋体"/>
              </w:rPr>
            </w:pPr>
          </w:p>
        </w:tc>
        <w:tc>
          <w:tcPr>
            <w:tcW w:w="372" w:type="pct"/>
            <w:shd w:val="clear" w:color="auto" w:fill="auto"/>
          </w:tcPr>
          <w:p w14:paraId="746F14C5" w14:textId="77777777" w:rsidR="008E7A10" w:rsidRDefault="008E7A10">
            <w:pPr>
              <w:rPr>
                <w:rFonts w:ascii="宋体"/>
              </w:rPr>
            </w:pPr>
          </w:p>
        </w:tc>
        <w:tc>
          <w:tcPr>
            <w:tcW w:w="5" w:type="pct"/>
            <w:shd w:val="clear" w:color="auto" w:fill="auto"/>
          </w:tcPr>
          <w:p w14:paraId="746F14C6" w14:textId="77777777" w:rsidR="008E7A10" w:rsidRDefault="008E7A10">
            <w:pPr>
              <w:rPr>
                <w:rFonts w:ascii="宋体"/>
              </w:rPr>
            </w:pPr>
          </w:p>
        </w:tc>
        <w:tc>
          <w:tcPr>
            <w:tcW w:w="50" w:type="pct"/>
            <w:shd w:val="clear" w:color="auto" w:fill="auto"/>
          </w:tcPr>
          <w:p w14:paraId="746F14C7" w14:textId="77777777" w:rsidR="008E7A10" w:rsidRDefault="008E7A10">
            <w:pPr>
              <w:rPr>
                <w:rFonts w:ascii="宋体"/>
              </w:rPr>
            </w:pPr>
          </w:p>
        </w:tc>
        <w:tc>
          <w:tcPr>
            <w:tcW w:w="373" w:type="pct"/>
            <w:shd w:val="clear" w:color="auto" w:fill="auto"/>
          </w:tcPr>
          <w:p w14:paraId="746F14C8" w14:textId="77777777" w:rsidR="008E7A10" w:rsidRDefault="008E7A10">
            <w:pPr>
              <w:rPr>
                <w:rFonts w:ascii="宋体"/>
              </w:rPr>
            </w:pPr>
          </w:p>
        </w:tc>
        <w:tc>
          <w:tcPr>
            <w:tcW w:w="5" w:type="pct"/>
            <w:shd w:val="clear" w:color="auto" w:fill="auto"/>
          </w:tcPr>
          <w:p w14:paraId="746F14C9" w14:textId="77777777" w:rsidR="008E7A10" w:rsidRDefault="008E7A10">
            <w:pPr>
              <w:rPr>
                <w:rFonts w:ascii="宋体"/>
              </w:rPr>
            </w:pPr>
          </w:p>
        </w:tc>
      </w:tr>
      <w:tr w:rsidR="008E7A10" w14:paraId="746F14CF" w14:textId="77777777">
        <w:tc>
          <w:tcPr>
            <w:tcW w:w="0" w:type="auto"/>
            <w:gridSpan w:val="3"/>
            <w:shd w:val="clear" w:color="auto" w:fill="auto"/>
            <w:tcMar>
              <w:top w:w="0" w:type="dxa"/>
              <w:left w:w="20" w:type="dxa"/>
              <w:bottom w:w="0" w:type="dxa"/>
              <w:right w:w="20" w:type="dxa"/>
            </w:tcMar>
          </w:tcPr>
          <w:p w14:paraId="746F14CB"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4CC"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4CD"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4CE"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4DA" w14:textId="77777777">
        <w:tc>
          <w:tcPr>
            <w:tcW w:w="0" w:type="auto"/>
            <w:gridSpan w:val="3"/>
            <w:shd w:val="clear" w:color="auto" w:fill="auto"/>
            <w:tcMar>
              <w:top w:w="40" w:type="dxa"/>
              <w:left w:w="20" w:type="dxa"/>
              <w:bottom w:w="40" w:type="dxa"/>
              <w:right w:w="20" w:type="dxa"/>
            </w:tcMar>
            <w:vAlign w:val="bottom"/>
          </w:tcPr>
          <w:p w14:paraId="746F14D0"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4D1"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4D2"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4D3"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4D4" w14:textId="77777777" w:rsidR="008E7A10" w:rsidRDefault="00E047B2">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tcPr>
          <w:p w14:paraId="746F14D5"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4D6"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4D7"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4D8"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4D9" w14:textId="77777777" w:rsidR="008E7A10" w:rsidRDefault="00E047B2">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r>
      <w:tr w:rsidR="008E7A10" w14:paraId="746F14E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4DB" w14:textId="77777777" w:rsidR="008E7A10" w:rsidRDefault="00E047B2">
            <w:pPr>
              <w:textAlignment w:val="bottom"/>
            </w:pPr>
            <w:r>
              <w:rPr>
                <w:rFonts w:ascii="Arial" w:eastAsia="宋体" w:hAnsi="Arial" w:cs="Arial"/>
                <w:b/>
                <w:bCs/>
                <w:i/>
                <w:iCs/>
                <w:color w:val="000000"/>
                <w:sz w:val="17"/>
                <w:szCs w:val="17"/>
              </w:rPr>
              <w:t>NIKE, Inc. Revenues:</w:t>
            </w:r>
          </w:p>
        </w:tc>
        <w:tc>
          <w:tcPr>
            <w:tcW w:w="0" w:type="auto"/>
            <w:gridSpan w:val="3"/>
            <w:tcBorders>
              <w:top w:val="single" w:sz="8" w:space="0" w:color="E87722"/>
            </w:tcBorders>
            <w:shd w:val="clear" w:color="auto" w:fill="FFF1E7"/>
            <w:tcMar>
              <w:top w:w="0" w:type="dxa"/>
              <w:left w:w="20" w:type="dxa"/>
              <w:bottom w:w="0" w:type="dxa"/>
              <w:right w:w="20" w:type="dxa"/>
            </w:tcMar>
          </w:tcPr>
          <w:p w14:paraId="746F14D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4D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4D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4D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4E0"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4E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4E2"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4E3"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4E4" w14:textId="77777777" w:rsidR="008E7A10" w:rsidRDefault="008E7A10">
            <w:pPr>
              <w:rPr>
                <w:rFonts w:ascii="宋体"/>
              </w:rPr>
            </w:pPr>
          </w:p>
        </w:tc>
      </w:tr>
      <w:tr w:rsidR="008E7A10" w14:paraId="746F14F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4E6" w14:textId="77777777" w:rsidR="008E7A10" w:rsidRDefault="00E047B2">
            <w:pPr>
              <w:textAlignment w:val="bottom"/>
            </w:pPr>
            <w:r>
              <w:rPr>
                <w:rFonts w:ascii="Arial" w:eastAsia="宋体" w:hAnsi="Arial" w:cs="Arial"/>
                <w:b/>
                <w:bCs/>
                <w:color w:val="000000"/>
                <w:sz w:val="17"/>
                <w:szCs w:val="17"/>
              </w:rPr>
              <w:t>NIKE Brand Revenues by:</w:t>
            </w:r>
          </w:p>
        </w:tc>
        <w:tc>
          <w:tcPr>
            <w:tcW w:w="0" w:type="auto"/>
            <w:gridSpan w:val="3"/>
            <w:tcBorders>
              <w:top w:val="single" w:sz="8" w:space="0" w:color="808080"/>
            </w:tcBorders>
            <w:shd w:val="clear" w:color="auto" w:fill="FFF1E7"/>
            <w:tcMar>
              <w:top w:w="0" w:type="dxa"/>
              <w:left w:w="20" w:type="dxa"/>
              <w:bottom w:w="0" w:type="dxa"/>
              <w:right w:w="20" w:type="dxa"/>
            </w:tcMar>
          </w:tcPr>
          <w:p w14:paraId="746F14E7"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4E8"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4E9"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4EA"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4EB"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14EC"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4ED"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4EE"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4EF" w14:textId="77777777" w:rsidR="008E7A10" w:rsidRDefault="008E7A10">
            <w:pPr>
              <w:rPr>
                <w:rFonts w:ascii="宋体"/>
              </w:rPr>
            </w:pPr>
          </w:p>
        </w:tc>
      </w:tr>
      <w:tr w:rsidR="008E7A10" w14:paraId="746F150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4F1" w14:textId="77777777" w:rsidR="008E7A10" w:rsidRDefault="00E047B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4F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4F3" w14:textId="77777777" w:rsidR="008E7A10" w:rsidRDefault="00E047B2">
            <w:pPr>
              <w:jc w:val="right"/>
              <w:textAlignment w:val="bottom"/>
            </w:pPr>
            <w:r>
              <w:rPr>
                <w:rFonts w:ascii="Arial" w:eastAsia="宋体" w:hAnsi="Arial" w:cs="Arial"/>
                <w:color w:val="000000"/>
                <w:sz w:val="17"/>
                <w:szCs w:val="17"/>
              </w:rPr>
              <w:t>6,801 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4F4"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4F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4F6" w14:textId="77777777" w:rsidR="008E7A10" w:rsidRDefault="00E047B2">
            <w:pPr>
              <w:jc w:val="right"/>
              <w:textAlignment w:val="bottom"/>
            </w:pPr>
            <w:r>
              <w:rPr>
                <w:rFonts w:ascii="Arial" w:eastAsia="宋体" w:hAnsi="Arial" w:cs="Arial"/>
                <w:color w:val="000000"/>
                <w:sz w:val="17"/>
                <w:szCs w:val="17"/>
              </w:rPr>
              <w:t>6,206 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4F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4F8"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4F9"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4FA"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4FB"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4FC"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4F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4FE" w14:textId="77777777" w:rsidR="008E7A10" w:rsidRDefault="00E047B2">
            <w:pPr>
              <w:jc w:val="right"/>
              <w:textAlignment w:val="bottom"/>
            </w:pPr>
            <w:r>
              <w:rPr>
                <w:rFonts w:ascii="Arial" w:eastAsia="宋体" w:hAnsi="Arial" w:cs="Arial"/>
                <w:color w:val="000000"/>
                <w:sz w:val="17"/>
                <w:szCs w:val="17"/>
              </w:rPr>
              <w:t>13,569 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4FF"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50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501" w14:textId="77777777" w:rsidR="008E7A10" w:rsidRDefault="00E047B2">
            <w:pPr>
              <w:jc w:val="right"/>
              <w:textAlignment w:val="bottom"/>
            </w:pPr>
            <w:r>
              <w:rPr>
                <w:rFonts w:ascii="Arial" w:eastAsia="宋体" w:hAnsi="Arial" w:cs="Arial"/>
                <w:color w:val="000000"/>
                <w:sz w:val="17"/>
                <w:szCs w:val="17"/>
              </w:rPr>
              <w:t>12,727 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0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03"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04"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05"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06" w14:textId="77777777" w:rsidR="008E7A10" w:rsidRDefault="00E047B2">
            <w:pPr>
              <w:jc w:val="right"/>
              <w:textAlignment w:val="bottom"/>
            </w:pPr>
            <w:r>
              <w:rPr>
                <w:rFonts w:ascii="Arial" w:eastAsia="宋体" w:hAnsi="Arial" w:cs="Arial"/>
                <w:color w:val="000000"/>
                <w:sz w:val="17"/>
                <w:szCs w:val="17"/>
              </w:rPr>
              <w:t>%</w:t>
            </w:r>
          </w:p>
        </w:tc>
      </w:tr>
      <w:tr w:rsidR="008E7A10" w14:paraId="746F151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508" w14:textId="77777777" w:rsidR="008E7A10" w:rsidRDefault="00E047B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09" w14:textId="77777777" w:rsidR="008E7A10" w:rsidRDefault="00E047B2">
            <w:pPr>
              <w:jc w:val="right"/>
              <w:textAlignment w:val="bottom"/>
            </w:pPr>
            <w:r>
              <w:rPr>
                <w:rFonts w:ascii="Arial" w:eastAsia="宋体" w:hAnsi="Arial" w:cs="Arial"/>
                <w:color w:val="000000"/>
                <w:sz w:val="17"/>
                <w:szCs w:val="17"/>
              </w:rPr>
              <w:t>3,585 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0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0B" w14:textId="77777777" w:rsidR="008E7A10" w:rsidRDefault="00E047B2">
            <w:pPr>
              <w:jc w:val="right"/>
              <w:textAlignment w:val="bottom"/>
            </w:pPr>
            <w:r>
              <w:rPr>
                <w:rFonts w:ascii="Arial" w:eastAsia="宋体" w:hAnsi="Arial" w:cs="Arial"/>
                <w:color w:val="000000"/>
                <w:sz w:val="17"/>
                <w:szCs w:val="17"/>
              </w:rPr>
              <w:t>3,287 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0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0D"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0E"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0F"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10"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511"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12" w14:textId="77777777" w:rsidR="008E7A10" w:rsidRDefault="00E047B2">
            <w:pPr>
              <w:jc w:val="right"/>
              <w:textAlignment w:val="bottom"/>
            </w:pPr>
            <w:r>
              <w:rPr>
                <w:rFonts w:ascii="Arial" w:eastAsia="宋体" w:hAnsi="Arial" w:cs="Arial"/>
                <w:color w:val="000000"/>
                <w:sz w:val="17"/>
                <w:szCs w:val="17"/>
              </w:rPr>
              <w:t>6,460 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1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14" w14:textId="77777777" w:rsidR="008E7A10" w:rsidRDefault="00E047B2">
            <w:pPr>
              <w:jc w:val="right"/>
              <w:textAlignment w:val="bottom"/>
            </w:pPr>
            <w:r>
              <w:rPr>
                <w:rFonts w:ascii="Arial" w:eastAsia="宋体" w:hAnsi="Arial" w:cs="Arial"/>
                <w:color w:val="000000"/>
                <w:sz w:val="17"/>
                <w:szCs w:val="17"/>
              </w:rPr>
              <w:t>6,408 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1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16"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17"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18" w14:textId="77777777" w:rsidR="008E7A10" w:rsidRDefault="00E047B2">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19" w14:textId="77777777" w:rsidR="008E7A10" w:rsidRDefault="00E047B2">
            <w:pPr>
              <w:jc w:val="right"/>
              <w:textAlignment w:val="bottom"/>
            </w:pPr>
            <w:r>
              <w:rPr>
                <w:rFonts w:ascii="Arial" w:eastAsia="宋体" w:hAnsi="Arial" w:cs="Arial"/>
                <w:color w:val="000000"/>
                <w:sz w:val="17"/>
                <w:szCs w:val="17"/>
              </w:rPr>
              <w:t>%</w:t>
            </w:r>
          </w:p>
        </w:tc>
      </w:tr>
      <w:tr w:rsidR="008E7A10" w14:paraId="746F152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51B" w14:textId="77777777" w:rsidR="008E7A10" w:rsidRDefault="00E047B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1C" w14:textId="77777777" w:rsidR="008E7A10" w:rsidRDefault="00E047B2">
            <w:pPr>
              <w:jc w:val="right"/>
              <w:textAlignment w:val="bottom"/>
            </w:pPr>
            <w:r>
              <w:rPr>
                <w:rFonts w:ascii="Arial" w:eastAsia="宋体" w:hAnsi="Arial" w:cs="Arial"/>
                <w:color w:val="000000"/>
                <w:sz w:val="17"/>
                <w:szCs w:val="17"/>
              </w:rPr>
              <w:t>347 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1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1E" w14:textId="77777777" w:rsidR="008E7A10" w:rsidRDefault="00E047B2">
            <w:pPr>
              <w:jc w:val="right"/>
              <w:textAlignment w:val="bottom"/>
            </w:pPr>
            <w:r>
              <w:rPr>
                <w:rFonts w:ascii="Arial" w:eastAsia="宋体" w:hAnsi="Arial" w:cs="Arial"/>
                <w:color w:val="000000"/>
                <w:sz w:val="17"/>
                <w:szCs w:val="17"/>
              </w:rPr>
              <w:t>341 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1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20"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21"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22"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23"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524"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25" w14:textId="77777777" w:rsidR="008E7A10" w:rsidRDefault="00E047B2">
            <w:pPr>
              <w:jc w:val="right"/>
              <w:textAlignment w:val="bottom"/>
            </w:pPr>
            <w:r>
              <w:rPr>
                <w:rFonts w:ascii="Arial" w:eastAsia="宋体" w:hAnsi="Arial" w:cs="Arial"/>
                <w:color w:val="000000"/>
                <w:sz w:val="17"/>
                <w:szCs w:val="17"/>
              </w:rPr>
              <w:t>718 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2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27" w14:textId="77777777" w:rsidR="008E7A10" w:rsidRDefault="00E047B2">
            <w:pPr>
              <w:jc w:val="right"/>
              <w:textAlignment w:val="bottom"/>
            </w:pPr>
            <w:r>
              <w:rPr>
                <w:rFonts w:ascii="Arial" w:eastAsia="宋体" w:hAnsi="Arial" w:cs="Arial"/>
                <w:color w:val="000000"/>
                <w:sz w:val="17"/>
                <w:szCs w:val="17"/>
              </w:rPr>
              <w:t>789 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2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29"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2A"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2B"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2C" w14:textId="77777777" w:rsidR="008E7A10" w:rsidRDefault="00E047B2">
            <w:pPr>
              <w:jc w:val="right"/>
              <w:textAlignment w:val="bottom"/>
            </w:pPr>
            <w:r>
              <w:rPr>
                <w:rFonts w:ascii="Arial" w:eastAsia="宋体" w:hAnsi="Arial" w:cs="Arial"/>
                <w:color w:val="000000"/>
                <w:sz w:val="17"/>
                <w:szCs w:val="17"/>
              </w:rPr>
              <w:t>%</w:t>
            </w:r>
          </w:p>
        </w:tc>
      </w:tr>
      <w:tr w:rsidR="008E7A10" w14:paraId="746F154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52E" w14:textId="77777777" w:rsidR="008E7A10" w:rsidRDefault="00E047B2">
            <w:pPr>
              <w:textAlignment w:val="bottom"/>
            </w:pPr>
            <w:r>
              <w:rPr>
                <w:rFonts w:ascii="Arial" w:eastAsia="宋体" w:hAnsi="Arial" w:cs="Arial"/>
                <w:color w:val="000000"/>
                <w:sz w:val="17"/>
                <w:szCs w:val="17"/>
              </w:rPr>
              <w:t>Global Brand Divisions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2F"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3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31"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3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33" w14:textId="77777777" w:rsidR="008E7A10" w:rsidRDefault="00E047B2">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34"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35" w14:textId="77777777" w:rsidR="008E7A10" w:rsidRDefault="00E047B2">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36"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537"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38"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3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3A"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3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3C" w14:textId="77777777" w:rsidR="008E7A10" w:rsidRDefault="00E047B2">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3D"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3E" w14:textId="77777777" w:rsidR="008E7A10" w:rsidRDefault="00E047B2">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3F" w14:textId="77777777" w:rsidR="008E7A10" w:rsidRDefault="00E047B2">
            <w:pPr>
              <w:jc w:val="right"/>
              <w:textAlignment w:val="bottom"/>
            </w:pPr>
            <w:r>
              <w:rPr>
                <w:rFonts w:ascii="Arial" w:eastAsia="宋体" w:hAnsi="Arial" w:cs="Arial"/>
                <w:color w:val="000000"/>
                <w:sz w:val="17"/>
                <w:szCs w:val="17"/>
              </w:rPr>
              <w:t>%</w:t>
            </w:r>
          </w:p>
        </w:tc>
      </w:tr>
      <w:tr w:rsidR="008E7A10" w14:paraId="746F155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541" w14:textId="77777777" w:rsidR="008E7A10" w:rsidRDefault="00E047B2">
            <w:pPr>
              <w:textAlignment w:val="bottom"/>
            </w:pPr>
            <w:r>
              <w:rPr>
                <w:rFonts w:ascii="Arial" w:eastAsia="宋体" w:hAnsi="Arial" w:cs="Arial"/>
                <w:b/>
                <w:bCs/>
                <w:color w:val="000000"/>
                <w:sz w:val="17"/>
                <w:szCs w:val="17"/>
              </w:rPr>
              <w:t>Total NIKE Brand Revenues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542" w14:textId="77777777" w:rsidR="008E7A10" w:rsidRDefault="00E047B2">
            <w:pPr>
              <w:jc w:val="right"/>
              <w:textAlignment w:val="bottom"/>
            </w:pPr>
            <w:r>
              <w:rPr>
                <w:rFonts w:ascii="Arial" w:eastAsia="宋体" w:hAnsi="Arial" w:cs="Arial"/>
                <w:b/>
                <w:bCs/>
                <w:color w:val="000000"/>
                <w:sz w:val="17"/>
                <w:szCs w:val="17"/>
              </w:rPr>
              <w:t>10,741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543"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44" w14:textId="77777777" w:rsidR="008E7A10" w:rsidRDefault="00E047B2">
            <w:pPr>
              <w:jc w:val="right"/>
              <w:textAlignment w:val="bottom"/>
            </w:pPr>
            <w:r>
              <w:rPr>
                <w:rFonts w:ascii="Arial" w:eastAsia="宋体" w:hAnsi="Arial" w:cs="Arial"/>
                <w:b/>
                <w:bCs/>
                <w:color w:val="000000"/>
                <w:sz w:val="17"/>
                <w:szCs w:val="17"/>
              </w:rPr>
              <w:t>9,844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45"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46" w14:textId="77777777" w:rsidR="008E7A10" w:rsidRDefault="00E047B2">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47"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48" w14:textId="77777777" w:rsidR="008E7A10" w:rsidRDefault="00E047B2">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49"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54A"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54B" w14:textId="77777777" w:rsidR="008E7A10" w:rsidRDefault="00E047B2">
            <w:pPr>
              <w:jc w:val="right"/>
              <w:textAlignment w:val="bottom"/>
            </w:pPr>
            <w:r>
              <w:rPr>
                <w:rFonts w:ascii="Arial" w:eastAsia="宋体" w:hAnsi="Arial" w:cs="Arial"/>
                <w:b/>
                <w:bCs/>
                <w:color w:val="000000"/>
                <w:sz w:val="17"/>
                <w:szCs w:val="17"/>
              </w:rPr>
              <w:t>20,759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54C"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4D" w14:textId="77777777" w:rsidR="008E7A10" w:rsidRDefault="00E047B2">
            <w:pPr>
              <w:jc w:val="right"/>
              <w:textAlignment w:val="bottom"/>
            </w:pPr>
            <w:r>
              <w:rPr>
                <w:rFonts w:ascii="Arial" w:eastAsia="宋体" w:hAnsi="Arial" w:cs="Arial"/>
                <w:b/>
                <w:bCs/>
                <w:color w:val="000000"/>
                <w:sz w:val="17"/>
                <w:szCs w:val="17"/>
              </w:rPr>
              <w:t>19,940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4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4F"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50"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51"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52" w14:textId="77777777" w:rsidR="008E7A10" w:rsidRDefault="00E047B2">
            <w:pPr>
              <w:jc w:val="right"/>
              <w:textAlignment w:val="bottom"/>
            </w:pPr>
            <w:r>
              <w:rPr>
                <w:rFonts w:ascii="Arial" w:eastAsia="宋体" w:hAnsi="Arial" w:cs="Arial"/>
                <w:b/>
                <w:bCs/>
                <w:color w:val="000000"/>
                <w:sz w:val="17"/>
                <w:szCs w:val="17"/>
              </w:rPr>
              <w:t>%</w:t>
            </w:r>
          </w:p>
        </w:tc>
      </w:tr>
      <w:tr w:rsidR="008E7A10" w14:paraId="746F1566"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746F1554" w14:textId="77777777" w:rsidR="008E7A10" w:rsidRDefault="00E047B2">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555" w14:textId="77777777" w:rsidR="008E7A10" w:rsidRDefault="00E047B2">
            <w:pPr>
              <w:jc w:val="right"/>
              <w:textAlignment w:val="bottom"/>
            </w:pPr>
            <w:r>
              <w:rPr>
                <w:rFonts w:ascii="Arial" w:eastAsia="宋体" w:hAnsi="Arial" w:cs="Arial"/>
                <w:color w:val="000000"/>
                <w:sz w:val="17"/>
                <w:szCs w:val="17"/>
              </w:rPr>
              <w:t>476 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556"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57" w14:textId="77777777" w:rsidR="008E7A10" w:rsidRDefault="00E047B2">
            <w:pPr>
              <w:jc w:val="right"/>
              <w:textAlignment w:val="bottom"/>
            </w:pPr>
            <w:r>
              <w:rPr>
                <w:rFonts w:ascii="Arial" w:eastAsia="宋体" w:hAnsi="Arial" w:cs="Arial"/>
                <w:color w:val="000000"/>
                <w:sz w:val="17"/>
                <w:szCs w:val="17"/>
              </w:rPr>
              <w:t>480 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58"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59"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5A"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5B"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5C"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55D"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55E" w14:textId="77777777" w:rsidR="008E7A10" w:rsidRDefault="00E047B2">
            <w:pPr>
              <w:jc w:val="right"/>
              <w:textAlignment w:val="bottom"/>
            </w:pPr>
            <w:r>
              <w:rPr>
                <w:rFonts w:ascii="Arial" w:eastAsia="宋体" w:hAnsi="Arial" w:cs="Arial"/>
                <w:color w:val="000000"/>
                <w:sz w:val="17"/>
                <w:szCs w:val="17"/>
              </w:rPr>
              <w:t>1,039 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55F"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60" w14:textId="77777777" w:rsidR="008E7A10" w:rsidRDefault="00E047B2">
            <w:pPr>
              <w:jc w:val="right"/>
              <w:textAlignment w:val="bottom"/>
            </w:pPr>
            <w:r>
              <w:rPr>
                <w:rFonts w:ascii="Arial" w:eastAsia="宋体" w:hAnsi="Arial" w:cs="Arial"/>
                <w:color w:val="000000"/>
                <w:sz w:val="17"/>
                <w:szCs w:val="17"/>
              </w:rPr>
              <w:t>1,035 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61"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62" w14:textId="77777777" w:rsidR="008E7A10" w:rsidRDefault="00E047B2">
            <w:pPr>
              <w:jc w:val="right"/>
              <w:textAlignment w:val="bottom"/>
            </w:pPr>
            <w:r>
              <w:rPr>
                <w:rFonts w:ascii="Arial" w:eastAsia="宋体" w:hAnsi="Arial" w:cs="Arial"/>
                <w:color w:val="000000"/>
                <w:sz w:val="17"/>
                <w:szCs w:val="17"/>
              </w:rPr>
              <w:t>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63"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64"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65" w14:textId="77777777" w:rsidR="008E7A10" w:rsidRDefault="00E047B2">
            <w:pPr>
              <w:jc w:val="right"/>
              <w:textAlignment w:val="bottom"/>
            </w:pPr>
            <w:r>
              <w:rPr>
                <w:rFonts w:ascii="Arial" w:eastAsia="宋体" w:hAnsi="Arial" w:cs="Arial"/>
                <w:color w:val="000000"/>
                <w:sz w:val="17"/>
                <w:szCs w:val="17"/>
              </w:rPr>
              <w:t>%</w:t>
            </w:r>
          </w:p>
        </w:tc>
      </w:tr>
      <w:tr w:rsidR="008E7A10" w14:paraId="746F157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567" w14:textId="77777777" w:rsidR="008E7A10" w:rsidRDefault="00E047B2">
            <w:pPr>
              <w:textAlignment w:val="bottom"/>
            </w:pPr>
            <w:r>
              <w:rPr>
                <w:rFonts w:ascii="Arial" w:eastAsia="宋体" w:hAnsi="Arial" w:cs="Arial"/>
                <w:color w:val="000000"/>
                <w:sz w:val="17"/>
                <w:szCs w:val="17"/>
              </w:rPr>
              <w:t>Corporate</w:t>
            </w:r>
            <w:r>
              <w:rPr>
                <w:rFonts w:ascii="Arial" w:eastAsia="宋体" w:hAnsi="Arial" w:cs="Arial"/>
                <w:color w:val="000000"/>
                <w:sz w:val="9"/>
                <w:szCs w:val="9"/>
              </w:rPr>
              <w:t>(3)</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68" w14:textId="77777777" w:rsidR="008E7A10" w:rsidRDefault="00E047B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6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6A"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6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6C"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6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6E"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6F"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570"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71" w14:textId="77777777" w:rsidR="008E7A10" w:rsidRDefault="00E047B2">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7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73"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7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75"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7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77"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78" w14:textId="77777777" w:rsidR="008E7A10" w:rsidRDefault="008E7A10">
            <w:pPr>
              <w:jc w:val="right"/>
              <w:rPr>
                <w:rFonts w:ascii="宋体"/>
              </w:rPr>
            </w:pPr>
          </w:p>
        </w:tc>
      </w:tr>
      <w:tr w:rsidR="008E7A10" w14:paraId="746F159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57A" w14:textId="77777777" w:rsidR="008E7A10" w:rsidRDefault="00E047B2">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57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57C" w14:textId="77777777" w:rsidR="008E7A10" w:rsidRDefault="00E047B2">
            <w:pPr>
              <w:jc w:val="right"/>
              <w:textAlignment w:val="bottom"/>
            </w:pPr>
            <w:r>
              <w:rPr>
                <w:rFonts w:ascii="Arial" w:eastAsia="宋体" w:hAnsi="Arial" w:cs="Arial"/>
                <w:b/>
                <w:bCs/>
                <w:color w:val="000000"/>
                <w:sz w:val="17"/>
                <w:szCs w:val="17"/>
              </w:rPr>
              <w:t>11,243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57D"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57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57F" w14:textId="77777777" w:rsidR="008E7A10" w:rsidRDefault="00E047B2">
            <w:pPr>
              <w:jc w:val="right"/>
              <w:textAlignment w:val="bottom"/>
            </w:pPr>
            <w:r>
              <w:rPr>
                <w:rFonts w:ascii="Arial" w:eastAsia="宋体" w:hAnsi="Arial" w:cs="Arial"/>
                <w:b/>
                <w:bCs/>
                <w:color w:val="000000"/>
                <w:sz w:val="17"/>
                <w:szCs w:val="17"/>
              </w:rPr>
              <w:t>10,326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80"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81" w14:textId="77777777" w:rsidR="008E7A10" w:rsidRDefault="00E047B2">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82"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83" w14:textId="77777777" w:rsidR="008E7A10" w:rsidRDefault="00E047B2">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84"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585"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58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587" w14:textId="77777777" w:rsidR="008E7A10" w:rsidRDefault="00E047B2">
            <w:pPr>
              <w:jc w:val="right"/>
              <w:textAlignment w:val="bottom"/>
            </w:pPr>
            <w:r>
              <w:rPr>
                <w:rFonts w:ascii="Arial" w:eastAsia="宋体" w:hAnsi="Arial" w:cs="Arial"/>
                <w:b/>
                <w:bCs/>
                <w:color w:val="000000"/>
                <w:sz w:val="17"/>
                <w:szCs w:val="17"/>
              </w:rPr>
              <w:t>21,837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588"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58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58A" w14:textId="77777777" w:rsidR="008E7A10" w:rsidRDefault="00E047B2">
            <w:pPr>
              <w:jc w:val="right"/>
              <w:textAlignment w:val="bottom"/>
            </w:pPr>
            <w:r>
              <w:rPr>
                <w:rFonts w:ascii="Arial" w:eastAsia="宋体" w:hAnsi="Arial" w:cs="Arial"/>
                <w:b/>
                <w:bCs/>
                <w:color w:val="000000"/>
                <w:sz w:val="17"/>
                <w:szCs w:val="17"/>
              </w:rPr>
              <w:t>20,986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8B"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8C"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8D"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58E"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58F" w14:textId="77777777" w:rsidR="008E7A10" w:rsidRDefault="00E047B2">
            <w:pPr>
              <w:jc w:val="right"/>
              <w:textAlignment w:val="bottom"/>
            </w:pPr>
            <w:r>
              <w:rPr>
                <w:rFonts w:ascii="Arial" w:eastAsia="宋体" w:hAnsi="Arial" w:cs="Arial"/>
                <w:b/>
                <w:bCs/>
                <w:color w:val="000000"/>
                <w:sz w:val="17"/>
                <w:szCs w:val="17"/>
              </w:rPr>
              <w:t>%</w:t>
            </w:r>
          </w:p>
        </w:tc>
      </w:tr>
      <w:tr w:rsidR="008E7A10" w14:paraId="746F159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591" w14:textId="77777777" w:rsidR="008E7A10" w:rsidRDefault="00E047B2">
            <w:pPr>
              <w:textAlignment w:val="bottom"/>
            </w:pPr>
            <w:r>
              <w:rPr>
                <w:rFonts w:ascii="Arial" w:eastAsia="宋体" w:hAnsi="Arial" w:cs="Arial"/>
                <w:b/>
                <w:bCs/>
                <w:i/>
                <w:iCs/>
                <w:color w:val="000000"/>
                <w:sz w:val="17"/>
                <w:szCs w:val="17"/>
              </w:rPr>
              <w:t>Supplemental N</w:t>
            </w:r>
            <w:r>
              <w:rPr>
                <w:rFonts w:ascii="Arial" w:eastAsia="宋体" w:hAnsi="Arial" w:cs="Arial"/>
                <w:b/>
                <w:bCs/>
                <w:i/>
                <w:iCs/>
                <w:color w:val="000000"/>
                <w:sz w:val="17"/>
                <w:szCs w:val="17"/>
              </w:rPr>
              <w:t>IKE Brand Revenues Details:</w:t>
            </w:r>
          </w:p>
        </w:tc>
        <w:tc>
          <w:tcPr>
            <w:tcW w:w="0" w:type="auto"/>
            <w:gridSpan w:val="3"/>
            <w:tcBorders>
              <w:top w:val="single" w:sz="8" w:space="0" w:color="E87722"/>
            </w:tcBorders>
            <w:shd w:val="clear" w:color="auto" w:fill="FFF1E7"/>
            <w:tcMar>
              <w:top w:w="0" w:type="dxa"/>
              <w:left w:w="20" w:type="dxa"/>
              <w:bottom w:w="0" w:type="dxa"/>
              <w:right w:w="20" w:type="dxa"/>
            </w:tcMar>
          </w:tcPr>
          <w:p w14:paraId="746F1592"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593"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594"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595"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596"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597"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59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599"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59A" w14:textId="77777777" w:rsidR="008E7A10" w:rsidRDefault="008E7A10">
            <w:pPr>
              <w:rPr>
                <w:rFonts w:ascii="宋体"/>
              </w:rPr>
            </w:pPr>
          </w:p>
        </w:tc>
      </w:tr>
      <w:tr w:rsidR="008E7A10" w14:paraId="746F15A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59C" w14:textId="77777777" w:rsidR="008E7A10" w:rsidRDefault="00E047B2">
            <w:pPr>
              <w:textAlignment w:val="bottom"/>
            </w:pPr>
            <w:r>
              <w:rPr>
                <w:rFonts w:ascii="Arial" w:eastAsia="宋体" w:hAnsi="Arial" w:cs="Arial"/>
                <w:b/>
                <w:bCs/>
                <w:color w:val="000000"/>
                <w:sz w:val="17"/>
                <w:szCs w:val="17"/>
              </w:rPr>
              <w:t>NIKE Brand Revenues by:</w:t>
            </w:r>
          </w:p>
        </w:tc>
        <w:tc>
          <w:tcPr>
            <w:tcW w:w="0" w:type="auto"/>
            <w:gridSpan w:val="3"/>
            <w:tcBorders>
              <w:top w:val="single" w:sz="8" w:space="0" w:color="808080"/>
            </w:tcBorders>
            <w:shd w:val="clear" w:color="auto" w:fill="FFF1E7"/>
            <w:tcMar>
              <w:top w:w="0" w:type="dxa"/>
              <w:left w:w="20" w:type="dxa"/>
              <w:bottom w:w="0" w:type="dxa"/>
              <w:right w:w="20" w:type="dxa"/>
            </w:tcMar>
          </w:tcPr>
          <w:p w14:paraId="746F159D"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59E"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59F"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5A0"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5A1" w14:textId="77777777" w:rsidR="008E7A10" w:rsidRDefault="008E7A10">
            <w:pPr>
              <w:rPr>
                <w:rFonts w:ascii="宋体"/>
              </w:rPr>
            </w:pPr>
          </w:p>
        </w:tc>
        <w:tc>
          <w:tcPr>
            <w:tcW w:w="0" w:type="auto"/>
            <w:gridSpan w:val="3"/>
            <w:tcBorders>
              <w:top w:val="single" w:sz="8" w:space="0" w:color="808080"/>
            </w:tcBorders>
            <w:shd w:val="clear" w:color="auto" w:fill="FFF1E7"/>
            <w:tcMar>
              <w:top w:w="0" w:type="dxa"/>
              <w:left w:w="20" w:type="dxa"/>
              <w:bottom w:w="0" w:type="dxa"/>
              <w:right w:w="20" w:type="dxa"/>
            </w:tcMar>
          </w:tcPr>
          <w:p w14:paraId="746F15A2"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5A3"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5A4" w14:textId="77777777" w:rsidR="008E7A10" w:rsidRDefault="008E7A10">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5A5" w14:textId="77777777" w:rsidR="008E7A10" w:rsidRDefault="008E7A10">
            <w:pPr>
              <w:rPr>
                <w:rFonts w:ascii="宋体"/>
              </w:rPr>
            </w:pPr>
          </w:p>
        </w:tc>
      </w:tr>
      <w:tr w:rsidR="008E7A10" w14:paraId="746F15B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5A7" w14:textId="77777777" w:rsidR="008E7A10" w:rsidRDefault="00E047B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5A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5A9" w14:textId="77777777" w:rsidR="008E7A10" w:rsidRDefault="00E047B2">
            <w:pPr>
              <w:jc w:val="right"/>
              <w:textAlignment w:val="bottom"/>
            </w:pPr>
            <w:r>
              <w:rPr>
                <w:rFonts w:ascii="Arial" w:eastAsia="宋体" w:hAnsi="Arial" w:cs="Arial"/>
                <w:color w:val="000000"/>
                <w:sz w:val="17"/>
                <w:szCs w:val="17"/>
              </w:rPr>
              <w:t>6,423 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AA"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5A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5AC" w14:textId="77777777" w:rsidR="008E7A10" w:rsidRDefault="00E047B2">
            <w:pPr>
              <w:jc w:val="right"/>
              <w:textAlignment w:val="bottom"/>
            </w:pPr>
            <w:r>
              <w:rPr>
                <w:rFonts w:ascii="Arial" w:eastAsia="宋体" w:hAnsi="Arial" w:cs="Arial"/>
                <w:color w:val="000000"/>
                <w:sz w:val="17"/>
                <w:szCs w:val="17"/>
              </w:rPr>
              <w:t>6,578 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A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AE"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AF"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B0"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B1"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5B2"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5B3"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5B4" w14:textId="77777777" w:rsidR="008E7A10" w:rsidRDefault="00E047B2">
            <w:pPr>
              <w:jc w:val="right"/>
              <w:textAlignment w:val="bottom"/>
            </w:pPr>
            <w:r>
              <w:rPr>
                <w:rFonts w:ascii="Arial" w:eastAsia="宋体" w:hAnsi="Arial" w:cs="Arial"/>
                <w:color w:val="000000"/>
                <w:sz w:val="17"/>
                <w:szCs w:val="17"/>
              </w:rPr>
              <w:t>12,787 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B5"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5B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5B7" w14:textId="77777777" w:rsidR="008E7A10" w:rsidRDefault="00E047B2">
            <w:pPr>
              <w:jc w:val="right"/>
              <w:textAlignment w:val="bottom"/>
            </w:pPr>
            <w:r>
              <w:rPr>
                <w:rFonts w:ascii="Arial" w:eastAsia="宋体" w:hAnsi="Arial" w:cs="Arial"/>
                <w:color w:val="000000"/>
                <w:sz w:val="17"/>
                <w:szCs w:val="17"/>
              </w:rPr>
              <w:t>13,420 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B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B9"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BA"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BB"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BC" w14:textId="77777777" w:rsidR="008E7A10" w:rsidRDefault="00E047B2">
            <w:pPr>
              <w:jc w:val="right"/>
              <w:textAlignment w:val="bottom"/>
            </w:pPr>
            <w:r>
              <w:rPr>
                <w:rFonts w:ascii="Arial" w:eastAsia="宋体" w:hAnsi="Arial" w:cs="Arial"/>
                <w:color w:val="000000"/>
                <w:sz w:val="17"/>
                <w:szCs w:val="17"/>
              </w:rPr>
              <w:t>%</w:t>
            </w:r>
          </w:p>
        </w:tc>
      </w:tr>
      <w:tr w:rsidR="008E7A10" w14:paraId="746F15D0"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5BE" w14:textId="77777777" w:rsidR="008E7A10" w:rsidRDefault="00E047B2">
            <w:pPr>
              <w:textAlignment w:val="bottom"/>
            </w:pPr>
            <w:r>
              <w:rPr>
                <w:rFonts w:ascii="Arial" w:eastAsia="宋体" w:hAnsi="Arial" w:cs="Arial"/>
                <w:color w:val="000000"/>
                <w:sz w:val="17"/>
                <w:szCs w:val="17"/>
              </w:rPr>
              <w:t xml:space="preserve">Sales through </w:t>
            </w:r>
            <w:r>
              <w:rPr>
                <w:rFonts w:ascii="Arial" w:eastAsia="宋体" w:hAnsi="Arial" w:cs="Arial"/>
                <w:color w:val="000000"/>
                <w:sz w:val="17"/>
                <w:szCs w:val="17"/>
              </w:rPr>
              <w:t>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BF" w14:textId="77777777" w:rsidR="008E7A10" w:rsidRDefault="00E047B2">
            <w:pPr>
              <w:jc w:val="right"/>
              <w:textAlignment w:val="bottom"/>
            </w:pPr>
            <w:r>
              <w:rPr>
                <w:rFonts w:ascii="Arial" w:eastAsia="宋体" w:hAnsi="Arial" w:cs="Arial"/>
                <w:color w:val="000000"/>
                <w:sz w:val="17"/>
                <w:szCs w:val="17"/>
              </w:rPr>
              <w:t>4,310 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C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C1" w14:textId="77777777" w:rsidR="008E7A10" w:rsidRDefault="00E047B2">
            <w:pPr>
              <w:jc w:val="right"/>
              <w:textAlignment w:val="bottom"/>
            </w:pPr>
            <w:r>
              <w:rPr>
                <w:rFonts w:ascii="Arial" w:eastAsia="宋体" w:hAnsi="Arial" w:cs="Arial"/>
                <w:color w:val="000000"/>
                <w:sz w:val="17"/>
                <w:szCs w:val="17"/>
              </w:rPr>
              <w:t>3,256 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C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C3" w14:textId="77777777" w:rsidR="008E7A10" w:rsidRDefault="00E047B2">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C4"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C5" w14:textId="77777777" w:rsidR="008E7A10" w:rsidRDefault="00E047B2">
            <w:pPr>
              <w:jc w:val="right"/>
              <w:textAlignment w:val="bottom"/>
            </w:pPr>
            <w:r>
              <w:rPr>
                <w:rFonts w:ascii="Arial" w:eastAsia="宋体" w:hAnsi="Arial" w:cs="Arial"/>
                <w:color w:val="000000"/>
                <w:sz w:val="17"/>
                <w:szCs w:val="17"/>
              </w:rPr>
              <w:t>30 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C6"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5C7"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C8" w14:textId="77777777" w:rsidR="008E7A10" w:rsidRDefault="00E047B2">
            <w:pPr>
              <w:jc w:val="right"/>
              <w:textAlignment w:val="bottom"/>
            </w:pPr>
            <w:r>
              <w:rPr>
                <w:rFonts w:ascii="Arial" w:eastAsia="宋体" w:hAnsi="Arial" w:cs="Arial"/>
                <w:color w:val="000000"/>
                <w:sz w:val="17"/>
                <w:szCs w:val="17"/>
              </w:rPr>
              <w:t>7,960 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C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CA" w14:textId="77777777" w:rsidR="008E7A10" w:rsidRDefault="00E047B2">
            <w:pPr>
              <w:jc w:val="right"/>
              <w:textAlignment w:val="bottom"/>
            </w:pPr>
            <w:r>
              <w:rPr>
                <w:rFonts w:ascii="Arial" w:eastAsia="宋体" w:hAnsi="Arial" w:cs="Arial"/>
                <w:color w:val="000000"/>
                <w:sz w:val="17"/>
                <w:szCs w:val="17"/>
              </w:rPr>
              <w:t>6,504 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C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CC" w14:textId="77777777" w:rsidR="008E7A10" w:rsidRDefault="00E047B2">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CD"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CE" w14:textId="77777777" w:rsidR="008E7A10" w:rsidRDefault="00E047B2">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CF" w14:textId="77777777" w:rsidR="008E7A10" w:rsidRDefault="00E047B2">
            <w:pPr>
              <w:jc w:val="right"/>
              <w:textAlignment w:val="bottom"/>
            </w:pPr>
            <w:r>
              <w:rPr>
                <w:rFonts w:ascii="Arial" w:eastAsia="宋体" w:hAnsi="Arial" w:cs="Arial"/>
                <w:color w:val="000000"/>
                <w:sz w:val="17"/>
                <w:szCs w:val="17"/>
              </w:rPr>
              <w:t>%</w:t>
            </w:r>
          </w:p>
        </w:tc>
      </w:tr>
      <w:tr w:rsidR="008E7A10" w14:paraId="746F15E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5D1" w14:textId="77777777" w:rsidR="008E7A10" w:rsidRDefault="00E047B2">
            <w:pPr>
              <w:textAlignment w:val="bottom"/>
            </w:pPr>
            <w:r>
              <w:rPr>
                <w:rFonts w:ascii="Arial" w:eastAsia="宋体" w:hAnsi="Arial" w:cs="Arial"/>
                <w:color w:val="000000"/>
                <w:sz w:val="17"/>
                <w:szCs w:val="17"/>
              </w:rPr>
              <w:t>Global Brand Divisions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D2"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D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D4"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D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D6" w14:textId="77777777" w:rsidR="008E7A10" w:rsidRDefault="00E047B2">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D7"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D8" w14:textId="77777777" w:rsidR="008E7A10" w:rsidRDefault="00E047B2">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D9"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5DA"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5DB"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5D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DD"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D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DF" w14:textId="77777777" w:rsidR="008E7A10" w:rsidRDefault="00E047B2">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E0"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5E1" w14:textId="77777777" w:rsidR="008E7A10" w:rsidRDefault="00E047B2">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5E2" w14:textId="77777777" w:rsidR="008E7A10" w:rsidRDefault="00E047B2">
            <w:pPr>
              <w:jc w:val="right"/>
              <w:textAlignment w:val="bottom"/>
            </w:pPr>
            <w:r>
              <w:rPr>
                <w:rFonts w:ascii="Arial" w:eastAsia="宋体" w:hAnsi="Arial" w:cs="Arial"/>
                <w:color w:val="000000"/>
                <w:sz w:val="17"/>
                <w:szCs w:val="17"/>
              </w:rPr>
              <w:t>%</w:t>
            </w:r>
          </w:p>
        </w:tc>
      </w:tr>
      <w:tr w:rsidR="008E7A10" w14:paraId="746F15F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5E4" w14:textId="77777777" w:rsidR="008E7A10" w:rsidRDefault="00E047B2">
            <w:pPr>
              <w:textAlignment w:val="bottom"/>
            </w:pPr>
            <w:r>
              <w:rPr>
                <w:rFonts w:ascii="Arial" w:eastAsia="宋体" w:hAnsi="Arial" w:cs="Arial"/>
                <w:b/>
                <w:bCs/>
                <w:color w:val="000000"/>
                <w:sz w:val="17"/>
                <w:szCs w:val="17"/>
              </w:rPr>
              <w:t>TOTAL NIKE BRAND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5E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5E6" w14:textId="77777777" w:rsidR="008E7A10" w:rsidRDefault="00E047B2">
            <w:pPr>
              <w:jc w:val="right"/>
              <w:textAlignment w:val="bottom"/>
            </w:pPr>
            <w:r>
              <w:rPr>
                <w:rFonts w:ascii="Arial" w:eastAsia="宋体" w:hAnsi="Arial" w:cs="Arial"/>
                <w:b/>
                <w:bCs/>
                <w:color w:val="000000"/>
                <w:sz w:val="17"/>
                <w:szCs w:val="17"/>
              </w:rPr>
              <w:t>10,741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5E7"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5E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5E9" w14:textId="77777777" w:rsidR="008E7A10" w:rsidRDefault="00E047B2">
            <w:pPr>
              <w:jc w:val="right"/>
              <w:textAlignment w:val="bottom"/>
            </w:pPr>
            <w:r>
              <w:rPr>
                <w:rFonts w:ascii="Arial" w:eastAsia="宋体" w:hAnsi="Arial" w:cs="Arial"/>
                <w:b/>
                <w:bCs/>
                <w:color w:val="000000"/>
                <w:sz w:val="17"/>
                <w:szCs w:val="17"/>
              </w:rPr>
              <w:t>9,844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5EA"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5EB" w14:textId="77777777" w:rsidR="008E7A10" w:rsidRDefault="00E047B2">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5EC"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5ED" w14:textId="77777777" w:rsidR="008E7A10" w:rsidRDefault="00E047B2">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5EE"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5EF"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5F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5F1" w14:textId="77777777" w:rsidR="008E7A10" w:rsidRDefault="00E047B2">
            <w:pPr>
              <w:jc w:val="right"/>
              <w:textAlignment w:val="bottom"/>
            </w:pPr>
            <w:r>
              <w:rPr>
                <w:rFonts w:ascii="Arial" w:eastAsia="宋体" w:hAnsi="Arial" w:cs="Arial"/>
                <w:b/>
                <w:bCs/>
                <w:color w:val="000000"/>
                <w:sz w:val="17"/>
                <w:szCs w:val="17"/>
              </w:rPr>
              <w:t>20,759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5F2"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5F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5F4" w14:textId="77777777" w:rsidR="008E7A10" w:rsidRDefault="00E047B2">
            <w:pPr>
              <w:jc w:val="right"/>
              <w:textAlignment w:val="bottom"/>
            </w:pPr>
            <w:r>
              <w:rPr>
                <w:rFonts w:ascii="Arial" w:eastAsia="宋体" w:hAnsi="Arial" w:cs="Arial"/>
                <w:b/>
                <w:bCs/>
                <w:color w:val="000000"/>
                <w:sz w:val="17"/>
                <w:szCs w:val="17"/>
              </w:rPr>
              <w:t>19,940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5F5"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5F6"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5F7"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5F8"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5F9" w14:textId="77777777" w:rsidR="008E7A10" w:rsidRDefault="00E047B2">
            <w:pPr>
              <w:jc w:val="right"/>
              <w:textAlignment w:val="bottom"/>
            </w:pPr>
            <w:r>
              <w:rPr>
                <w:rFonts w:ascii="Arial" w:eastAsia="宋体" w:hAnsi="Arial" w:cs="Arial"/>
                <w:b/>
                <w:bCs/>
                <w:color w:val="000000"/>
                <w:sz w:val="17"/>
                <w:szCs w:val="17"/>
              </w:rPr>
              <w:t>%</w:t>
            </w:r>
          </w:p>
        </w:tc>
      </w:tr>
    </w:tbl>
    <w:p w14:paraId="746F15FB" w14:textId="77777777" w:rsidR="008E7A10" w:rsidRDefault="00E047B2">
      <w:pPr>
        <w:spacing w:before="60" w:after="60"/>
        <w:ind w:hanging="360"/>
      </w:pPr>
      <w:r>
        <w:rPr>
          <w:rFonts w:ascii="Arial" w:eastAsia="宋体" w:hAnsi="Arial" w:cs="Arial"/>
          <w:i/>
          <w:iCs/>
          <w:color w:val="000000"/>
          <w:sz w:val="14"/>
          <w:szCs w:val="14"/>
        </w:rPr>
        <w:t xml:space="preserve">(1)The percent </w:t>
      </w:r>
      <w:r>
        <w:rPr>
          <w:rFonts w:ascii="Arial" w:eastAsia="宋体" w:hAnsi="Arial" w:cs="Arial"/>
          <w:i/>
          <w:iCs/>
          <w:color w:val="000000"/>
          <w:sz w:val="14"/>
          <w:szCs w:val="14"/>
        </w:rPr>
        <w:t>change excluding currency changes represents a non-GAAP financial measure. See "Use of Non-GAAP Financial Measures" for further information.</w:t>
      </w:r>
    </w:p>
    <w:p w14:paraId="746F15FC" w14:textId="77777777" w:rsidR="008E7A10" w:rsidRDefault="00E047B2">
      <w:pPr>
        <w:spacing w:before="60" w:after="60"/>
        <w:ind w:hanging="360"/>
      </w:pPr>
      <w:r>
        <w:rPr>
          <w:rFonts w:ascii="Arial" w:eastAsia="宋体" w:hAnsi="Arial" w:cs="Arial"/>
          <w:i/>
          <w:iCs/>
          <w:color w:val="000000"/>
          <w:sz w:val="14"/>
          <w:szCs w:val="14"/>
        </w:rPr>
        <w:t xml:space="preserve">(2)Global Brand Divisions revenues include NIKE Brand licensing and other miscellaneous revenues that are not part </w:t>
      </w:r>
      <w:r>
        <w:rPr>
          <w:rFonts w:ascii="Arial" w:eastAsia="宋体" w:hAnsi="Arial" w:cs="Arial"/>
          <w:i/>
          <w:iCs/>
          <w:color w:val="000000"/>
          <w:sz w:val="14"/>
          <w:szCs w:val="14"/>
        </w:rPr>
        <w:t>of a geographic operating segment.</w:t>
      </w:r>
    </w:p>
    <w:p w14:paraId="746F15FD" w14:textId="77777777" w:rsidR="008E7A10" w:rsidRDefault="00E047B2">
      <w:pPr>
        <w:spacing w:before="60" w:after="60"/>
        <w:ind w:hanging="360"/>
      </w:pPr>
      <w:r>
        <w:rPr>
          <w:rFonts w:ascii="Arial" w:eastAsia="宋体" w:hAnsi="Arial" w:cs="Arial"/>
          <w:i/>
          <w:iCs/>
          <w:color w:val="000000"/>
          <w:sz w:val="14"/>
          <w:szCs w:val="14"/>
        </w:rPr>
        <w:t>(3)Corporate revenues primarily consist of foreign currency hedge gains and losses related to revenues generated by entities within the NIKE Brand geographic operating segments and Converse, but managed through our centra</w:t>
      </w:r>
      <w:r>
        <w:rPr>
          <w:rFonts w:ascii="Arial" w:eastAsia="宋体" w:hAnsi="Arial" w:cs="Arial"/>
          <w:i/>
          <w:iCs/>
          <w:color w:val="000000"/>
          <w:sz w:val="14"/>
          <w:szCs w:val="14"/>
        </w:rPr>
        <w:t>l foreign exchange risk management program.</w:t>
      </w:r>
    </w:p>
    <w:p w14:paraId="746F15FE" w14:textId="77777777" w:rsidR="008E7A10" w:rsidRDefault="00E047B2">
      <w:pPr>
        <w:spacing w:before="120"/>
      </w:pPr>
      <w:r>
        <w:rPr>
          <w:rFonts w:ascii="sans-serif" w:eastAsia="sans-serif" w:hAnsi="sans-serif" w:cs="sans-serif"/>
          <w:b/>
          <w:bCs/>
          <w:color w:val="808080"/>
          <w:sz w:val="22"/>
          <w:szCs w:val="22"/>
        </w:rPr>
        <w:t>SECOND QUARTER OF FISCAL 2021 COMPARED TO SECOND QUARTER OF FISCAL 2020</w:t>
      </w:r>
    </w:p>
    <w:p w14:paraId="746F15FF" w14:textId="77777777" w:rsidR="008E7A10" w:rsidRDefault="00E047B2">
      <w:pPr>
        <w:spacing w:after="120"/>
      </w:pPr>
      <w:r>
        <w:rPr>
          <w:rFonts w:ascii="Arial" w:eastAsia="宋体" w:hAnsi="Arial" w:cs="Arial"/>
          <w:color w:val="000000"/>
          <w:sz w:val="17"/>
          <w:szCs w:val="17"/>
        </w:rPr>
        <w:t xml:space="preserve">On a currency-neutral basis, NIKE, Inc. Revenues grew 7% for the second quarter of fiscal 2021, due to growth across all NIKE Brand </w:t>
      </w:r>
      <w:r>
        <w:rPr>
          <w:rFonts w:ascii="Arial" w:eastAsia="宋体" w:hAnsi="Arial" w:cs="Arial"/>
          <w:color w:val="000000"/>
          <w:sz w:val="17"/>
          <w:szCs w:val="17"/>
        </w:rPr>
        <w:t>geographies, partially offset by lower revenues in Converse. Higher revenues in Greater China and EMEA each contributed approximately 3 percentage points of growth to NIKE, Inc.</w:t>
      </w:r>
      <w:r>
        <w:rPr>
          <w:rFonts w:ascii="Arial" w:eastAsia="宋体" w:hAnsi="Arial" w:cs="Arial"/>
          <w:i/>
          <w:iCs/>
          <w:color w:val="000000"/>
          <w:sz w:val="17"/>
          <w:szCs w:val="17"/>
        </w:rPr>
        <w:t xml:space="preserve"> </w:t>
      </w:r>
      <w:r>
        <w:rPr>
          <w:rFonts w:ascii="Arial" w:eastAsia="宋体" w:hAnsi="Arial" w:cs="Arial"/>
          <w:color w:val="000000"/>
          <w:sz w:val="17"/>
          <w:szCs w:val="17"/>
        </w:rPr>
        <w:t>Revenues, with APLA contributing approximately 1 percentage point of growth.</w:t>
      </w:r>
    </w:p>
    <w:p w14:paraId="746F1600" w14:textId="77777777" w:rsidR="008E7A10" w:rsidRDefault="00E047B2">
      <w:pPr>
        <w:spacing w:before="120" w:after="120"/>
      </w:pPr>
      <w:r>
        <w:rPr>
          <w:rFonts w:ascii="Arial" w:eastAsia="宋体" w:hAnsi="Arial" w:cs="Arial"/>
          <w:color w:val="000000"/>
          <w:sz w:val="17"/>
          <w:szCs w:val="17"/>
        </w:rPr>
        <w:t>O</w:t>
      </w:r>
      <w:r>
        <w:rPr>
          <w:rFonts w:ascii="Arial" w:eastAsia="宋体" w:hAnsi="Arial" w:cs="Arial"/>
          <w:color w:val="000000"/>
          <w:sz w:val="17"/>
          <w:szCs w:val="17"/>
        </w:rPr>
        <w:t>n a currency-neutral basis, NIKE Brand footwear revenues increased 8%, driven by growth in most key categories, primarily Sportswear and the Jordan Brand, partially offset by declines in Running. Unit sales of footwear increased 4% and higher average selli</w:t>
      </w:r>
      <w:r>
        <w:rPr>
          <w:rFonts w:ascii="Arial" w:eastAsia="宋体" w:hAnsi="Arial" w:cs="Arial"/>
          <w:color w:val="000000"/>
          <w:sz w:val="17"/>
          <w:szCs w:val="17"/>
        </w:rPr>
        <w:t>ng price (ASP) per pair contributed approximately 4 percentage points of footwear revenue growth, primarily due to the favorable impact of growth in our NIKE Direct business, as well as higher full-price ASP, on a wholesale equivalent basis.</w:t>
      </w:r>
    </w:p>
    <w:p w14:paraId="746F1601" w14:textId="77777777" w:rsidR="008E7A10" w:rsidRDefault="00E047B2">
      <w:pPr>
        <w:spacing w:before="120" w:after="120"/>
      </w:pPr>
      <w:r>
        <w:rPr>
          <w:rFonts w:ascii="Arial" w:eastAsia="宋体" w:hAnsi="Arial" w:cs="Arial"/>
          <w:color w:val="000000"/>
          <w:sz w:val="17"/>
          <w:szCs w:val="17"/>
        </w:rPr>
        <w:t>Currency-neutr</w:t>
      </w:r>
      <w:r>
        <w:rPr>
          <w:rFonts w:ascii="Arial" w:eastAsia="宋体" w:hAnsi="Arial" w:cs="Arial"/>
          <w:color w:val="000000"/>
          <w:sz w:val="17"/>
          <w:szCs w:val="17"/>
        </w:rPr>
        <w:t>al NIKE Brand apparel revenues grew 7%, reflecting higher revenues in several key categories, most notably Sportswear and Football (Soccer). Unit sales of apparel increased 9%, while lower ASP per unit reduced apparel revenues by approximately 2 percentage</w:t>
      </w:r>
      <w:r>
        <w:rPr>
          <w:rFonts w:ascii="Arial" w:eastAsia="宋体" w:hAnsi="Arial" w:cs="Arial"/>
          <w:color w:val="000000"/>
          <w:sz w:val="17"/>
          <w:szCs w:val="17"/>
        </w:rPr>
        <w:t xml:space="preserve"> points. Lower ASP per unit was primarily due to lower full-price ASP, in part reflecting higher discounts, as well as an unfavorable full-price mix.</w:t>
      </w:r>
    </w:p>
    <w:p w14:paraId="746F1602" w14:textId="77777777" w:rsidR="008E7A10" w:rsidRDefault="00E047B2">
      <w:pPr>
        <w:spacing w:before="120" w:after="120"/>
      </w:pPr>
      <w:r>
        <w:rPr>
          <w:rFonts w:ascii="Arial" w:eastAsia="宋体" w:hAnsi="Arial" w:cs="Arial"/>
          <w:color w:val="000000"/>
          <w:sz w:val="17"/>
          <w:szCs w:val="17"/>
        </w:rPr>
        <w:t xml:space="preserve">On a reported basis, NIKE Direct revenues represented approximately 40% of our total NIKE Brand revenues for the second quarter of fiscal 2021 compared to 33% for the second quarter of fiscal 2020. Digital sales were $2.4 billion for the second quarter of </w:t>
      </w:r>
      <w:r>
        <w:rPr>
          <w:rFonts w:ascii="Arial" w:eastAsia="宋体" w:hAnsi="Arial" w:cs="Arial"/>
          <w:color w:val="000000"/>
          <w:sz w:val="17"/>
          <w:szCs w:val="17"/>
        </w:rPr>
        <w:t xml:space="preserve">fiscal 2021 compared to $1.3 billion for the second quarter of fiscal 2020. On a currency-neutral basis, NIKE Direct revenues increased 30%, driven by digital sales growth of 80%, which more than offset comparable store sales declines of 4% </w:t>
      </w:r>
      <w:r>
        <w:rPr>
          <w:rFonts w:ascii="Arial" w:eastAsia="宋体" w:hAnsi="Arial" w:cs="Arial"/>
          <w:color w:val="212529"/>
          <w:sz w:val="17"/>
          <w:szCs w:val="17"/>
        </w:rPr>
        <w:t>primarily due t</w:t>
      </w:r>
      <w:r>
        <w:rPr>
          <w:rFonts w:ascii="Arial" w:eastAsia="宋体" w:hAnsi="Arial" w:cs="Arial"/>
          <w:color w:val="212529"/>
          <w:sz w:val="17"/>
          <w:szCs w:val="17"/>
        </w:rPr>
        <w:t>o reduced physical retail traffic, in part resulting from safety-related measures in response to COVID-19</w:t>
      </w:r>
      <w:r>
        <w:rPr>
          <w:rFonts w:ascii="Arial" w:eastAsia="宋体" w:hAnsi="Arial" w:cs="Arial"/>
          <w:color w:val="000000"/>
          <w:sz w:val="17"/>
          <w:szCs w:val="17"/>
        </w:rPr>
        <w:t>. Comparable store sales, which exclude digital sales, comprises revenues from NIKE-owned in-line and factory stores for which all three of the followi</w:t>
      </w:r>
      <w:r>
        <w:rPr>
          <w:rFonts w:ascii="Arial" w:eastAsia="宋体" w:hAnsi="Arial" w:cs="Arial"/>
          <w:color w:val="000000"/>
          <w:sz w:val="17"/>
          <w:szCs w:val="17"/>
        </w:rPr>
        <w:t>ng requirements have been met: (1) the store has been open at least one year, (2) square footage has not changed by more than 15% within the past year and (3) the store has not been permanently repositioned within the past year. Comparable store sales incl</w:t>
      </w:r>
      <w:r>
        <w:rPr>
          <w:rFonts w:ascii="Arial" w:eastAsia="宋体" w:hAnsi="Arial" w:cs="Arial"/>
          <w:color w:val="000000"/>
          <w:sz w:val="17"/>
          <w:szCs w:val="17"/>
        </w:rPr>
        <w:t>udes revenues from stores that were temporarily closed during the period as a result of COVID-19. Comparable store sales represents a performance measure that we believe is useful information for management and investors in understanding the performance of</w:t>
      </w:r>
      <w:r>
        <w:rPr>
          <w:rFonts w:ascii="Arial" w:eastAsia="宋体" w:hAnsi="Arial" w:cs="Arial"/>
          <w:color w:val="000000"/>
          <w:sz w:val="17"/>
          <w:szCs w:val="17"/>
        </w:rPr>
        <w:t xml:space="preserve"> our established NIKE-owned in-line and factory stores. Management considers this metric when making financial and operating </w:t>
      </w:r>
    </w:p>
    <w:p w14:paraId="746F1603" w14:textId="77777777" w:rsidR="008E7A10" w:rsidRDefault="00E047B2">
      <w:pPr>
        <w:spacing w:before="120" w:after="120"/>
      </w:pPr>
      <w:r>
        <w:rPr>
          <w:rFonts w:ascii="Arial" w:eastAsia="宋体" w:hAnsi="Arial" w:cs="Arial"/>
          <w:color w:val="E87722"/>
          <w:sz w:val="17"/>
          <w:szCs w:val="17"/>
        </w:rPr>
        <w:t>28</w:t>
      </w:r>
      <w:r>
        <w:rPr>
          <w:rFonts w:ascii="sans-serif" w:eastAsia="sans-serif" w:hAnsi="sans-serif" w:cs="sans-serif"/>
          <w:color w:val="000000"/>
          <w:sz w:val="17"/>
          <w:szCs w:val="17"/>
        </w:rPr>
        <w:t xml:space="preserve"> </w:t>
      </w:r>
    </w:p>
    <w:p w14:paraId="746F1604" w14:textId="77777777" w:rsidR="008E7A10" w:rsidRDefault="00E047B2">
      <w:r>
        <w:pict w14:anchorId="746F2024">
          <v:rect id="_x0000_i1054" style="width:415.3pt;height:1.5pt" o:hralign="center" o:hrstd="t" o:hr="t" fillcolor="#a0a0a0" stroked="f"/>
        </w:pict>
      </w:r>
    </w:p>
    <w:p w14:paraId="746F1605" w14:textId="77777777" w:rsidR="008E7A10" w:rsidRDefault="008E7A10"/>
    <w:p w14:paraId="746F1606" w14:textId="77777777" w:rsidR="008E7A10" w:rsidRDefault="00E047B2">
      <w:hyperlink r:id="rId99" w:anchor="i31a624617c6c41b38f8f700fa0df5bde_7" w:history="1">
        <w:r>
          <w:rPr>
            <w:rStyle w:val="a5"/>
            <w:rFonts w:ascii="sans-serif" w:eastAsia="sans-serif" w:hAnsi="sans-serif" w:cs="sans-serif"/>
            <w:sz w:val="17"/>
            <w:szCs w:val="17"/>
          </w:rPr>
          <w:t>Table of Contents</w:t>
        </w:r>
      </w:hyperlink>
    </w:p>
    <w:p w14:paraId="746F1607" w14:textId="77777777" w:rsidR="008E7A10" w:rsidRDefault="008E7A10"/>
    <w:p w14:paraId="746F1608" w14:textId="77777777" w:rsidR="008E7A10" w:rsidRDefault="00E047B2">
      <w:pPr>
        <w:spacing w:before="120" w:after="120"/>
      </w:pPr>
      <w:r>
        <w:rPr>
          <w:rFonts w:ascii="Arial" w:eastAsia="宋体" w:hAnsi="Arial" w:cs="Arial"/>
          <w:color w:val="000000"/>
          <w:sz w:val="17"/>
          <w:szCs w:val="17"/>
        </w:rPr>
        <w:t xml:space="preserve">decisions. The method of calculating comparable store sales varies across the retail industry. As a result, our calculation of this metric may not be comparable to similarly titled measures used by other </w:t>
      </w:r>
      <w:r>
        <w:rPr>
          <w:rFonts w:ascii="Arial" w:eastAsia="宋体" w:hAnsi="Arial" w:cs="Arial"/>
          <w:color w:val="000000"/>
          <w:sz w:val="17"/>
          <w:szCs w:val="17"/>
        </w:rPr>
        <w:t>companies.</w:t>
      </w:r>
    </w:p>
    <w:p w14:paraId="746F1609" w14:textId="77777777" w:rsidR="008E7A10" w:rsidRDefault="00E047B2">
      <w:pPr>
        <w:spacing w:before="120"/>
      </w:pPr>
      <w:r>
        <w:rPr>
          <w:rFonts w:ascii="sans-serif" w:eastAsia="sans-serif" w:hAnsi="sans-serif" w:cs="sans-serif"/>
          <w:b/>
          <w:bCs/>
          <w:color w:val="808080"/>
          <w:sz w:val="22"/>
          <w:szCs w:val="22"/>
        </w:rPr>
        <w:t>FIRST SIX MONTHS OF FISCAL 2021 COMPARED TO FIRST SIX MONTHS OF FISCAL 2020</w:t>
      </w:r>
    </w:p>
    <w:p w14:paraId="746F160A" w14:textId="77777777" w:rsidR="008E7A10" w:rsidRDefault="00E047B2">
      <w:pPr>
        <w:spacing w:after="120"/>
      </w:pPr>
      <w:r>
        <w:rPr>
          <w:rFonts w:ascii="Arial" w:eastAsia="宋体" w:hAnsi="Arial" w:cs="Arial"/>
          <w:color w:val="000000"/>
          <w:sz w:val="17"/>
          <w:szCs w:val="17"/>
        </w:rPr>
        <w:t>On a currency-neutral basis, NIKE, Inc. Revenues grew 4% for the first six months of fiscal 2021, driven by growth in Greater China and EMEA, partially offset by lower r</w:t>
      </w:r>
      <w:r>
        <w:rPr>
          <w:rFonts w:ascii="Arial" w:eastAsia="宋体" w:hAnsi="Arial" w:cs="Arial"/>
          <w:color w:val="000000"/>
          <w:sz w:val="17"/>
          <w:szCs w:val="17"/>
        </w:rPr>
        <w:t>evenues in APLA. Higher revenues in Greater China and EMEA each contributed approximately 2 percentage points of growth to NIKE, Inc.</w:t>
      </w:r>
      <w:r>
        <w:rPr>
          <w:rFonts w:ascii="Arial" w:eastAsia="宋体" w:hAnsi="Arial" w:cs="Arial"/>
          <w:i/>
          <w:iCs/>
          <w:color w:val="000000"/>
          <w:sz w:val="17"/>
          <w:szCs w:val="17"/>
        </w:rPr>
        <w:t xml:space="preserve"> </w:t>
      </w:r>
      <w:r>
        <w:rPr>
          <w:rFonts w:ascii="Arial" w:eastAsia="宋体" w:hAnsi="Arial" w:cs="Arial"/>
          <w:color w:val="000000"/>
          <w:sz w:val="17"/>
          <w:szCs w:val="17"/>
        </w:rPr>
        <w:t>Revenues.</w:t>
      </w:r>
    </w:p>
    <w:p w14:paraId="746F160B" w14:textId="77777777" w:rsidR="008E7A10" w:rsidRDefault="00E047B2">
      <w:pPr>
        <w:spacing w:before="120" w:after="120"/>
      </w:pPr>
      <w:r>
        <w:rPr>
          <w:rFonts w:ascii="Arial" w:eastAsia="宋体" w:hAnsi="Arial" w:cs="Arial"/>
          <w:color w:val="000000"/>
          <w:sz w:val="17"/>
          <w:szCs w:val="17"/>
        </w:rPr>
        <w:t>On a currency-neutral basis, NIKE Brand footwear revenues increased 7%, driven by growth in several key categori</w:t>
      </w:r>
      <w:r>
        <w:rPr>
          <w:rFonts w:ascii="Arial" w:eastAsia="宋体" w:hAnsi="Arial" w:cs="Arial"/>
          <w:color w:val="000000"/>
          <w:sz w:val="17"/>
          <w:szCs w:val="17"/>
        </w:rPr>
        <w:t>es, led by Sportswear and the Jordan Brand. Unit sales of footwear increased 2% and higher ASP per pair contributed approximately 5 percentage points of footwear revenue growth, primarily due to higher full-price ASP and the favorable impact of growth in o</w:t>
      </w:r>
      <w:r>
        <w:rPr>
          <w:rFonts w:ascii="Arial" w:eastAsia="宋体" w:hAnsi="Arial" w:cs="Arial"/>
          <w:color w:val="000000"/>
          <w:sz w:val="17"/>
          <w:szCs w:val="17"/>
        </w:rPr>
        <w:t>ur NIKE Direct business.</w:t>
      </w:r>
    </w:p>
    <w:p w14:paraId="746F160C" w14:textId="77777777" w:rsidR="008E7A10" w:rsidRDefault="00E047B2">
      <w:pPr>
        <w:spacing w:before="120" w:after="120"/>
      </w:pPr>
      <w:r>
        <w:rPr>
          <w:rFonts w:ascii="Arial" w:eastAsia="宋体" w:hAnsi="Arial" w:cs="Arial"/>
          <w:color w:val="000000"/>
          <w:sz w:val="17"/>
          <w:szCs w:val="17"/>
        </w:rPr>
        <w:t>Currency-neutral NIKE Brand apparel revenues were flat as growth in Sportswear, Football (Soccer) and the Jordan Brand, was offset by declines in all other key categories. Unit sales of apparel increased 1%, while lower ASP per uni</w:t>
      </w:r>
      <w:r>
        <w:rPr>
          <w:rFonts w:ascii="Arial" w:eastAsia="宋体" w:hAnsi="Arial" w:cs="Arial"/>
          <w:color w:val="000000"/>
          <w:sz w:val="17"/>
          <w:szCs w:val="17"/>
        </w:rPr>
        <w:t xml:space="preserve">t reduced apparel revenues by approximately 1 percentage point. Lower ASP per unit was primarily due to lower full-price ASP, in part reflecting higher discounts, as well as unfavorable full-price mix, partially offset by the favorable impact of growth in </w:t>
      </w:r>
      <w:r>
        <w:rPr>
          <w:rFonts w:ascii="Arial" w:eastAsia="宋体" w:hAnsi="Arial" w:cs="Arial"/>
          <w:color w:val="000000"/>
          <w:sz w:val="17"/>
          <w:szCs w:val="17"/>
        </w:rPr>
        <w:t>our NIKE Direct business.</w:t>
      </w:r>
    </w:p>
    <w:p w14:paraId="746F160D" w14:textId="77777777" w:rsidR="008E7A10" w:rsidRDefault="00E047B2">
      <w:pPr>
        <w:spacing w:before="120" w:after="120"/>
      </w:pPr>
      <w:r>
        <w:rPr>
          <w:rFonts w:ascii="Arial" w:eastAsia="宋体" w:hAnsi="Arial" w:cs="Arial"/>
          <w:color w:val="000000"/>
          <w:sz w:val="17"/>
          <w:szCs w:val="17"/>
        </w:rPr>
        <w:t>On a reported basis, NIKE Direct revenues represented approximately 38% of our total NIKE Brand revenues for the first six months of fiscal 2021 compared to 33% for the first six months of fiscal 2020. Digital sales were $4.4 bill</w:t>
      </w:r>
      <w:r>
        <w:rPr>
          <w:rFonts w:ascii="Arial" w:eastAsia="宋体" w:hAnsi="Arial" w:cs="Arial"/>
          <w:color w:val="000000"/>
          <w:sz w:val="17"/>
          <w:szCs w:val="17"/>
        </w:rPr>
        <w:t>ion for the first six months of fiscal 2021 compared to $2.4 billion for the first six months of fiscal 2020. On a currency-neutral basis, NIKE Direct revenues increased 22% for the first six months of fiscal 2021, driven by digital sales growth of 81%, pa</w:t>
      </w:r>
      <w:r>
        <w:rPr>
          <w:rFonts w:ascii="Arial" w:eastAsia="宋体" w:hAnsi="Arial" w:cs="Arial"/>
          <w:color w:val="000000"/>
          <w:sz w:val="17"/>
          <w:szCs w:val="17"/>
        </w:rPr>
        <w:t>rtially offset by a 13% decline in comparable store sales driven by</w:t>
      </w:r>
      <w:r>
        <w:rPr>
          <w:rFonts w:ascii="Arial" w:eastAsia="宋体" w:hAnsi="Arial" w:cs="Arial"/>
          <w:color w:val="212529"/>
          <w:sz w:val="17"/>
          <w:szCs w:val="17"/>
        </w:rPr>
        <w:t xml:space="preserve"> reduced physical retail traffic, in part resulting from safety-related measures in response to COVID-19</w:t>
      </w:r>
      <w:r>
        <w:rPr>
          <w:rFonts w:ascii="Arial" w:eastAsia="宋体" w:hAnsi="Arial" w:cs="Arial"/>
          <w:color w:val="000000"/>
          <w:sz w:val="17"/>
          <w:szCs w:val="17"/>
        </w:rPr>
        <w:t>.</w:t>
      </w:r>
    </w:p>
    <w:p w14:paraId="746F160E" w14:textId="77777777" w:rsidR="008E7A10" w:rsidRDefault="00E047B2">
      <w:pPr>
        <w:spacing w:before="240" w:after="120"/>
      </w:pPr>
      <w:r>
        <w:rPr>
          <w:rFonts w:ascii="sans-serif" w:eastAsia="sans-serif" w:hAnsi="sans-serif" w:cs="sans-serif"/>
          <w:b/>
          <w:bCs/>
          <w:color w:val="000000"/>
          <w:sz w:val="28"/>
          <w:szCs w:val="28"/>
        </w:rPr>
        <w:t>GROSS MARGIN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190"/>
        <w:gridCol w:w="36"/>
        <w:gridCol w:w="115"/>
        <w:gridCol w:w="585"/>
        <w:gridCol w:w="172"/>
        <w:gridCol w:w="115"/>
        <w:gridCol w:w="586"/>
        <w:gridCol w:w="172"/>
        <w:gridCol w:w="68"/>
        <w:gridCol w:w="570"/>
        <w:gridCol w:w="172"/>
        <w:gridCol w:w="36"/>
        <w:gridCol w:w="36"/>
        <w:gridCol w:w="36"/>
        <w:gridCol w:w="115"/>
        <w:gridCol w:w="473"/>
        <w:gridCol w:w="172"/>
        <w:gridCol w:w="115"/>
        <w:gridCol w:w="553"/>
        <w:gridCol w:w="172"/>
        <w:gridCol w:w="68"/>
        <w:gridCol w:w="570"/>
        <w:gridCol w:w="172"/>
      </w:tblGrid>
      <w:tr w:rsidR="008E7A10" w14:paraId="746F1627" w14:textId="77777777">
        <w:trPr>
          <w:jc w:val="center"/>
        </w:trPr>
        <w:tc>
          <w:tcPr>
            <w:tcW w:w="50" w:type="pct"/>
            <w:shd w:val="clear" w:color="auto" w:fill="auto"/>
          </w:tcPr>
          <w:p w14:paraId="746F160F" w14:textId="77777777" w:rsidR="008E7A10" w:rsidRDefault="008E7A10">
            <w:pPr>
              <w:rPr>
                <w:rFonts w:ascii="宋体"/>
              </w:rPr>
            </w:pPr>
          </w:p>
        </w:tc>
        <w:tc>
          <w:tcPr>
            <w:tcW w:w="2024" w:type="pct"/>
            <w:shd w:val="clear" w:color="auto" w:fill="auto"/>
          </w:tcPr>
          <w:p w14:paraId="746F1610" w14:textId="77777777" w:rsidR="008E7A10" w:rsidRDefault="008E7A10">
            <w:pPr>
              <w:rPr>
                <w:rFonts w:ascii="宋体"/>
              </w:rPr>
            </w:pPr>
          </w:p>
        </w:tc>
        <w:tc>
          <w:tcPr>
            <w:tcW w:w="5" w:type="pct"/>
            <w:shd w:val="clear" w:color="auto" w:fill="auto"/>
          </w:tcPr>
          <w:p w14:paraId="746F1611" w14:textId="77777777" w:rsidR="008E7A10" w:rsidRDefault="008E7A10">
            <w:pPr>
              <w:rPr>
                <w:rFonts w:ascii="宋体"/>
              </w:rPr>
            </w:pPr>
          </w:p>
        </w:tc>
        <w:tc>
          <w:tcPr>
            <w:tcW w:w="50" w:type="pct"/>
            <w:shd w:val="clear" w:color="auto" w:fill="auto"/>
          </w:tcPr>
          <w:p w14:paraId="746F1612" w14:textId="77777777" w:rsidR="008E7A10" w:rsidRDefault="008E7A10">
            <w:pPr>
              <w:rPr>
                <w:rFonts w:ascii="宋体"/>
              </w:rPr>
            </w:pPr>
          </w:p>
        </w:tc>
        <w:tc>
          <w:tcPr>
            <w:tcW w:w="425" w:type="pct"/>
            <w:shd w:val="clear" w:color="auto" w:fill="auto"/>
          </w:tcPr>
          <w:p w14:paraId="746F1613" w14:textId="77777777" w:rsidR="008E7A10" w:rsidRDefault="008E7A10">
            <w:pPr>
              <w:rPr>
                <w:rFonts w:ascii="宋体"/>
              </w:rPr>
            </w:pPr>
          </w:p>
        </w:tc>
        <w:tc>
          <w:tcPr>
            <w:tcW w:w="5" w:type="pct"/>
            <w:shd w:val="clear" w:color="auto" w:fill="auto"/>
          </w:tcPr>
          <w:p w14:paraId="746F1614" w14:textId="77777777" w:rsidR="008E7A10" w:rsidRDefault="008E7A10">
            <w:pPr>
              <w:rPr>
                <w:rFonts w:ascii="宋体"/>
              </w:rPr>
            </w:pPr>
          </w:p>
        </w:tc>
        <w:tc>
          <w:tcPr>
            <w:tcW w:w="50" w:type="pct"/>
            <w:shd w:val="clear" w:color="auto" w:fill="auto"/>
          </w:tcPr>
          <w:p w14:paraId="746F1615" w14:textId="77777777" w:rsidR="008E7A10" w:rsidRDefault="008E7A10">
            <w:pPr>
              <w:rPr>
                <w:rFonts w:ascii="宋体"/>
              </w:rPr>
            </w:pPr>
          </w:p>
        </w:tc>
        <w:tc>
          <w:tcPr>
            <w:tcW w:w="425" w:type="pct"/>
            <w:shd w:val="clear" w:color="auto" w:fill="auto"/>
          </w:tcPr>
          <w:p w14:paraId="746F1616" w14:textId="77777777" w:rsidR="008E7A10" w:rsidRDefault="008E7A10">
            <w:pPr>
              <w:rPr>
                <w:rFonts w:ascii="宋体"/>
              </w:rPr>
            </w:pPr>
          </w:p>
        </w:tc>
        <w:tc>
          <w:tcPr>
            <w:tcW w:w="5" w:type="pct"/>
            <w:shd w:val="clear" w:color="auto" w:fill="auto"/>
          </w:tcPr>
          <w:p w14:paraId="746F1617" w14:textId="77777777" w:rsidR="008E7A10" w:rsidRDefault="008E7A10">
            <w:pPr>
              <w:rPr>
                <w:rFonts w:ascii="宋体"/>
              </w:rPr>
            </w:pPr>
          </w:p>
        </w:tc>
        <w:tc>
          <w:tcPr>
            <w:tcW w:w="50" w:type="pct"/>
            <w:shd w:val="clear" w:color="auto" w:fill="auto"/>
          </w:tcPr>
          <w:p w14:paraId="746F1618" w14:textId="77777777" w:rsidR="008E7A10" w:rsidRDefault="008E7A10">
            <w:pPr>
              <w:rPr>
                <w:rFonts w:ascii="宋体"/>
              </w:rPr>
            </w:pPr>
          </w:p>
        </w:tc>
        <w:tc>
          <w:tcPr>
            <w:tcW w:w="425" w:type="pct"/>
            <w:shd w:val="clear" w:color="auto" w:fill="auto"/>
          </w:tcPr>
          <w:p w14:paraId="746F1619" w14:textId="77777777" w:rsidR="008E7A10" w:rsidRDefault="008E7A10">
            <w:pPr>
              <w:rPr>
                <w:rFonts w:ascii="宋体"/>
              </w:rPr>
            </w:pPr>
          </w:p>
        </w:tc>
        <w:tc>
          <w:tcPr>
            <w:tcW w:w="5" w:type="pct"/>
            <w:shd w:val="clear" w:color="auto" w:fill="auto"/>
          </w:tcPr>
          <w:p w14:paraId="746F161A" w14:textId="77777777" w:rsidR="008E7A10" w:rsidRDefault="008E7A10">
            <w:pPr>
              <w:rPr>
                <w:rFonts w:ascii="宋体"/>
              </w:rPr>
            </w:pPr>
          </w:p>
        </w:tc>
        <w:tc>
          <w:tcPr>
            <w:tcW w:w="5" w:type="pct"/>
            <w:shd w:val="clear" w:color="auto" w:fill="auto"/>
          </w:tcPr>
          <w:p w14:paraId="746F161B" w14:textId="77777777" w:rsidR="008E7A10" w:rsidRDefault="008E7A10">
            <w:pPr>
              <w:rPr>
                <w:rFonts w:ascii="宋体"/>
              </w:rPr>
            </w:pPr>
          </w:p>
        </w:tc>
        <w:tc>
          <w:tcPr>
            <w:tcW w:w="27" w:type="pct"/>
            <w:shd w:val="clear" w:color="auto" w:fill="auto"/>
          </w:tcPr>
          <w:p w14:paraId="746F161C" w14:textId="77777777" w:rsidR="008E7A10" w:rsidRDefault="008E7A10">
            <w:pPr>
              <w:rPr>
                <w:rFonts w:ascii="宋体"/>
              </w:rPr>
            </w:pPr>
          </w:p>
        </w:tc>
        <w:tc>
          <w:tcPr>
            <w:tcW w:w="5" w:type="pct"/>
            <w:shd w:val="clear" w:color="auto" w:fill="auto"/>
          </w:tcPr>
          <w:p w14:paraId="746F161D" w14:textId="77777777" w:rsidR="008E7A10" w:rsidRDefault="008E7A10">
            <w:pPr>
              <w:rPr>
                <w:rFonts w:ascii="宋体"/>
              </w:rPr>
            </w:pPr>
          </w:p>
        </w:tc>
        <w:tc>
          <w:tcPr>
            <w:tcW w:w="50" w:type="pct"/>
            <w:shd w:val="clear" w:color="auto" w:fill="auto"/>
          </w:tcPr>
          <w:p w14:paraId="746F161E" w14:textId="77777777" w:rsidR="008E7A10" w:rsidRDefault="008E7A10">
            <w:pPr>
              <w:rPr>
                <w:rFonts w:ascii="宋体"/>
              </w:rPr>
            </w:pPr>
          </w:p>
        </w:tc>
        <w:tc>
          <w:tcPr>
            <w:tcW w:w="425" w:type="pct"/>
            <w:shd w:val="clear" w:color="auto" w:fill="auto"/>
          </w:tcPr>
          <w:p w14:paraId="746F161F" w14:textId="77777777" w:rsidR="008E7A10" w:rsidRDefault="008E7A10">
            <w:pPr>
              <w:rPr>
                <w:rFonts w:ascii="宋体"/>
              </w:rPr>
            </w:pPr>
          </w:p>
        </w:tc>
        <w:tc>
          <w:tcPr>
            <w:tcW w:w="5" w:type="pct"/>
            <w:shd w:val="clear" w:color="auto" w:fill="auto"/>
          </w:tcPr>
          <w:p w14:paraId="746F1620" w14:textId="77777777" w:rsidR="008E7A10" w:rsidRDefault="008E7A10">
            <w:pPr>
              <w:rPr>
                <w:rFonts w:ascii="宋体"/>
              </w:rPr>
            </w:pPr>
          </w:p>
        </w:tc>
        <w:tc>
          <w:tcPr>
            <w:tcW w:w="50" w:type="pct"/>
            <w:shd w:val="clear" w:color="auto" w:fill="auto"/>
          </w:tcPr>
          <w:p w14:paraId="746F1621" w14:textId="77777777" w:rsidR="008E7A10" w:rsidRDefault="008E7A10">
            <w:pPr>
              <w:rPr>
                <w:rFonts w:ascii="宋体"/>
              </w:rPr>
            </w:pPr>
          </w:p>
        </w:tc>
        <w:tc>
          <w:tcPr>
            <w:tcW w:w="425" w:type="pct"/>
            <w:shd w:val="clear" w:color="auto" w:fill="auto"/>
          </w:tcPr>
          <w:p w14:paraId="746F1622" w14:textId="77777777" w:rsidR="008E7A10" w:rsidRDefault="008E7A10">
            <w:pPr>
              <w:rPr>
                <w:rFonts w:ascii="宋体"/>
              </w:rPr>
            </w:pPr>
          </w:p>
        </w:tc>
        <w:tc>
          <w:tcPr>
            <w:tcW w:w="5" w:type="pct"/>
            <w:shd w:val="clear" w:color="auto" w:fill="auto"/>
          </w:tcPr>
          <w:p w14:paraId="746F1623" w14:textId="77777777" w:rsidR="008E7A10" w:rsidRDefault="008E7A10">
            <w:pPr>
              <w:rPr>
                <w:rFonts w:ascii="宋体"/>
              </w:rPr>
            </w:pPr>
          </w:p>
        </w:tc>
        <w:tc>
          <w:tcPr>
            <w:tcW w:w="50" w:type="pct"/>
            <w:shd w:val="clear" w:color="auto" w:fill="auto"/>
          </w:tcPr>
          <w:p w14:paraId="746F1624" w14:textId="77777777" w:rsidR="008E7A10" w:rsidRDefault="008E7A10">
            <w:pPr>
              <w:rPr>
                <w:rFonts w:ascii="宋体"/>
              </w:rPr>
            </w:pPr>
          </w:p>
        </w:tc>
        <w:tc>
          <w:tcPr>
            <w:tcW w:w="425" w:type="pct"/>
            <w:shd w:val="clear" w:color="auto" w:fill="auto"/>
          </w:tcPr>
          <w:p w14:paraId="746F1625" w14:textId="77777777" w:rsidR="008E7A10" w:rsidRDefault="008E7A10">
            <w:pPr>
              <w:rPr>
                <w:rFonts w:ascii="宋体"/>
              </w:rPr>
            </w:pPr>
          </w:p>
        </w:tc>
        <w:tc>
          <w:tcPr>
            <w:tcW w:w="5" w:type="pct"/>
            <w:shd w:val="clear" w:color="auto" w:fill="auto"/>
          </w:tcPr>
          <w:p w14:paraId="746F1626" w14:textId="77777777" w:rsidR="008E7A10" w:rsidRDefault="008E7A10">
            <w:pPr>
              <w:rPr>
                <w:rFonts w:ascii="宋体"/>
              </w:rPr>
            </w:pPr>
          </w:p>
        </w:tc>
      </w:tr>
      <w:tr w:rsidR="008E7A10" w14:paraId="746F162C" w14:textId="77777777">
        <w:trPr>
          <w:jc w:val="center"/>
        </w:trPr>
        <w:tc>
          <w:tcPr>
            <w:tcW w:w="0" w:type="auto"/>
            <w:gridSpan w:val="3"/>
            <w:shd w:val="clear" w:color="auto" w:fill="auto"/>
            <w:tcMar>
              <w:top w:w="0" w:type="dxa"/>
              <w:left w:w="20" w:type="dxa"/>
              <w:bottom w:w="0" w:type="dxa"/>
              <w:right w:w="20" w:type="dxa"/>
            </w:tcMar>
          </w:tcPr>
          <w:p w14:paraId="746F1628"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629"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62A"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62B"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635" w14:textId="77777777">
        <w:trPr>
          <w:jc w:val="center"/>
        </w:trPr>
        <w:tc>
          <w:tcPr>
            <w:tcW w:w="0" w:type="auto"/>
            <w:gridSpan w:val="3"/>
            <w:shd w:val="clear" w:color="auto" w:fill="auto"/>
            <w:tcMar>
              <w:top w:w="40" w:type="dxa"/>
              <w:left w:w="20" w:type="dxa"/>
              <w:bottom w:w="40" w:type="dxa"/>
              <w:right w:w="20" w:type="dxa"/>
            </w:tcMar>
            <w:vAlign w:val="bottom"/>
          </w:tcPr>
          <w:p w14:paraId="746F162D" w14:textId="77777777" w:rsidR="008E7A10" w:rsidRDefault="00E047B2">
            <w:pP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2E"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2F"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30"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746F1631"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32"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33"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34" w14:textId="77777777" w:rsidR="008E7A10" w:rsidRDefault="00E047B2">
            <w:pPr>
              <w:jc w:val="right"/>
              <w:textAlignment w:val="bottom"/>
            </w:pPr>
            <w:r>
              <w:rPr>
                <w:rFonts w:ascii="sans-serif" w:eastAsia="sans-serif" w:hAnsi="sans-serif" w:cs="sans-serif"/>
                <w:b/>
                <w:bCs/>
                <w:color w:val="000000"/>
                <w:sz w:val="17"/>
                <w:szCs w:val="17"/>
              </w:rPr>
              <w:t>% CHANGE</w:t>
            </w:r>
          </w:p>
        </w:tc>
      </w:tr>
      <w:tr w:rsidR="008E7A10" w14:paraId="746F1648"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36" w14:textId="77777777" w:rsidR="008E7A10" w:rsidRDefault="00E047B2">
            <w:pPr>
              <w:textAlignment w:val="bottom"/>
            </w:pPr>
            <w:r>
              <w:rPr>
                <w:rFonts w:ascii="Arial" w:eastAsia="宋体" w:hAnsi="Arial" w:cs="Arial"/>
                <w:color w:val="000000"/>
                <w:sz w:val="17"/>
                <w:szCs w:val="17"/>
              </w:rPr>
              <w:t>Gross Profit</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63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638" w14:textId="77777777" w:rsidR="008E7A10" w:rsidRDefault="00E047B2">
            <w:pPr>
              <w:jc w:val="right"/>
              <w:textAlignment w:val="bottom"/>
            </w:pPr>
            <w:r>
              <w:rPr>
                <w:rFonts w:ascii="Arial" w:eastAsia="宋体" w:hAnsi="Arial" w:cs="Arial"/>
                <w:color w:val="000000"/>
                <w:sz w:val="17"/>
                <w:szCs w:val="17"/>
              </w:rPr>
              <w:t>4,847 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639"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63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63B" w14:textId="77777777" w:rsidR="008E7A10" w:rsidRDefault="00E047B2">
            <w:pPr>
              <w:jc w:val="right"/>
              <w:textAlignment w:val="bottom"/>
            </w:pPr>
            <w:r>
              <w:rPr>
                <w:rFonts w:ascii="Arial" w:eastAsia="宋体" w:hAnsi="Arial" w:cs="Arial"/>
                <w:color w:val="000000"/>
                <w:sz w:val="17"/>
                <w:szCs w:val="17"/>
              </w:rPr>
              <w:t>4,544 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3C"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63D"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3E" w14:textId="77777777" w:rsidR="008E7A10" w:rsidRDefault="00E047B2">
            <w:pPr>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63F"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64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641" w14:textId="77777777" w:rsidR="008E7A10" w:rsidRDefault="00E047B2">
            <w:pPr>
              <w:jc w:val="right"/>
              <w:textAlignment w:val="bottom"/>
            </w:pPr>
            <w:r>
              <w:rPr>
                <w:rFonts w:ascii="Arial" w:eastAsia="宋体" w:hAnsi="Arial" w:cs="Arial"/>
                <w:color w:val="000000"/>
                <w:sz w:val="17"/>
                <w:szCs w:val="17"/>
              </w:rPr>
              <w:t>9,588 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642"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643"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644" w14:textId="77777777" w:rsidR="008E7A10" w:rsidRDefault="00E047B2">
            <w:pPr>
              <w:jc w:val="right"/>
              <w:textAlignment w:val="bottom"/>
            </w:pPr>
            <w:r>
              <w:rPr>
                <w:rFonts w:ascii="Arial" w:eastAsia="宋体" w:hAnsi="Arial" w:cs="Arial"/>
                <w:color w:val="000000"/>
                <w:sz w:val="17"/>
                <w:szCs w:val="17"/>
              </w:rPr>
              <w:t>9,415 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45"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646"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47" w14:textId="77777777" w:rsidR="008E7A10" w:rsidRDefault="00E047B2">
            <w:pPr>
              <w:textAlignment w:val="bottom"/>
            </w:pPr>
            <w:r>
              <w:rPr>
                <w:rFonts w:ascii="Arial" w:eastAsia="宋体" w:hAnsi="Arial" w:cs="Arial"/>
                <w:color w:val="000000"/>
                <w:sz w:val="17"/>
                <w:szCs w:val="17"/>
              </w:rPr>
              <w:t>%</w:t>
            </w:r>
          </w:p>
        </w:tc>
      </w:tr>
      <w:tr w:rsidR="008E7A10" w14:paraId="746F1655" w14:textId="77777777">
        <w:trPr>
          <w:jc w:val="center"/>
        </w:trPr>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F1649" w14:textId="77777777" w:rsidR="008E7A10" w:rsidRDefault="00E047B2">
            <w:pPr>
              <w:textAlignment w:val="bottom"/>
            </w:pPr>
            <w:r>
              <w:rPr>
                <w:rFonts w:ascii="Arial" w:eastAsia="宋体" w:hAnsi="Arial" w:cs="Arial"/>
                <w:color w:val="000000"/>
                <w:sz w:val="17"/>
                <w:szCs w:val="17"/>
              </w:rPr>
              <w:t>Gross Margin</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164A" w14:textId="77777777" w:rsidR="008E7A10" w:rsidRDefault="00E047B2">
            <w:pPr>
              <w:jc w:val="right"/>
              <w:textAlignment w:val="bottom"/>
            </w:pPr>
            <w:r>
              <w:rPr>
                <w:rFonts w:ascii="Arial" w:eastAsia="宋体" w:hAnsi="Arial" w:cs="Arial"/>
                <w:color w:val="000000"/>
                <w:sz w:val="17"/>
                <w:szCs w:val="17"/>
              </w:rPr>
              <w:t>43.1 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164B"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64C" w14:textId="77777777" w:rsidR="008E7A10" w:rsidRDefault="00E047B2">
            <w:pPr>
              <w:jc w:val="right"/>
              <w:textAlignment w:val="bottom"/>
            </w:pPr>
            <w:r>
              <w:rPr>
                <w:rFonts w:ascii="Arial" w:eastAsia="宋体" w:hAnsi="Arial" w:cs="Arial"/>
                <w:color w:val="000000"/>
                <w:sz w:val="17"/>
                <w:szCs w:val="17"/>
              </w:rPr>
              <w:t>44.0 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64D"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746F164E" w14:textId="77777777" w:rsidR="008E7A10" w:rsidRDefault="00E047B2">
            <w:pPr>
              <w:jc w:val="right"/>
              <w:textAlignment w:val="top"/>
            </w:pPr>
            <w:r>
              <w:rPr>
                <w:rFonts w:ascii="Arial" w:eastAsia="宋体" w:hAnsi="Arial" w:cs="Arial"/>
                <w:color w:val="000000"/>
                <w:sz w:val="17"/>
                <w:szCs w:val="17"/>
              </w:rPr>
              <w:t>(90) bps</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F164F" w14:textId="77777777" w:rsidR="008E7A10" w:rsidRDefault="008E7A10">
            <w:pPr>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1650" w14:textId="77777777" w:rsidR="008E7A10" w:rsidRDefault="00E047B2">
            <w:pPr>
              <w:jc w:val="right"/>
              <w:textAlignment w:val="bottom"/>
            </w:pPr>
            <w:r>
              <w:rPr>
                <w:rFonts w:ascii="Arial" w:eastAsia="宋体" w:hAnsi="Arial" w:cs="Arial"/>
                <w:color w:val="000000"/>
                <w:sz w:val="17"/>
                <w:szCs w:val="17"/>
              </w:rPr>
              <w:t>43.9 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1651"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652" w14:textId="77777777" w:rsidR="008E7A10" w:rsidRDefault="00E047B2">
            <w:pPr>
              <w:jc w:val="right"/>
              <w:textAlignment w:val="bottom"/>
            </w:pPr>
            <w:r>
              <w:rPr>
                <w:rFonts w:ascii="Arial" w:eastAsia="宋体" w:hAnsi="Arial" w:cs="Arial"/>
                <w:color w:val="000000"/>
                <w:sz w:val="17"/>
                <w:szCs w:val="17"/>
              </w:rPr>
              <w:t>44.9 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653"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746F1654" w14:textId="77777777" w:rsidR="008E7A10" w:rsidRDefault="00E047B2">
            <w:pPr>
              <w:jc w:val="right"/>
              <w:textAlignment w:val="top"/>
            </w:pPr>
            <w:r>
              <w:rPr>
                <w:rFonts w:ascii="Arial" w:eastAsia="宋体" w:hAnsi="Arial" w:cs="Arial"/>
                <w:color w:val="000000"/>
                <w:sz w:val="17"/>
                <w:szCs w:val="17"/>
              </w:rPr>
              <w:t>(100) bps</w:t>
            </w:r>
          </w:p>
        </w:tc>
      </w:tr>
    </w:tbl>
    <w:p w14:paraId="746F1656" w14:textId="77777777" w:rsidR="008E7A10" w:rsidRDefault="00E047B2">
      <w:pPr>
        <w:spacing w:before="120" w:after="120"/>
      </w:pPr>
      <w:r>
        <w:rPr>
          <w:rFonts w:ascii="Arial" w:eastAsia="宋体" w:hAnsi="Arial" w:cs="Arial"/>
          <w:color w:val="000000"/>
          <w:sz w:val="17"/>
          <w:szCs w:val="17"/>
        </w:rPr>
        <w:t>For the second quarter and first six months of fiscal 2021, our consolidated gross margin was 90 and 100 basis points lower than the respective prior year period and reflected unfavorable impacts from COVID-19. For t</w:t>
      </w:r>
      <w:r>
        <w:rPr>
          <w:rFonts w:ascii="Arial" w:eastAsia="宋体" w:hAnsi="Arial" w:cs="Arial"/>
          <w:color w:val="000000"/>
          <w:sz w:val="17"/>
          <w:szCs w:val="17"/>
        </w:rPr>
        <w:t>he second quarter of fiscal 2021, the change in gross margin primarily reflected the following factors:</w:t>
      </w:r>
    </w:p>
    <w:p w14:paraId="746F1657" w14:textId="77777777" w:rsidR="008E7A10" w:rsidRDefault="00E047B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Lower margin in our NIKE Direct business, reflecting higher promotions to reduce excess inventory as a result of COVID-19 (decreasing gross </w:t>
      </w:r>
      <w:r>
        <w:rPr>
          <w:rFonts w:ascii="Arial" w:eastAsia="宋体" w:hAnsi="Arial" w:cs="Arial"/>
          <w:color w:val="000000"/>
          <w:sz w:val="17"/>
          <w:szCs w:val="17"/>
        </w:rPr>
        <w:t>margin approximately 80 basis points);</w:t>
      </w:r>
    </w:p>
    <w:p w14:paraId="746F1658" w14:textId="77777777" w:rsidR="008E7A10" w:rsidRDefault="00E047B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mix of full-price sales (decreasing gross margin approximately 70 basis points);</w:t>
      </w:r>
    </w:p>
    <w:p w14:paraId="746F1659" w14:textId="77777777" w:rsidR="008E7A10" w:rsidRDefault="00E047B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other costs, in part reflecting higher warehousing and freight as well as restructuring-related costs related to our orga</w:t>
      </w:r>
      <w:r>
        <w:rPr>
          <w:rFonts w:ascii="Arial" w:eastAsia="宋体" w:hAnsi="Arial" w:cs="Arial"/>
          <w:color w:val="000000"/>
          <w:sz w:val="17"/>
          <w:szCs w:val="17"/>
        </w:rPr>
        <w:t>nizational realignment, partially offset by lower inventory obsolescence (decreasing gross margin approximately 40 basis points);</w:t>
      </w:r>
    </w:p>
    <w:p w14:paraId="746F165A" w14:textId="77777777" w:rsidR="008E7A10" w:rsidRDefault="00E047B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Unfavorable changes in net foreign currency exchange rates, including hedges, (decreasing gross margin approximately 30 basis</w:t>
      </w:r>
      <w:r>
        <w:rPr>
          <w:rFonts w:ascii="Arial" w:eastAsia="宋体" w:hAnsi="Arial" w:cs="Arial"/>
          <w:color w:val="000000"/>
          <w:sz w:val="17"/>
          <w:szCs w:val="17"/>
        </w:rPr>
        <w:t xml:space="preserve"> points); and</w:t>
      </w:r>
    </w:p>
    <w:p w14:paraId="746F165B" w14:textId="77777777" w:rsidR="008E7A10" w:rsidRDefault="00E047B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NIKE Brand product costs, on a wholesale equivalent basis, due to favorable product mix, lower air freight and reduced tariffs in North America (increasing gross margin approximately 110 basis points).</w:t>
      </w:r>
    </w:p>
    <w:p w14:paraId="746F165C" w14:textId="77777777" w:rsidR="008E7A10" w:rsidRDefault="00E047B2">
      <w:pPr>
        <w:spacing w:before="60" w:after="60"/>
      </w:pPr>
      <w:r>
        <w:rPr>
          <w:rFonts w:ascii="Arial" w:eastAsia="宋体" w:hAnsi="Arial" w:cs="Arial"/>
          <w:color w:val="000000"/>
          <w:sz w:val="17"/>
          <w:szCs w:val="17"/>
        </w:rPr>
        <w:t>For the first six months of fisca</w:t>
      </w:r>
      <w:r>
        <w:rPr>
          <w:rFonts w:ascii="Arial" w:eastAsia="宋体" w:hAnsi="Arial" w:cs="Arial"/>
          <w:color w:val="000000"/>
          <w:sz w:val="17"/>
          <w:szCs w:val="17"/>
        </w:rPr>
        <w:t>l 2021, the change in gross margin primarily reflected the following factors:</w:t>
      </w:r>
    </w:p>
    <w:p w14:paraId="746F165D" w14:textId="77777777" w:rsidR="008E7A10" w:rsidRDefault="00E047B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margin in our NIKE Direct business, reflecting higher promotions to reduce excess inventory as a result of COVID-19 (decreasing gross margin approximately 120 basis points</w:t>
      </w:r>
      <w:r>
        <w:rPr>
          <w:rFonts w:ascii="Arial" w:eastAsia="宋体" w:hAnsi="Arial" w:cs="Arial"/>
          <w:color w:val="000000"/>
          <w:sz w:val="17"/>
          <w:szCs w:val="17"/>
        </w:rPr>
        <w:t>);</w:t>
      </w:r>
    </w:p>
    <w:p w14:paraId="746F165E" w14:textId="77777777" w:rsidR="008E7A10" w:rsidRDefault="00E047B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mix of full-price sales (decreasing gross margin approximately 70 basis points);</w:t>
      </w:r>
    </w:p>
    <w:p w14:paraId="746F165F" w14:textId="77777777" w:rsidR="008E7A10" w:rsidRDefault="00E047B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Unfavorable changes in net foreign currency exchange rates, including hedges, (decreasing gross margin approximately 30 basis points); </w:t>
      </w:r>
    </w:p>
    <w:p w14:paraId="746F1660" w14:textId="77777777" w:rsidR="008E7A10" w:rsidRDefault="00E047B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other costs, in part</w:t>
      </w:r>
      <w:r>
        <w:rPr>
          <w:rFonts w:ascii="Arial" w:eastAsia="宋体" w:hAnsi="Arial" w:cs="Arial"/>
          <w:color w:val="000000"/>
          <w:sz w:val="17"/>
          <w:szCs w:val="17"/>
        </w:rPr>
        <w:t xml:space="preserve"> reflecting higher warehousing and freight as well as restructuring-related costs, partially offset by lower inventory obsolescence and the favorable impact from the release of factory cancellation cost accruals due to higher than anticipated consumer dema</w:t>
      </w:r>
      <w:r>
        <w:rPr>
          <w:rFonts w:ascii="Arial" w:eastAsia="宋体" w:hAnsi="Arial" w:cs="Arial"/>
          <w:color w:val="000000"/>
          <w:sz w:val="17"/>
          <w:szCs w:val="17"/>
        </w:rPr>
        <w:t>nd (decreasing gross margin approximately 10 basis points); and</w:t>
      </w:r>
    </w:p>
    <w:p w14:paraId="746F1661" w14:textId="77777777" w:rsidR="008E7A10" w:rsidRDefault="00E047B2">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NIKE Brand full-price ASP, net of discounts, (increasing gross margin approximately 110 basis points).</w:t>
      </w:r>
    </w:p>
    <w:p w14:paraId="746F1662" w14:textId="77777777" w:rsidR="008E7A10" w:rsidRDefault="00E047B2">
      <w:pPr>
        <w:spacing w:before="120" w:after="120"/>
        <w:jc w:val="right"/>
      </w:pPr>
      <w:r>
        <w:rPr>
          <w:rFonts w:ascii="Arial" w:eastAsia="宋体" w:hAnsi="Arial" w:cs="Arial"/>
          <w:color w:val="E87722"/>
          <w:sz w:val="17"/>
          <w:szCs w:val="17"/>
        </w:rPr>
        <w:t>29</w:t>
      </w:r>
    </w:p>
    <w:p w14:paraId="746F1663" w14:textId="77777777" w:rsidR="008E7A10" w:rsidRDefault="00E047B2">
      <w:r>
        <w:pict w14:anchorId="746F2025">
          <v:rect id="_x0000_i1055" style="width:415.3pt;height:1.5pt" o:hralign="center" o:hrstd="t" o:hr="t" fillcolor="#a0a0a0" stroked="f"/>
        </w:pict>
      </w:r>
    </w:p>
    <w:p w14:paraId="746F1664" w14:textId="77777777" w:rsidR="008E7A10" w:rsidRDefault="008E7A10"/>
    <w:p w14:paraId="746F1665" w14:textId="77777777" w:rsidR="008E7A10" w:rsidRDefault="00E047B2">
      <w:hyperlink r:id="rId100" w:anchor="i31a624617c6c41b38f8f700fa0df5bde_7" w:history="1">
        <w:r>
          <w:rPr>
            <w:rStyle w:val="a5"/>
            <w:rFonts w:ascii="sans-serif" w:eastAsia="sans-serif" w:hAnsi="sans-serif" w:cs="sans-serif"/>
            <w:sz w:val="17"/>
            <w:szCs w:val="17"/>
          </w:rPr>
          <w:t>Table of Contents</w:t>
        </w:r>
      </w:hyperlink>
    </w:p>
    <w:p w14:paraId="746F1666" w14:textId="77777777" w:rsidR="008E7A10" w:rsidRDefault="008E7A10"/>
    <w:p w14:paraId="746F1667" w14:textId="77777777" w:rsidR="008E7A10" w:rsidRDefault="00E047B2">
      <w:pPr>
        <w:spacing w:before="240" w:after="120"/>
      </w:pPr>
      <w:r>
        <w:rPr>
          <w:rFonts w:ascii="sans-serif" w:eastAsia="sans-serif" w:hAnsi="sans-serif" w:cs="sans-serif"/>
          <w:b/>
          <w:bCs/>
          <w:color w:val="000000"/>
          <w:sz w:val="28"/>
          <w:szCs w:val="28"/>
        </w:rPr>
        <w:t>TOTAL SELLING AND ADMINISTRATIVE EXPENSE</w:t>
      </w:r>
    </w:p>
    <w:tbl>
      <w:tblPr>
        <w:tblW w:w="5000" w:type="pct"/>
        <w:tblCellMar>
          <w:top w:w="15" w:type="dxa"/>
          <w:left w:w="15" w:type="dxa"/>
          <w:bottom w:w="15" w:type="dxa"/>
          <w:right w:w="15" w:type="dxa"/>
        </w:tblCellMar>
        <w:tblLook w:val="04A0" w:firstRow="1" w:lastRow="0" w:firstColumn="1" w:lastColumn="0" w:noHBand="0" w:noVBand="1"/>
      </w:tblPr>
      <w:tblGrid>
        <w:gridCol w:w="39"/>
        <w:gridCol w:w="3188"/>
        <w:gridCol w:w="38"/>
        <w:gridCol w:w="115"/>
        <w:gridCol w:w="584"/>
        <w:gridCol w:w="172"/>
        <w:gridCol w:w="115"/>
        <w:gridCol w:w="585"/>
        <w:gridCol w:w="172"/>
        <w:gridCol w:w="68"/>
        <w:gridCol w:w="570"/>
        <w:gridCol w:w="172"/>
        <w:gridCol w:w="36"/>
        <w:gridCol w:w="36"/>
        <w:gridCol w:w="36"/>
        <w:gridCol w:w="115"/>
        <w:gridCol w:w="473"/>
        <w:gridCol w:w="172"/>
        <w:gridCol w:w="115"/>
        <w:gridCol w:w="553"/>
        <w:gridCol w:w="172"/>
        <w:gridCol w:w="68"/>
        <w:gridCol w:w="570"/>
        <w:gridCol w:w="172"/>
      </w:tblGrid>
      <w:tr w:rsidR="008E7A10" w14:paraId="746F1680" w14:textId="77777777">
        <w:tc>
          <w:tcPr>
            <w:tcW w:w="50" w:type="pct"/>
            <w:shd w:val="clear" w:color="auto" w:fill="auto"/>
          </w:tcPr>
          <w:p w14:paraId="746F1668" w14:textId="77777777" w:rsidR="008E7A10" w:rsidRDefault="008E7A10">
            <w:pPr>
              <w:rPr>
                <w:rFonts w:ascii="宋体"/>
              </w:rPr>
            </w:pPr>
          </w:p>
        </w:tc>
        <w:tc>
          <w:tcPr>
            <w:tcW w:w="2024" w:type="pct"/>
            <w:shd w:val="clear" w:color="auto" w:fill="auto"/>
          </w:tcPr>
          <w:p w14:paraId="746F1669" w14:textId="77777777" w:rsidR="008E7A10" w:rsidRDefault="008E7A10">
            <w:pPr>
              <w:rPr>
                <w:rFonts w:ascii="宋体"/>
              </w:rPr>
            </w:pPr>
          </w:p>
        </w:tc>
        <w:tc>
          <w:tcPr>
            <w:tcW w:w="5" w:type="pct"/>
            <w:shd w:val="clear" w:color="auto" w:fill="auto"/>
          </w:tcPr>
          <w:p w14:paraId="746F166A" w14:textId="77777777" w:rsidR="008E7A10" w:rsidRDefault="008E7A10">
            <w:pPr>
              <w:rPr>
                <w:rFonts w:ascii="宋体"/>
              </w:rPr>
            </w:pPr>
          </w:p>
        </w:tc>
        <w:tc>
          <w:tcPr>
            <w:tcW w:w="50" w:type="pct"/>
            <w:shd w:val="clear" w:color="auto" w:fill="auto"/>
          </w:tcPr>
          <w:p w14:paraId="746F166B" w14:textId="77777777" w:rsidR="008E7A10" w:rsidRDefault="008E7A10">
            <w:pPr>
              <w:rPr>
                <w:rFonts w:ascii="宋体"/>
              </w:rPr>
            </w:pPr>
          </w:p>
        </w:tc>
        <w:tc>
          <w:tcPr>
            <w:tcW w:w="425" w:type="pct"/>
            <w:shd w:val="clear" w:color="auto" w:fill="auto"/>
          </w:tcPr>
          <w:p w14:paraId="746F166C" w14:textId="77777777" w:rsidR="008E7A10" w:rsidRDefault="008E7A10">
            <w:pPr>
              <w:rPr>
                <w:rFonts w:ascii="宋体"/>
              </w:rPr>
            </w:pPr>
          </w:p>
        </w:tc>
        <w:tc>
          <w:tcPr>
            <w:tcW w:w="5" w:type="pct"/>
            <w:shd w:val="clear" w:color="auto" w:fill="auto"/>
          </w:tcPr>
          <w:p w14:paraId="746F166D" w14:textId="77777777" w:rsidR="008E7A10" w:rsidRDefault="008E7A10">
            <w:pPr>
              <w:rPr>
                <w:rFonts w:ascii="宋体"/>
              </w:rPr>
            </w:pPr>
          </w:p>
        </w:tc>
        <w:tc>
          <w:tcPr>
            <w:tcW w:w="50" w:type="pct"/>
            <w:shd w:val="clear" w:color="auto" w:fill="auto"/>
          </w:tcPr>
          <w:p w14:paraId="746F166E" w14:textId="77777777" w:rsidR="008E7A10" w:rsidRDefault="008E7A10">
            <w:pPr>
              <w:rPr>
                <w:rFonts w:ascii="宋体"/>
              </w:rPr>
            </w:pPr>
          </w:p>
        </w:tc>
        <w:tc>
          <w:tcPr>
            <w:tcW w:w="425" w:type="pct"/>
            <w:shd w:val="clear" w:color="auto" w:fill="auto"/>
          </w:tcPr>
          <w:p w14:paraId="746F166F" w14:textId="77777777" w:rsidR="008E7A10" w:rsidRDefault="008E7A10">
            <w:pPr>
              <w:rPr>
                <w:rFonts w:ascii="宋体"/>
              </w:rPr>
            </w:pPr>
          </w:p>
        </w:tc>
        <w:tc>
          <w:tcPr>
            <w:tcW w:w="5" w:type="pct"/>
            <w:shd w:val="clear" w:color="auto" w:fill="auto"/>
          </w:tcPr>
          <w:p w14:paraId="746F1670" w14:textId="77777777" w:rsidR="008E7A10" w:rsidRDefault="008E7A10">
            <w:pPr>
              <w:rPr>
                <w:rFonts w:ascii="宋体"/>
              </w:rPr>
            </w:pPr>
          </w:p>
        </w:tc>
        <w:tc>
          <w:tcPr>
            <w:tcW w:w="50" w:type="pct"/>
            <w:shd w:val="clear" w:color="auto" w:fill="auto"/>
          </w:tcPr>
          <w:p w14:paraId="746F1671" w14:textId="77777777" w:rsidR="008E7A10" w:rsidRDefault="008E7A10">
            <w:pPr>
              <w:rPr>
                <w:rFonts w:ascii="宋体"/>
              </w:rPr>
            </w:pPr>
          </w:p>
        </w:tc>
        <w:tc>
          <w:tcPr>
            <w:tcW w:w="425" w:type="pct"/>
            <w:shd w:val="clear" w:color="auto" w:fill="auto"/>
          </w:tcPr>
          <w:p w14:paraId="746F1672" w14:textId="77777777" w:rsidR="008E7A10" w:rsidRDefault="008E7A10">
            <w:pPr>
              <w:rPr>
                <w:rFonts w:ascii="宋体"/>
              </w:rPr>
            </w:pPr>
          </w:p>
        </w:tc>
        <w:tc>
          <w:tcPr>
            <w:tcW w:w="5" w:type="pct"/>
            <w:shd w:val="clear" w:color="auto" w:fill="auto"/>
          </w:tcPr>
          <w:p w14:paraId="746F1673" w14:textId="77777777" w:rsidR="008E7A10" w:rsidRDefault="008E7A10">
            <w:pPr>
              <w:rPr>
                <w:rFonts w:ascii="宋体"/>
              </w:rPr>
            </w:pPr>
          </w:p>
        </w:tc>
        <w:tc>
          <w:tcPr>
            <w:tcW w:w="5" w:type="pct"/>
            <w:shd w:val="clear" w:color="auto" w:fill="auto"/>
          </w:tcPr>
          <w:p w14:paraId="746F1674" w14:textId="77777777" w:rsidR="008E7A10" w:rsidRDefault="008E7A10">
            <w:pPr>
              <w:rPr>
                <w:rFonts w:ascii="宋体"/>
              </w:rPr>
            </w:pPr>
          </w:p>
        </w:tc>
        <w:tc>
          <w:tcPr>
            <w:tcW w:w="27" w:type="pct"/>
            <w:shd w:val="clear" w:color="auto" w:fill="auto"/>
          </w:tcPr>
          <w:p w14:paraId="746F1675" w14:textId="77777777" w:rsidR="008E7A10" w:rsidRDefault="008E7A10">
            <w:pPr>
              <w:rPr>
                <w:rFonts w:ascii="宋体"/>
              </w:rPr>
            </w:pPr>
          </w:p>
        </w:tc>
        <w:tc>
          <w:tcPr>
            <w:tcW w:w="5" w:type="pct"/>
            <w:shd w:val="clear" w:color="auto" w:fill="auto"/>
          </w:tcPr>
          <w:p w14:paraId="746F1676" w14:textId="77777777" w:rsidR="008E7A10" w:rsidRDefault="008E7A10">
            <w:pPr>
              <w:rPr>
                <w:rFonts w:ascii="宋体"/>
              </w:rPr>
            </w:pPr>
          </w:p>
        </w:tc>
        <w:tc>
          <w:tcPr>
            <w:tcW w:w="50" w:type="pct"/>
            <w:shd w:val="clear" w:color="auto" w:fill="auto"/>
          </w:tcPr>
          <w:p w14:paraId="746F1677" w14:textId="77777777" w:rsidR="008E7A10" w:rsidRDefault="008E7A10">
            <w:pPr>
              <w:rPr>
                <w:rFonts w:ascii="宋体"/>
              </w:rPr>
            </w:pPr>
          </w:p>
        </w:tc>
        <w:tc>
          <w:tcPr>
            <w:tcW w:w="425" w:type="pct"/>
            <w:shd w:val="clear" w:color="auto" w:fill="auto"/>
          </w:tcPr>
          <w:p w14:paraId="746F1678" w14:textId="77777777" w:rsidR="008E7A10" w:rsidRDefault="008E7A10">
            <w:pPr>
              <w:rPr>
                <w:rFonts w:ascii="宋体"/>
              </w:rPr>
            </w:pPr>
          </w:p>
        </w:tc>
        <w:tc>
          <w:tcPr>
            <w:tcW w:w="5" w:type="pct"/>
            <w:shd w:val="clear" w:color="auto" w:fill="auto"/>
          </w:tcPr>
          <w:p w14:paraId="746F1679" w14:textId="77777777" w:rsidR="008E7A10" w:rsidRDefault="008E7A10">
            <w:pPr>
              <w:rPr>
                <w:rFonts w:ascii="宋体"/>
              </w:rPr>
            </w:pPr>
          </w:p>
        </w:tc>
        <w:tc>
          <w:tcPr>
            <w:tcW w:w="50" w:type="pct"/>
            <w:shd w:val="clear" w:color="auto" w:fill="auto"/>
          </w:tcPr>
          <w:p w14:paraId="746F167A" w14:textId="77777777" w:rsidR="008E7A10" w:rsidRDefault="008E7A10">
            <w:pPr>
              <w:rPr>
                <w:rFonts w:ascii="宋体"/>
              </w:rPr>
            </w:pPr>
          </w:p>
        </w:tc>
        <w:tc>
          <w:tcPr>
            <w:tcW w:w="425" w:type="pct"/>
            <w:shd w:val="clear" w:color="auto" w:fill="auto"/>
          </w:tcPr>
          <w:p w14:paraId="746F167B" w14:textId="77777777" w:rsidR="008E7A10" w:rsidRDefault="008E7A10">
            <w:pPr>
              <w:rPr>
                <w:rFonts w:ascii="宋体"/>
              </w:rPr>
            </w:pPr>
          </w:p>
        </w:tc>
        <w:tc>
          <w:tcPr>
            <w:tcW w:w="5" w:type="pct"/>
            <w:shd w:val="clear" w:color="auto" w:fill="auto"/>
          </w:tcPr>
          <w:p w14:paraId="746F167C" w14:textId="77777777" w:rsidR="008E7A10" w:rsidRDefault="008E7A10">
            <w:pPr>
              <w:rPr>
                <w:rFonts w:ascii="宋体"/>
              </w:rPr>
            </w:pPr>
          </w:p>
        </w:tc>
        <w:tc>
          <w:tcPr>
            <w:tcW w:w="50" w:type="pct"/>
            <w:shd w:val="clear" w:color="auto" w:fill="auto"/>
          </w:tcPr>
          <w:p w14:paraId="746F167D" w14:textId="77777777" w:rsidR="008E7A10" w:rsidRDefault="008E7A10">
            <w:pPr>
              <w:rPr>
                <w:rFonts w:ascii="宋体"/>
              </w:rPr>
            </w:pPr>
          </w:p>
        </w:tc>
        <w:tc>
          <w:tcPr>
            <w:tcW w:w="425" w:type="pct"/>
            <w:shd w:val="clear" w:color="auto" w:fill="auto"/>
          </w:tcPr>
          <w:p w14:paraId="746F167E" w14:textId="77777777" w:rsidR="008E7A10" w:rsidRDefault="008E7A10">
            <w:pPr>
              <w:rPr>
                <w:rFonts w:ascii="宋体"/>
              </w:rPr>
            </w:pPr>
          </w:p>
        </w:tc>
        <w:tc>
          <w:tcPr>
            <w:tcW w:w="5" w:type="pct"/>
            <w:shd w:val="clear" w:color="auto" w:fill="auto"/>
          </w:tcPr>
          <w:p w14:paraId="746F167F" w14:textId="77777777" w:rsidR="008E7A10" w:rsidRDefault="008E7A10">
            <w:pPr>
              <w:rPr>
                <w:rFonts w:ascii="宋体"/>
              </w:rPr>
            </w:pPr>
          </w:p>
        </w:tc>
      </w:tr>
      <w:tr w:rsidR="008E7A10" w14:paraId="746F1685" w14:textId="77777777">
        <w:tc>
          <w:tcPr>
            <w:tcW w:w="0" w:type="auto"/>
            <w:gridSpan w:val="3"/>
            <w:shd w:val="clear" w:color="auto" w:fill="auto"/>
            <w:tcMar>
              <w:top w:w="0" w:type="dxa"/>
              <w:left w:w="20" w:type="dxa"/>
              <w:bottom w:w="0" w:type="dxa"/>
              <w:right w:w="20" w:type="dxa"/>
            </w:tcMar>
          </w:tcPr>
          <w:p w14:paraId="746F1681"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682"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683"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684"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68E" w14:textId="77777777">
        <w:tc>
          <w:tcPr>
            <w:tcW w:w="0" w:type="auto"/>
            <w:gridSpan w:val="3"/>
            <w:shd w:val="clear" w:color="auto" w:fill="auto"/>
            <w:tcMar>
              <w:top w:w="40" w:type="dxa"/>
              <w:left w:w="20" w:type="dxa"/>
              <w:bottom w:w="40" w:type="dxa"/>
              <w:right w:w="20" w:type="dxa"/>
            </w:tcMar>
            <w:vAlign w:val="bottom"/>
          </w:tcPr>
          <w:p w14:paraId="746F1686"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87"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88"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89"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746F168A"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8B"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8C"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8D" w14:textId="77777777" w:rsidR="008E7A10" w:rsidRDefault="00E047B2">
            <w:pPr>
              <w:jc w:val="right"/>
              <w:textAlignment w:val="bottom"/>
            </w:pPr>
            <w:r>
              <w:rPr>
                <w:rFonts w:ascii="sans-serif" w:eastAsia="sans-serif" w:hAnsi="sans-serif" w:cs="sans-serif"/>
                <w:b/>
                <w:bCs/>
                <w:color w:val="000000"/>
                <w:sz w:val="17"/>
                <w:szCs w:val="17"/>
              </w:rPr>
              <w:t>% CHANGE</w:t>
            </w:r>
          </w:p>
        </w:tc>
      </w:tr>
      <w:tr w:rsidR="008E7A10" w14:paraId="746F16A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8F" w14:textId="77777777" w:rsidR="008E7A10" w:rsidRDefault="00E047B2">
            <w:pPr>
              <w:textAlignment w:val="bottom"/>
            </w:pPr>
            <w:r>
              <w:rPr>
                <w:rFonts w:ascii="Arial" w:eastAsia="宋体" w:hAnsi="Arial" w:cs="Arial"/>
                <w:color w:val="000000"/>
                <w:sz w:val="17"/>
                <w:szCs w:val="17"/>
              </w:rPr>
              <w:t>Demand creation expense</w:t>
            </w:r>
            <w:r>
              <w:rPr>
                <w:rFonts w:ascii="Arial" w:eastAsia="宋体" w:hAnsi="Arial" w:cs="Arial"/>
                <w:color w:val="000000"/>
                <w:sz w:val="9"/>
                <w:szCs w:val="9"/>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69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691" w14:textId="77777777" w:rsidR="008E7A10" w:rsidRDefault="00E047B2">
            <w:pPr>
              <w:jc w:val="right"/>
              <w:textAlignment w:val="bottom"/>
            </w:pPr>
            <w:r>
              <w:rPr>
                <w:rFonts w:ascii="Arial" w:eastAsia="宋体" w:hAnsi="Arial" w:cs="Arial"/>
                <w:color w:val="000000"/>
                <w:sz w:val="17"/>
                <w:szCs w:val="17"/>
              </w:rPr>
              <w:t>729 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692"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693"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694" w14:textId="77777777" w:rsidR="008E7A10" w:rsidRDefault="00E047B2">
            <w:pPr>
              <w:jc w:val="right"/>
              <w:textAlignment w:val="bottom"/>
            </w:pPr>
            <w:r>
              <w:rPr>
                <w:rFonts w:ascii="Arial" w:eastAsia="宋体" w:hAnsi="Arial" w:cs="Arial"/>
                <w:color w:val="000000"/>
                <w:sz w:val="17"/>
                <w:szCs w:val="17"/>
              </w:rPr>
              <w:t>881 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95"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696"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97" w14:textId="77777777" w:rsidR="008E7A10" w:rsidRDefault="00E047B2">
            <w:pPr>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698"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69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69A" w14:textId="77777777" w:rsidR="008E7A10" w:rsidRDefault="00E047B2">
            <w:pPr>
              <w:jc w:val="right"/>
              <w:textAlignment w:val="bottom"/>
            </w:pPr>
            <w:r>
              <w:rPr>
                <w:rFonts w:ascii="Arial" w:eastAsia="宋体" w:hAnsi="Arial" w:cs="Arial"/>
                <w:color w:val="000000"/>
                <w:sz w:val="17"/>
                <w:szCs w:val="17"/>
              </w:rPr>
              <w:t>1,406 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69B"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69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69D" w14:textId="77777777" w:rsidR="008E7A10" w:rsidRDefault="00E047B2">
            <w:pPr>
              <w:jc w:val="right"/>
              <w:textAlignment w:val="bottom"/>
            </w:pPr>
            <w:r>
              <w:rPr>
                <w:rFonts w:ascii="Arial" w:eastAsia="宋体" w:hAnsi="Arial" w:cs="Arial"/>
                <w:color w:val="000000"/>
                <w:sz w:val="17"/>
                <w:szCs w:val="17"/>
              </w:rPr>
              <w:t>1,899 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9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69F" w14:textId="77777777" w:rsidR="008E7A10" w:rsidRDefault="00E047B2">
            <w:pPr>
              <w:jc w:val="right"/>
              <w:textAlignment w:val="bottom"/>
            </w:pPr>
            <w:r>
              <w:rPr>
                <w:rFonts w:ascii="Arial" w:eastAsia="宋体" w:hAnsi="Arial" w:cs="Arial"/>
                <w:color w:val="000000"/>
                <w:sz w:val="17"/>
                <w:szCs w:val="17"/>
              </w:rPr>
              <w:t>-26 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A0" w14:textId="77777777" w:rsidR="008E7A10" w:rsidRDefault="00E047B2">
            <w:pPr>
              <w:textAlignment w:val="bottom"/>
            </w:pPr>
            <w:r>
              <w:rPr>
                <w:rFonts w:ascii="Arial" w:eastAsia="宋体" w:hAnsi="Arial" w:cs="Arial"/>
                <w:color w:val="000000"/>
                <w:sz w:val="17"/>
                <w:szCs w:val="17"/>
              </w:rPr>
              <w:t>%</w:t>
            </w:r>
          </w:p>
        </w:tc>
      </w:tr>
      <w:tr w:rsidR="008E7A10" w14:paraId="746F16B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6A2" w14:textId="77777777" w:rsidR="008E7A10" w:rsidRDefault="00E047B2">
            <w:pPr>
              <w:textAlignment w:val="bottom"/>
            </w:pPr>
            <w:r>
              <w:rPr>
                <w:rFonts w:ascii="Arial" w:eastAsia="宋体" w:hAnsi="Arial" w:cs="Arial"/>
                <w:color w:val="000000"/>
                <w:sz w:val="17"/>
                <w:szCs w:val="17"/>
              </w:rPr>
              <w:t>Operating overhead expense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6A3" w14:textId="77777777" w:rsidR="008E7A10" w:rsidRDefault="00E047B2">
            <w:pPr>
              <w:jc w:val="right"/>
              <w:textAlignment w:val="bottom"/>
            </w:pPr>
            <w:r>
              <w:rPr>
                <w:rFonts w:ascii="Arial" w:eastAsia="宋体" w:hAnsi="Arial" w:cs="Arial"/>
                <w:color w:val="000000"/>
                <w:sz w:val="17"/>
                <w:szCs w:val="17"/>
              </w:rPr>
              <w:t>2,538 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6A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6A5" w14:textId="77777777" w:rsidR="008E7A10" w:rsidRDefault="00E047B2">
            <w:pPr>
              <w:jc w:val="right"/>
              <w:textAlignment w:val="bottom"/>
            </w:pPr>
            <w:r>
              <w:rPr>
                <w:rFonts w:ascii="Arial" w:eastAsia="宋体" w:hAnsi="Arial" w:cs="Arial"/>
                <w:color w:val="000000"/>
                <w:sz w:val="17"/>
                <w:szCs w:val="17"/>
              </w:rPr>
              <w:t>2,443 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6A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6A7"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6A8" w14:textId="77777777" w:rsidR="008E7A10" w:rsidRDefault="00E047B2">
            <w:pPr>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6A9"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6AA" w14:textId="77777777" w:rsidR="008E7A10" w:rsidRDefault="00E047B2">
            <w:pPr>
              <w:jc w:val="right"/>
              <w:textAlignment w:val="bottom"/>
            </w:pPr>
            <w:r>
              <w:rPr>
                <w:rFonts w:ascii="Arial" w:eastAsia="宋体" w:hAnsi="Arial" w:cs="Arial"/>
                <w:color w:val="000000"/>
                <w:sz w:val="17"/>
                <w:szCs w:val="17"/>
              </w:rPr>
              <w:t>4,836 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6A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6AC" w14:textId="77777777" w:rsidR="008E7A10" w:rsidRDefault="00E047B2">
            <w:pPr>
              <w:jc w:val="right"/>
              <w:textAlignment w:val="bottom"/>
            </w:pPr>
            <w:r>
              <w:rPr>
                <w:rFonts w:ascii="Arial" w:eastAsia="宋体" w:hAnsi="Arial" w:cs="Arial"/>
                <w:color w:val="000000"/>
                <w:sz w:val="17"/>
                <w:szCs w:val="17"/>
              </w:rPr>
              <w:t>4,753 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6A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6AE"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6AF" w14:textId="77777777" w:rsidR="008E7A10" w:rsidRDefault="00E047B2">
            <w:pPr>
              <w:textAlignment w:val="bottom"/>
            </w:pPr>
            <w:r>
              <w:rPr>
                <w:rFonts w:ascii="Arial" w:eastAsia="宋体" w:hAnsi="Arial" w:cs="Arial"/>
                <w:color w:val="000000"/>
                <w:sz w:val="17"/>
                <w:szCs w:val="17"/>
              </w:rPr>
              <w:t>%</w:t>
            </w:r>
          </w:p>
        </w:tc>
      </w:tr>
      <w:tr w:rsidR="008E7A10" w14:paraId="746F16C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B1" w14:textId="77777777" w:rsidR="008E7A10" w:rsidRDefault="00E047B2">
            <w:pPr>
              <w:textAlignment w:val="bottom"/>
            </w:pPr>
            <w:r>
              <w:rPr>
                <w:rFonts w:ascii="Arial" w:eastAsia="宋体" w:hAnsi="Arial" w:cs="Arial"/>
                <w:color w:val="000000"/>
                <w:sz w:val="17"/>
                <w:szCs w:val="17"/>
              </w:rPr>
              <w:t>Total selling and administrative expense</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6B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6B3" w14:textId="77777777" w:rsidR="008E7A10" w:rsidRDefault="00E047B2">
            <w:pPr>
              <w:jc w:val="right"/>
              <w:textAlignment w:val="bottom"/>
            </w:pPr>
            <w:r>
              <w:rPr>
                <w:rFonts w:ascii="Arial" w:eastAsia="宋体" w:hAnsi="Arial" w:cs="Arial"/>
                <w:color w:val="000000"/>
                <w:sz w:val="17"/>
                <w:szCs w:val="17"/>
              </w:rPr>
              <w:t>3,267 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6B4"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6B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6B6" w14:textId="77777777" w:rsidR="008E7A10" w:rsidRDefault="00E047B2">
            <w:pPr>
              <w:jc w:val="right"/>
              <w:textAlignment w:val="bottom"/>
            </w:pPr>
            <w:r>
              <w:rPr>
                <w:rFonts w:ascii="Arial" w:eastAsia="宋体" w:hAnsi="Arial" w:cs="Arial"/>
                <w:color w:val="000000"/>
                <w:sz w:val="17"/>
                <w:szCs w:val="17"/>
              </w:rPr>
              <w:t>3,324 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B7"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6B8"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B9"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6BA"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6B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6BC" w14:textId="77777777" w:rsidR="008E7A10" w:rsidRDefault="00E047B2">
            <w:pPr>
              <w:jc w:val="right"/>
              <w:textAlignment w:val="bottom"/>
            </w:pPr>
            <w:r>
              <w:rPr>
                <w:rFonts w:ascii="Arial" w:eastAsia="宋体" w:hAnsi="Arial" w:cs="Arial"/>
                <w:color w:val="000000"/>
                <w:sz w:val="17"/>
                <w:szCs w:val="17"/>
              </w:rPr>
              <w:t>6,242 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6BD"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6B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6BF" w14:textId="77777777" w:rsidR="008E7A10" w:rsidRDefault="00E047B2">
            <w:pPr>
              <w:jc w:val="right"/>
              <w:textAlignment w:val="bottom"/>
            </w:pPr>
            <w:r>
              <w:rPr>
                <w:rFonts w:ascii="Arial" w:eastAsia="宋体" w:hAnsi="Arial" w:cs="Arial"/>
                <w:color w:val="000000"/>
                <w:sz w:val="17"/>
                <w:szCs w:val="17"/>
              </w:rPr>
              <w:t>6,652 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C0"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6C1" w14:textId="77777777" w:rsidR="008E7A10" w:rsidRDefault="00E047B2">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6C2" w14:textId="77777777" w:rsidR="008E7A10" w:rsidRDefault="00E047B2">
            <w:pPr>
              <w:jc w:val="right"/>
              <w:textAlignment w:val="bottom"/>
            </w:pPr>
            <w:r>
              <w:rPr>
                <w:rFonts w:ascii="Arial" w:eastAsia="宋体" w:hAnsi="Arial" w:cs="Arial"/>
                <w:color w:val="000000"/>
                <w:sz w:val="17"/>
                <w:szCs w:val="17"/>
              </w:rPr>
              <w:t>%</w:t>
            </w:r>
          </w:p>
        </w:tc>
      </w:tr>
      <w:tr w:rsidR="008E7A10" w14:paraId="746F16D0" w14:textId="77777777">
        <w:tc>
          <w:tcPr>
            <w:tcW w:w="0" w:type="auto"/>
            <w:gridSpan w:val="3"/>
            <w:tcBorders>
              <w:top w:val="single" w:sz="8" w:space="0" w:color="808080"/>
              <w:bottom w:val="single" w:sz="8" w:space="0" w:color="E87722"/>
            </w:tcBorders>
            <w:shd w:val="clear" w:color="auto" w:fill="auto"/>
            <w:tcMar>
              <w:top w:w="40" w:type="dxa"/>
              <w:left w:w="155" w:type="dxa"/>
              <w:bottom w:w="40" w:type="dxa"/>
              <w:right w:w="20" w:type="dxa"/>
            </w:tcMar>
            <w:vAlign w:val="bottom"/>
          </w:tcPr>
          <w:p w14:paraId="746F16C4" w14:textId="77777777" w:rsidR="008E7A10" w:rsidRDefault="00E047B2">
            <w:pPr>
              <w:textAlignment w:val="bottom"/>
            </w:pPr>
            <w:r>
              <w:rPr>
                <w:rFonts w:ascii="Arial" w:eastAsia="宋体" w:hAnsi="Arial" w:cs="Arial"/>
                <w:color w:val="000000"/>
                <w:sz w:val="17"/>
                <w:szCs w:val="17"/>
              </w:rPr>
              <w:t>% of revenues</w:t>
            </w: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16C5" w14:textId="77777777" w:rsidR="008E7A10" w:rsidRDefault="00E047B2">
            <w:pPr>
              <w:jc w:val="right"/>
              <w:textAlignment w:val="bottom"/>
            </w:pPr>
            <w:r>
              <w:rPr>
                <w:rFonts w:ascii="Arial" w:eastAsia="宋体" w:hAnsi="Arial" w:cs="Arial"/>
                <w:color w:val="000000"/>
                <w:sz w:val="17"/>
                <w:szCs w:val="17"/>
              </w:rPr>
              <w:t>29.1 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16C6"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6C7" w14:textId="77777777" w:rsidR="008E7A10" w:rsidRDefault="00E047B2">
            <w:pPr>
              <w:jc w:val="right"/>
              <w:textAlignment w:val="bottom"/>
            </w:pPr>
            <w:r>
              <w:rPr>
                <w:rFonts w:ascii="Arial" w:eastAsia="宋体" w:hAnsi="Arial" w:cs="Arial"/>
                <w:color w:val="000000"/>
                <w:sz w:val="17"/>
                <w:szCs w:val="17"/>
              </w:rPr>
              <w:t>32.2 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6C8"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746F16C9" w14:textId="77777777" w:rsidR="008E7A10" w:rsidRDefault="00E047B2">
            <w:pPr>
              <w:jc w:val="right"/>
              <w:textAlignment w:val="top"/>
            </w:pPr>
            <w:r>
              <w:rPr>
                <w:rFonts w:ascii="Arial" w:eastAsia="宋体" w:hAnsi="Arial" w:cs="Arial"/>
                <w:color w:val="000000"/>
                <w:sz w:val="17"/>
                <w:szCs w:val="17"/>
              </w:rPr>
              <w:t>(310) bps</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F16CA" w14:textId="77777777" w:rsidR="008E7A10" w:rsidRDefault="008E7A10">
            <w:pPr>
              <w:rPr>
                <w:rFonts w:ascii="宋体"/>
              </w:rPr>
            </w:pPr>
          </w:p>
        </w:tc>
        <w:tc>
          <w:tcPr>
            <w:tcW w:w="0" w:type="auto"/>
            <w:gridSpan w:val="2"/>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16CB" w14:textId="77777777" w:rsidR="008E7A10" w:rsidRDefault="00E047B2">
            <w:pPr>
              <w:jc w:val="right"/>
              <w:textAlignment w:val="bottom"/>
            </w:pPr>
            <w:r>
              <w:rPr>
                <w:rFonts w:ascii="Arial" w:eastAsia="宋体" w:hAnsi="Arial" w:cs="Arial"/>
                <w:color w:val="000000"/>
                <w:sz w:val="17"/>
                <w:szCs w:val="17"/>
              </w:rPr>
              <w:t>28.6 </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16CC"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6CD" w14:textId="77777777" w:rsidR="008E7A10" w:rsidRDefault="00E047B2">
            <w:pPr>
              <w:jc w:val="right"/>
              <w:textAlignment w:val="bottom"/>
            </w:pPr>
            <w:r>
              <w:rPr>
                <w:rFonts w:ascii="Arial" w:eastAsia="宋体" w:hAnsi="Arial" w:cs="Arial"/>
                <w:color w:val="000000"/>
                <w:sz w:val="17"/>
                <w:szCs w:val="17"/>
              </w:rPr>
              <w:t>31.7 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6CE"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746F16CF" w14:textId="77777777" w:rsidR="008E7A10" w:rsidRDefault="00E047B2">
            <w:pPr>
              <w:jc w:val="right"/>
              <w:textAlignment w:val="top"/>
            </w:pPr>
            <w:r>
              <w:rPr>
                <w:rFonts w:ascii="Arial" w:eastAsia="宋体" w:hAnsi="Arial" w:cs="Arial"/>
                <w:color w:val="000000"/>
                <w:sz w:val="17"/>
                <w:szCs w:val="17"/>
              </w:rPr>
              <w:t>(310) bps</w:t>
            </w:r>
          </w:p>
        </w:tc>
      </w:tr>
    </w:tbl>
    <w:p w14:paraId="746F16D1" w14:textId="77777777" w:rsidR="008E7A10" w:rsidRDefault="00E047B2">
      <w:pPr>
        <w:spacing w:before="60" w:after="60"/>
        <w:ind w:hanging="360"/>
      </w:pPr>
      <w:r>
        <w:rPr>
          <w:rFonts w:ascii="Arial" w:eastAsia="宋体" w:hAnsi="Arial" w:cs="Arial"/>
          <w:i/>
          <w:iCs/>
          <w:color w:val="000000"/>
          <w:sz w:val="14"/>
          <w:szCs w:val="14"/>
        </w:rPr>
        <w:t xml:space="preserve">(1)Demand creation expense consists of advertising and promotion costs, including costs of endorsement contracts, complimentary product, television, digital and print advertising and media costs, brand events and </w:t>
      </w:r>
      <w:r>
        <w:rPr>
          <w:rFonts w:ascii="Arial" w:eastAsia="宋体" w:hAnsi="Arial" w:cs="Arial"/>
          <w:i/>
          <w:iCs/>
          <w:color w:val="000000"/>
          <w:sz w:val="14"/>
          <w:szCs w:val="14"/>
        </w:rPr>
        <w:t>retail brand presentation.</w:t>
      </w:r>
    </w:p>
    <w:p w14:paraId="746F16D2" w14:textId="77777777" w:rsidR="008E7A10" w:rsidRDefault="00E047B2">
      <w:pPr>
        <w:spacing w:before="120"/>
      </w:pPr>
      <w:r>
        <w:rPr>
          <w:rFonts w:ascii="sans-serif" w:eastAsia="sans-serif" w:hAnsi="sans-serif" w:cs="sans-serif"/>
          <w:b/>
          <w:bCs/>
          <w:color w:val="808080"/>
          <w:sz w:val="22"/>
          <w:szCs w:val="22"/>
        </w:rPr>
        <w:t>SECOND QUARTER OF FISCAL 2021 COMPARED TO SECOND QUARTER OF FISCAL 2020</w:t>
      </w:r>
    </w:p>
    <w:p w14:paraId="746F16D3" w14:textId="77777777" w:rsidR="008E7A10" w:rsidRDefault="00E047B2">
      <w:r>
        <w:rPr>
          <w:rFonts w:ascii="Arial" w:eastAsia="宋体" w:hAnsi="Arial" w:cs="Arial"/>
          <w:color w:val="000000"/>
          <w:sz w:val="17"/>
          <w:szCs w:val="17"/>
        </w:rPr>
        <w:t>Demand creation expense decreased 17% for the second quarter of fiscal 2021 due primarily to lower advertising and marketing costs, as well as a decline in s</w:t>
      </w:r>
      <w:r>
        <w:rPr>
          <w:rFonts w:ascii="Arial" w:eastAsia="宋体" w:hAnsi="Arial" w:cs="Arial"/>
          <w:color w:val="000000"/>
          <w:sz w:val="17"/>
          <w:szCs w:val="17"/>
        </w:rPr>
        <w:t>ports marketing expense and retail brand presentation costs as a result of COVID-19. This activity was partially offset by an increase in digital marketing to support heightened digital demand. Changes in foreign currency exchange rates increased Demand cr</w:t>
      </w:r>
      <w:r>
        <w:rPr>
          <w:rFonts w:ascii="Arial" w:eastAsia="宋体" w:hAnsi="Arial" w:cs="Arial"/>
          <w:color w:val="000000"/>
          <w:sz w:val="17"/>
          <w:szCs w:val="17"/>
        </w:rPr>
        <w:t>eation expense by approximately 1 percentage point.</w:t>
      </w:r>
    </w:p>
    <w:p w14:paraId="746F16D4" w14:textId="77777777" w:rsidR="008E7A10" w:rsidRDefault="00E047B2">
      <w:pPr>
        <w:spacing w:before="120" w:after="120"/>
      </w:pPr>
      <w:r>
        <w:rPr>
          <w:rFonts w:ascii="Arial" w:eastAsia="宋体" w:hAnsi="Arial" w:cs="Arial"/>
          <w:color w:val="000000"/>
          <w:sz w:val="17"/>
          <w:szCs w:val="17"/>
        </w:rPr>
        <w:t xml:space="preserve">Operating overhead expense increased 4% primarily due to $137 million of restructuring-related costs associated with changes to our organizational model announced in July 2020, as well as </w:t>
      </w:r>
      <w:r>
        <w:rPr>
          <w:rFonts w:ascii="Arial" w:eastAsia="宋体" w:hAnsi="Arial" w:cs="Arial"/>
          <w:color w:val="000000"/>
          <w:sz w:val="17"/>
          <w:szCs w:val="17"/>
        </w:rPr>
        <w:t>continued investments in digital capabilities to support the Consumer Direct Acceleration strategy. These costs were slightly offset by disciplined expense management including lower wage-related expenses and lower travel and related costs. Changes in fore</w:t>
      </w:r>
      <w:r>
        <w:rPr>
          <w:rFonts w:ascii="Arial" w:eastAsia="宋体" w:hAnsi="Arial" w:cs="Arial"/>
          <w:color w:val="000000"/>
          <w:sz w:val="17"/>
          <w:szCs w:val="17"/>
        </w:rPr>
        <w:t>ign currency exchange rates increased Operating overhead expense by approximately 1 percentage point.</w:t>
      </w:r>
    </w:p>
    <w:p w14:paraId="746F16D5" w14:textId="77777777" w:rsidR="008E7A10" w:rsidRDefault="00E047B2">
      <w:pPr>
        <w:spacing w:before="120"/>
      </w:pPr>
      <w:r>
        <w:rPr>
          <w:rFonts w:ascii="sans-serif" w:eastAsia="sans-serif" w:hAnsi="sans-serif" w:cs="sans-serif"/>
          <w:b/>
          <w:bCs/>
          <w:color w:val="808080"/>
          <w:sz w:val="22"/>
          <w:szCs w:val="22"/>
        </w:rPr>
        <w:t>FIRST SIX MONTHS OF FISCAL 2021 COMPARED TO FIRST SIX MONTHS OF FISCAL 2020</w:t>
      </w:r>
    </w:p>
    <w:p w14:paraId="746F16D6" w14:textId="77777777" w:rsidR="008E7A10" w:rsidRDefault="00E047B2">
      <w:r>
        <w:rPr>
          <w:rFonts w:ascii="Arial" w:eastAsia="宋体" w:hAnsi="Arial" w:cs="Arial"/>
          <w:color w:val="000000"/>
          <w:sz w:val="17"/>
          <w:szCs w:val="17"/>
        </w:rPr>
        <w:t>Demand creation expense decreased 26% for the first six months of fiscal 2021,</w:t>
      </w:r>
      <w:r>
        <w:rPr>
          <w:rFonts w:ascii="Arial" w:eastAsia="宋体" w:hAnsi="Arial" w:cs="Arial"/>
          <w:color w:val="000000"/>
          <w:sz w:val="17"/>
          <w:szCs w:val="17"/>
        </w:rPr>
        <w:t xml:space="preserve"> driven by lower advertising and marketing costs, as well as a decline in sports marketing expense and retail brand presentation costs as a result of COVID-19. This activity was partially offset by an increase in digital marketing to support heightened dig</w:t>
      </w:r>
      <w:r>
        <w:rPr>
          <w:rFonts w:ascii="Arial" w:eastAsia="宋体" w:hAnsi="Arial" w:cs="Arial"/>
          <w:color w:val="000000"/>
          <w:sz w:val="17"/>
          <w:szCs w:val="17"/>
        </w:rPr>
        <w:t>ital demand. Changes in foreign currency exchange rates had an insignificant impact on Demand creation expense.</w:t>
      </w:r>
    </w:p>
    <w:p w14:paraId="746F16D7" w14:textId="77777777" w:rsidR="008E7A10" w:rsidRDefault="00E047B2">
      <w:pPr>
        <w:spacing w:before="120" w:after="120"/>
      </w:pPr>
      <w:r>
        <w:rPr>
          <w:rFonts w:ascii="Arial" w:eastAsia="宋体" w:hAnsi="Arial" w:cs="Arial"/>
          <w:color w:val="000000"/>
          <w:sz w:val="17"/>
          <w:szCs w:val="17"/>
        </w:rPr>
        <w:t>Operating overhead expense increased 2%, primarily due to $184 million of restructuring-related costs associated with changes to our organizatio</w:t>
      </w:r>
      <w:r>
        <w:rPr>
          <w:rFonts w:ascii="Arial" w:eastAsia="宋体" w:hAnsi="Arial" w:cs="Arial"/>
          <w:color w:val="000000"/>
          <w:sz w:val="17"/>
          <w:szCs w:val="17"/>
        </w:rPr>
        <w:t>nal model announced in July 2020, as well as our continued investments in digital capabilities, partially offset by lower travel and related expenses. Changes in foreign currency exchange rates had an insignificant impact on Operating overhead expense.</w:t>
      </w:r>
    </w:p>
    <w:p w14:paraId="746F16D8" w14:textId="77777777" w:rsidR="008E7A10" w:rsidRDefault="00E047B2">
      <w:pPr>
        <w:spacing w:before="120" w:after="120"/>
      </w:pPr>
      <w:r>
        <w:rPr>
          <w:rFonts w:ascii="Arial" w:eastAsia="宋体" w:hAnsi="Arial" w:cs="Arial"/>
          <w:color w:val="000000"/>
          <w:sz w:val="17"/>
          <w:szCs w:val="17"/>
        </w:rPr>
        <w:t>For</w:t>
      </w:r>
      <w:r>
        <w:rPr>
          <w:rFonts w:ascii="Arial" w:eastAsia="宋体" w:hAnsi="Arial" w:cs="Arial"/>
          <w:color w:val="000000"/>
          <w:sz w:val="17"/>
          <w:szCs w:val="17"/>
        </w:rPr>
        <w:t xml:space="preserve"> more information related to our organizational realignment and related costs, see Note 14 — Restructuring within the accompanying Notes to the Unaudited Condensed Consolidated Financial Statements.</w:t>
      </w:r>
    </w:p>
    <w:p w14:paraId="746F16D9" w14:textId="77777777" w:rsidR="008E7A10" w:rsidRDefault="00E047B2">
      <w:pPr>
        <w:spacing w:before="240" w:after="120"/>
      </w:pPr>
      <w:r>
        <w:rPr>
          <w:rFonts w:ascii="sans-serif" w:eastAsia="sans-serif" w:hAnsi="sans-serif" w:cs="sans-serif"/>
          <w:b/>
          <w:bCs/>
          <w:color w:val="000000"/>
          <w:sz w:val="28"/>
          <w:szCs w:val="28"/>
        </w:rPr>
        <w:t>OTHER (INCOME) EXPENSE, NET</w:t>
      </w:r>
    </w:p>
    <w:tbl>
      <w:tblPr>
        <w:tblW w:w="5000" w:type="pct"/>
        <w:tblCellMar>
          <w:top w:w="15" w:type="dxa"/>
          <w:left w:w="15" w:type="dxa"/>
          <w:bottom w:w="15" w:type="dxa"/>
          <w:right w:w="15" w:type="dxa"/>
        </w:tblCellMar>
        <w:tblLook w:val="04A0" w:firstRow="1" w:lastRow="0" w:firstColumn="1" w:lastColumn="0" w:noHBand="0" w:noVBand="1"/>
      </w:tblPr>
      <w:tblGrid>
        <w:gridCol w:w="38"/>
        <w:gridCol w:w="3673"/>
        <w:gridCol w:w="37"/>
        <w:gridCol w:w="116"/>
        <w:gridCol w:w="968"/>
        <w:gridCol w:w="37"/>
        <w:gridCol w:w="115"/>
        <w:gridCol w:w="968"/>
        <w:gridCol w:w="36"/>
        <w:gridCol w:w="36"/>
        <w:gridCol w:w="36"/>
        <w:gridCol w:w="36"/>
        <w:gridCol w:w="116"/>
        <w:gridCol w:w="968"/>
        <w:gridCol w:w="37"/>
        <w:gridCol w:w="115"/>
        <w:gridCol w:w="968"/>
        <w:gridCol w:w="36"/>
      </w:tblGrid>
      <w:tr w:rsidR="008E7A10" w14:paraId="746F16EC" w14:textId="77777777">
        <w:tc>
          <w:tcPr>
            <w:tcW w:w="50" w:type="pct"/>
            <w:shd w:val="clear" w:color="auto" w:fill="auto"/>
          </w:tcPr>
          <w:p w14:paraId="746F16DA" w14:textId="77777777" w:rsidR="008E7A10" w:rsidRDefault="008E7A10">
            <w:pPr>
              <w:rPr>
                <w:rFonts w:ascii="宋体"/>
              </w:rPr>
            </w:pPr>
          </w:p>
        </w:tc>
        <w:tc>
          <w:tcPr>
            <w:tcW w:w="2242" w:type="pct"/>
            <w:shd w:val="clear" w:color="auto" w:fill="auto"/>
          </w:tcPr>
          <w:p w14:paraId="746F16DB" w14:textId="77777777" w:rsidR="008E7A10" w:rsidRDefault="008E7A10">
            <w:pPr>
              <w:rPr>
                <w:rFonts w:ascii="宋体"/>
              </w:rPr>
            </w:pPr>
          </w:p>
        </w:tc>
        <w:tc>
          <w:tcPr>
            <w:tcW w:w="5" w:type="pct"/>
            <w:shd w:val="clear" w:color="auto" w:fill="auto"/>
          </w:tcPr>
          <w:p w14:paraId="746F16DC" w14:textId="77777777" w:rsidR="008E7A10" w:rsidRDefault="008E7A10">
            <w:pPr>
              <w:rPr>
                <w:rFonts w:ascii="宋体"/>
              </w:rPr>
            </w:pPr>
          </w:p>
        </w:tc>
        <w:tc>
          <w:tcPr>
            <w:tcW w:w="50" w:type="pct"/>
            <w:shd w:val="clear" w:color="auto" w:fill="auto"/>
          </w:tcPr>
          <w:p w14:paraId="746F16DD" w14:textId="77777777" w:rsidR="008E7A10" w:rsidRDefault="008E7A10">
            <w:pPr>
              <w:rPr>
                <w:rFonts w:ascii="宋体"/>
              </w:rPr>
            </w:pPr>
          </w:p>
        </w:tc>
        <w:tc>
          <w:tcPr>
            <w:tcW w:w="613" w:type="pct"/>
            <w:shd w:val="clear" w:color="auto" w:fill="auto"/>
          </w:tcPr>
          <w:p w14:paraId="746F16DE" w14:textId="77777777" w:rsidR="008E7A10" w:rsidRDefault="008E7A10">
            <w:pPr>
              <w:rPr>
                <w:rFonts w:ascii="宋体"/>
              </w:rPr>
            </w:pPr>
          </w:p>
        </w:tc>
        <w:tc>
          <w:tcPr>
            <w:tcW w:w="5" w:type="pct"/>
            <w:shd w:val="clear" w:color="auto" w:fill="auto"/>
          </w:tcPr>
          <w:p w14:paraId="746F16DF" w14:textId="77777777" w:rsidR="008E7A10" w:rsidRDefault="008E7A10">
            <w:pPr>
              <w:rPr>
                <w:rFonts w:ascii="宋体"/>
              </w:rPr>
            </w:pPr>
          </w:p>
        </w:tc>
        <w:tc>
          <w:tcPr>
            <w:tcW w:w="50" w:type="pct"/>
            <w:shd w:val="clear" w:color="auto" w:fill="auto"/>
          </w:tcPr>
          <w:p w14:paraId="746F16E0" w14:textId="77777777" w:rsidR="008E7A10" w:rsidRDefault="008E7A10">
            <w:pPr>
              <w:rPr>
                <w:rFonts w:ascii="宋体"/>
              </w:rPr>
            </w:pPr>
          </w:p>
        </w:tc>
        <w:tc>
          <w:tcPr>
            <w:tcW w:w="613" w:type="pct"/>
            <w:shd w:val="clear" w:color="auto" w:fill="auto"/>
          </w:tcPr>
          <w:p w14:paraId="746F16E1" w14:textId="77777777" w:rsidR="008E7A10" w:rsidRDefault="008E7A10">
            <w:pPr>
              <w:rPr>
                <w:rFonts w:ascii="宋体"/>
              </w:rPr>
            </w:pPr>
          </w:p>
        </w:tc>
        <w:tc>
          <w:tcPr>
            <w:tcW w:w="5" w:type="pct"/>
            <w:shd w:val="clear" w:color="auto" w:fill="auto"/>
          </w:tcPr>
          <w:p w14:paraId="746F16E2" w14:textId="77777777" w:rsidR="008E7A10" w:rsidRDefault="008E7A10">
            <w:pPr>
              <w:rPr>
                <w:rFonts w:ascii="宋体"/>
              </w:rPr>
            </w:pPr>
          </w:p>
        </w:tc>
        <w:tc>
          <w:tcPr>
            <w:tcW w:w="5" w:type="pct"/>
            <w:shd w:val="clear" w:color="auto" w:fill="auto"/>
          </w:tcPr>
          <w:p w14:paraId="746F16E3" w14:textId="77777777" w:rsidR="008E7A10" w:rsidRDefault="008E7A10">
            <w:pPr>
              <w:rPr>
                <w:rFonts w:ascii="宋体"/>
              </w:rPr>
            </w:pPr>
          </w:p>
        </w:tc>
        <w:tc>
          <w:tcPr>
            <w:tcW w:w="20" w:type="pct"/>
            <w:shd w:val="clear" w:color="auto" w:fill="auto"/>
          </w:tcPr>
          <w:p w14:paraId="746F16E4" w14:textId="77777777" w:rsidR="008E7A10" w:rsidRDefault="008E7A10">
            <w:pPr>
              <w:rPr>
                <w:rFonts w:ascii="宋体"/>
              </w:rPr>
            </w:pPr>
          </w:p>
        </w:tc>
        <w:tc>
          <w:tcPr>
            <w:tcW w:w="5" w:type="pct"/>
            <w:shd w:val="clear" w:color="auto" w:fill="auto"/>
          </w:tcPr>
          <w:p w14:paraId="746F16E5" w14:textId="77777777" w:rsidR="008E7A10" w:rsidRDefault="008E7A10">
            <w:pPr>
              <w:rPr>
                <w:rFonts w:ascii="宋体"/>
              </w:rPr>
            </w:pPr>
          </w:p>
        </w:tc>
        <w:tc>
          <w:tcPr>
            <w:tcW w:w="50" w:type="pct"/>
            <w:shd w:val="clear" w:color="auto" w:fill="auto"/>
          </w:tcPr>
          <w:p w14:paraId="746F16E6" w14:textId="77777777" w:rsidR="008E7A10" w:rsidRDefault="008E7A10">
            <w:pPr>
              <w:rPr>
                <w:rFonts w:ascii="宋体"/>
              </w:rPr>
            </w:pPr>
          </w:p>
        </w:tc>
        <w:tc>
          <w:tcPr>
            <w:tcW w:w="613" w:type="pct"/>
            <w:shd w:val="clear" w:color="auto" w:fill="auto"/>
          </w:tcPr>
          <w:p w14:paraId="746F16E7" w14:textId="77777777" w:rsidR="008E7A10" w:rsidRDefault="008E7A10">
            <w:pPr>
              <w:rPr>
                <w:rFonts w:ascii="宋体"/>
              </w:rPr>
            </w:pPr>
          </w:p>
        </w:tc>
        <w:tc>
          <w:tcPr>
            <w:tcW w:w="5" w:type="pct"/>
            <w:shd w:val="clear" w:color="auto" w:fill="auto"/>
          </w:tcPr>
          <w:p w14:paraId="746F16E8" w14:textId="77777777" w:rsidR="008E7A10" w:rsidRDefault="008E7A10">
            <w:pPr>
              <w:rPr>
                <w:rFonts w:ascii="宋体"/>
              </w:rPr>
            </w:pPr>
          </w:p>
        </w:tc>
        <w:tc>
          <w:tcPr>
            <w:tcW w:w="50" w:type="pct"/>
            <w:shd w:val="clear" w:color="auto" w:fill="auto"/>
          </w:tcPr>
          <w:p w14:paraId="746F16E9" w14:textId="77777777" w:rsidR="008E7A10" w:rsidRDefault="008E7A10">
            <w:pPr>
              <w:rPr>
                <w:rFonts w:ascii="宋体"/>
              </w:rPr>
            </w:pPr>
          </w:p>
        </w:tc>
        <w:tc>
          <w:tcPr>
            <w:tcW w:w="613" w:type="pct"/>
            <w:shd w:val="clear" w:color="auto" w:fill="auto"/>
          </w:tcPr>
          <w:p w14:paraId="746F16EA" w14:textId="77777777" w:rsidR="008E7A10" w:rsidRDefault="008E7A10">
            <w:pPr>
              <w:rPr>
                <w:rFonts w:ascii="宋体"/>
              </w:rPr>
            </w:pPr>
          </w:p>
        </w:tc>
        <w:tc>
          <w:tcPr>
            <w:tcW w:w="5" w:type="pct"/>
            <w:shd w:val="clear" w:color="auto" w:fill="auto"/>
          </w:tcPr>
          <w:p w14:paraId="746F16EB" w14:textId="77777777" w:rsidR="008E7A10" w:rsidRDefault="008E7A10">
            <w:pPr>
              <w:rPr>
                <w:rFonts w:ascii="宋体"/>
              </w:rPr>
            </w:pPr>
          </w:p>
        </w:tc>
      </w:tr>
      <w:tr w:rsidR="008E7A10" w14:paraId="746F16F1" w14:textId="77777777">
        <w:tc>
          <w:tcPr>
            <w:tcW w:w="0" w:type="auto"/>
            <w:gridSpan w:val="3"/>
            <w:shd w:val="clear" w:color="auto" w:fill="auto"/>
            <w:tcMar>
              <w:top w:w="0" w:type="dxa"/>
              <w:left w:w="20" w:type="dxa"/>
              <w:bottom w:w="0" w:type="dxa"/>
              <w:right w:w="20" w:type="dxa"/>
            </w:tcMar>
          </w:tcPr>
          <w:p w14:paraId="746F16ED" w14:textId="77777777" w:rsidR="008E7A10" w:rsidRDefault="008E7A10">
            <w:pPr>
              <w:rPr>
                <w:rFonts w:ascii="宋体"/>
              </w:rPr>
            </w:pPr>
          </w:p>
        </w:tc>
        <w:tc>
          <w:tcPr>
            <w:tcW w:w="0" w:type="auto"/>
            <w:gridSpan w:val="6"/>
            <w:shd w:val="clear" w:color="auto" w:fill="auto"/>
            <w:tcMar>
              <w:top w:w="40" w:type="dxa"/>
              <w:left w:w="20" w:type="dxa"/>
              <w:bottom w:w="40" w:type="dxa"/>
              <w:right w:w="20" w:type="dxa"/>
            </w:tcMar>
            <w:vAlign w:val="bottom"/>
          </w:tcPr>
          <w:p w14:paraId="746F16EE"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6EF" w14:textId="77777777" w:rsidR="008E7A10" w:rsidRDefault="008E7A10">
            <w:pPr>
              <w:rPr>
                <w:rFonts w:ascii="宋体"/>
              </w:rPr>
            </w:pPr>
          </w:p>
        </w:tc>
        <w:tc>
          <w:tcPr>
            <w:tcW w:w="0" w:type="auto"/>
            <w:gridSpan w:val="6"/>
            <w:shd w:val="clear" w:color="auto" w:fill="auto"/>
            <w:tcMar>
              <w:top w:w="40" w:type="dxa"/>
              <w:left w:w="20" w:type="dxa"/>
              <w:bottom w:w="40" w:type="dxa"/>
              <w:right w:w="20" w:type="dxa"/>
            </w:tcMar>
            <w:vAlign w:val="bottom"/>
          </w:tcPr>
          <w:p w14:paraId="746F16F0"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6F8" w14:textId="77777777">
        <w:tc>
          <w:tcPr>
            <w:tcW w:w="0" w:type="auto"/>
            <w:gridSpan w:val="3"/>
            <w:shd w:val="clear" w:color="auto" w:fill="auto"/>
            <w:tcMar>
              <w:top w:w="40" w:type="dxa"/>
              <w:left w:w="20" w:type="dxa"/>
              <w:bottom w:w="40" w:type="dxa"/>
              <w:right w:w="20" w:type="dxa"/>
            </w:tcMar>
            <w:vAlign w:val="bottom"/>
          </w:tcPr>
          <w:p w14:paraId="746F16F2"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F3"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F4"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tcPr>
          <w:p w14:paraId="746F16F5"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F6"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6F7" w14:textId="77777777" w:rsidR="008E7A10" w:rsidRDefault="00E047B2">
            <w:pPr>
              <w:jc w:val="center"/>
              <w:textAlignment w:val="bottom"/>
            </w:pPr>
            <w:r>
              <w:rPr>
                <w:rFonts w:ascii="sans-serif" w:eastAsia="sans-serif" w:hAnsi="sans-serif" w:cs="sans-serif"/>
                <w:b/>
                <w:bCs/>
                <w:color w:val="000000"/>
                <w:sz w:val="17"/>
                <w:szCs w:val="17"/>
              </w:rPr>
              <w:t>2019</w:t>
            </w:r>
          </w:p>
        </w:tc>
      </w:tr>
      <w:tr w:rsidR="008E7A10" w14:paraId="746F170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6F9" w14:textId="77777777" w:rsidR="008E7A10" w:rsidRDefault="00E047B2">
            <w:pPr>
              <w:textAlignment w:val="bottom"/>
            </w:pPr>
            <w:r>
              <w:rPr>
                <w:rFonts w:ascii="Arial" w:eastAsia="宋体" w:hAnsi="Arial" w:cs="Arial"/>
                <w:color w:val="000000"/>
                <w:sz w:val="17"/>
                <w:szCs w:val="17"/>
              </w:rPr>
              <w:t>Other (income) expense,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6F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6FB" w14:textId="77777777" w:rsidR="008E7A10" w:rsidRDefault="00E047B2">
            <w:pPr>
              <w:jc w:val="right"/>
              <w:textAlignment w:val="bottom"/>
            </w:pPr>
            <w:r>
              <w:rPr>
                <w:rFonts w:ascii="Arial" w:eastAsia="宋体" w:hAnsi="Arial" w:cs="Arial"/>
                <w:color w:val="000000"/>
                <w:sz w:val="17"/>
                <w:szCs w:val="17"/>
              </w:rPr>
              <w:t>54 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6FC"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6F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6FE" w14:textId="77777777" w:rsidR="008E7A10" w:rsidRDefault="00E047B2">
            <w:pPr>
              <w:jc w:val="right"/>
              <w:textAlignment w:val="bottom"/>
            </w:pPr>
            <w:r>
              <w:rPr>
                <w:rFonts w:ascii="Arial" w:eastAsia="宋体" w:hAnsi="Arial" w:cs="Arial"/>
                <w:color w:val="000000"/>
                <w:sz w:val="17"/>
                <w:szCs w:val="17"/>
              </w:rPr>
              <w:t>(41)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6FF" w14:textId="77777777" w:rsidR="008E7A10" w:rsidRDefault="008E7A10">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700"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70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702"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703"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70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705" w14:textId="77777777" w:rsidR="008E7A10" w:rsidRDefault="00E047B2">
            <w:pPr>
              <w:jc w:val="right"/>
              <w:textAlignment w:val="bottom"/>
            </w:pPr>
            <w:r>
              <w:rPr>
                <w:rFonts w:ascii="Arial" w:eastAsia="宋体" w:hAnsi="Arial" w:cs="Arial"/>
                <w:color w:val="000000"/>
                <w:sz w:val="17"/>
                <w:szCs w:val="17"/>
              </w:rPr>
              <w:t>(74)</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706" w14:textId="77777777" w:rsidR="008E7A10" w:rsidRDefault="008E7A10">
            <w:pPr>
              <w:jc w:val="right"/>
              <w:rPr>
                <w:rFonts w:ascii="宋体"/>
              </w:rPr>
            </w:pPr>
          </w:p>
        </w:tc>
      </w:tr>
    </w:tbl>
    <w:p w14:paraId="746F1708" w14:textId="77777777" w:rsidR="008E7A10" w:rsidRDefault="00E047B2">
      <w:pPr>
        <w:spacing w:before="120" w:after="120"/>
      </w:pPr>
      <w:r>
        <w:rPr>
          <w:rFonts w:ascii="Arial" w:eastAsia="宋体" w:hAnsi="Arial" w:cs="Arial"/>
          <w:color w:val="000000"/>
          <w:sz w:val="17"/>
          <w:szCs w:val="17"/>
        </w:rPr>
        <w:t xml:space="preserve">Other (income) expense, net comprises foreign currency conversion gains and losses from the re-measurement of monetary assets and liabilities denominated in non-functional currencies and the </w:t>
      </w:r>
      <w:r>
        <w:rPr>
          <w:rFonts w:ascii="Arial" w:eastAsia="宋体" w:hAnsi="Arial" w:cs="Arial"/>
          <w:color w:val="000000"/>
          <w:sz w:val="17"/>
          <w:szCs w:val="17"/>
        </w:rPr>
        <w:t>impact of certain foreign currency derivative instruments, as well as unusual or non-operating transactions that are outside the normal course of business.</w:t>
      </w:r>
    </w:p>
    <w:p w14:paraId="746F1709" w14:textId="77777777" w:rsidR="008E7A10" w:rsidRDefault="00E047B2">
      <w:pPr>
        <w:spacing w:before="120" w:after="120"/>
      </w:pPr>
      <w:r>
        <w:rPr>
          <w:rFonts w:ascii="Arial" w:eastAsia="宋体" w:hAnsi="Arial" w:cs="Arial"/>
          <w:color w:val="000000"/>
          <w:sz w:val="17"/>
          <w:szCs w:val="17"/>
        </w:rPr>
        <w:t>For the second quarter of fiscal 2021, Other (income) expense, net changed from $41 million of other income, net to $54 million of other expense, net in the current year, primarily due to a net detrimental change in foreign currency conversion gains and lo</w:t>
      </w:r>
      <w:r>
        <w:rPr>
          <w:rFonts w:ascii="Arial" w:eastAsia="宋体" w:hAnsi="Arial" w:cs="Arial"/>
          <w:color w:val="000000"/>
          <w:sz w:val="17"/>
          <w:szCs w:val="17"/>
        </w:rPr>
        <w:t xml:space="preserve">sses, including hedges, as well as a charge related to our planned, strategic distributor partnership transition within APLA. </w:t>
      </w:r>
    </w:p>
    <w:p w14:paraId="746F170A" w14:textId="77777777" w:rsidR="008E7A10" w:rsidRDefault="00E047B2">
      <w:pPr>
        <w:spacing w:before="120" w:after="120"/>
      </w:pPr>
      <w:r>
        <w:rPr>
          <w:rFonts w:ascii="Arial" w:eastAsia="宋体" w:hAnsi="Arial" w:cs="Arial"/>
          <w:color w:val="000000"/>
          <w:sz w:val="17"/>
          <w:szCs w:val="17"/>
        </w:rPr>
        <w:t>For the first six months of fiscal 2021, Other (income) expense, net changed from $74 million of other income, net to $40 million</w:t>
      </w:r>
      <w:r>
        <w:rPr>
          <w:rFonts w:ascii="Arial" w:eastAsia="宋体" w:hAnsi="Arial" w:cs="Arial"/>
          <w:color w:val="000000"/>
          <w:sz w:val="17"/>
          <w:szCs w:val="17"/>
        </w:rPr>
        <w:t xml:space="preserve"> of other expense, net in the current year, primarily due to charges related to our planned, strategic distributor partnership transition within APLA, as well as a net detrimental change in foreign currency conversion gains and losses, including hedges. </w:t>
      </w:r>
    </w:p>
    <w:p w14:paraId="746F170B" w14:textId="77777777" w:rsidR="008E7A10" w:rsidRDefault="00E047B2">
      <w:pPr>
        <w:spacing w:before="120" w:after="120"/>
      </w:pPr>
      <w:r>
        <w:rPr>
          <w:rFonts w:ascii="Arial" w:eastAsia="宋体" w:hAnsi="Arial" w:cs="Arial"/>
          <w:color w:val="000000"/>
          <w:sz w:val="17"/>
          <w:szCs w:val="17"/>
        </w:rPr>
        <w:t>F</w:t>
      </w:r>
      <w:r>
        <w:rPr>
          <w:rFonts w:ascii="Arial" w:eastAsia="宋体" w:hAnsi="Arial" w:cs="Arial"/>
          <w:color w:val="000000"/>
          <w:sz w:val="17"/>
          <w:szCs w:val="17"/>
        </w:rPr>
        <w:t>or more information related to our distributor partnership transition within APLA, see Note 13 — Acquisitions and Divestitures within the accompanying Notes to the Unaudited Condensed Consolidated Financial Statements.</w:t>
      </w:r>
    </w:p>
    <w:p w14:paraId="746F170C" w14:textId="77777777" w:rsidR="008E7A10" w:rsidRDefault="00E047B2">
      <w:pPr>
        <w:spacing w:before="120" w:after="120"/>
      </w:pPr>
      <w:r>
        <w:rPr>
          <w:rFonts w:ascii="Arial" w:eastAsia="宋体" w:hAnsi="Arial" w:cs="Arial"/>
          <w:color w:val="000000"/>
          <w:sz w:val="17"/>
          <w:szCs w:val="17"/>
        </w:rPr>
        <w:t>We estimate the combination of the tr</w:t>
      </w:r>
      <w:r>
        <w:rPr>
          <w:rFonts w:ascii="Arial" w:eastAsia="宋体" w:hAnsi="Arial" w:cs="Arial"/>
          <w:color w:val="000000"/>
          <w:sz w:val="17"/>
          <w:szCs w:val="17"/>
        </w:rPr>
        <w:t>anslation of foreign currency-denominated profits from our international businesses and the year-over-year change in foreign currency-related gains and losses included in Other (income) expense, net had favorable impacts of approximately $10 million and un</w:t>
      </w:r>
      <w:r>
        <w:rPr>
          <w:rFonts w:ascii="Arial" w:eastAsia="宋体" w:hAnsi="Arial" w:cs="Arial"/>
          <w:color w:val="000000"/>
          <w:sz w:val="17"/>
          <w:szCs w:val="17"/>
        </w:rPr>
        <w:t>favorable impacts of approximately $28 million on our Income before income taxes for the second quarter and first six months of fiscal 2021, respectively.</w:t>
      </w:r>
    </w:p>
    <w:p w14:paraId="746F170D" w14:textId="77777777" w:rsidR="008E7A10" w:rsidRDefault="00E047B2">
      <w:pPr>
        <w:spacing w:before="120" w:after="120"/>
      </w:pPr>
      <w:r>
        <w:rPr>
          <w:rFonts w:ascii="Arial" w:eastAsia="宋体" w:hAnsi="Arial" w:cs="Arial"/>
          <w:color w:val="E87722"/>
          <w:sz w:val="17"/>
          <w:szCs w:val="17"/>
        </w:rPr>
        <w:t>30</w:t>
      </w:r>
      <w:r>
        <w:rPr>
          <w:rFonts w:ascii="sans-serif" w:eastAsia="sans-serif" w:hAnsi="sans-serif" w:cs="sans-serif"/>
          <w:color w:val="000000"/>
          <w:sz w:val="17"/>
          <w:szCs w:val="17"/>
        </w:rPr>
        <w:t xml:space="preserve"> </w:t>
      </w:r>
    </w:p>
    <w:p w14:paraId="746F170E" w14:textId="77777777" w:rsidR="008E7A10" w:rsidRDefault="00E047B2">
      <w:r>
        <w:pict w14:anchorId="746F2026">
          <v:rect id="_x0000_i1056" style="width:415.3pt;height:1.5pt" o:hralign="center" o:hrstd="t" o:hr="t" fillcolor="#a0a0a0" stroked="f"/>
        </w:pict>
      </w:r>
    </w:p>
    <w:p w14:paraId="746F170F" w14:textId="77777777" w:rsidR="008E7A10" w:rsidRDefault="008E7A10"/>
    <w:p w14:paraId="746F1710" w14:textId="77777777" w:rsidR="008E7A10" w:rsidRDefault="00E047B2">
      <w:hyperlink r:id="rId101" w:anchor="i31a624617c6c41b38f8f700fa0df5bde_7" w:history="1">
        <w:r>
          <w:rPr>
            <w:rStyle w:val="a5"/>
            <w:rFonts w:ascii="sans-serif" w:eastAsia="sans-serif" w:hAnsi="sans-serif" w:cs="sans-serif"/>
            <w:sz w:val="17"/>
            <w:szCs w:val="17"/>
          </w:rPr>
          <w:t>Table of Contents</w:t>
        </w:r>
      </w:hyperlink>
    </w:p>
    <w:p w14:paraId="746F1711" w14:textId="77777777" w:rsidR="008E7A10" w:rsidRDefault="008E7A10"/>
    <w:p w14:paraId="746F1712" w14:textId="77777777" w:rsidR="008E7A10" w:rsidRDefault="00E047B2">
      <w:pPr>
        <w:spacing w:before="240" w:after="120"/>
      </w:pPr>
      <w:r>
        <w:rPr>
          <w:rFonts w:ascii="sans-serif" w:eastAsia="sans-serif" w:hAnsi="sans-serif" w:cs="sans-serif"/>
          <w:b/>
          <w:bCs/>
          <w:color w:val="000000"/>
          <w:sz w:val="28"/>
          <w:szCs w:val="28"/>
        </w:rPr>
        <w:t>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3356"/>
        <w:gridCol w:w="36"/>
        <w:gridCol w:w="42"/>
        <w:gridCol w:w="644"/>
        <w:gridCol w:w="173"/>
        <w:gridCol w:w="42"/>
        <w:gridCol w:w="644"/>
        <w:gridCol w:w="172"/>
        <w:gridCol w:w="68"/>
        <w:gridCol w:w="618"/>
        <w:gridCol w:w="37"/>
        <w:gridCol w:w="36"/>
        <w:gridCol w:w="36"/>
        <w:gridCol w:w="36"/>
        <w:gridCol w:w="43"/>
        <w:gridCol w:w="585"/>
        <w:gridCol w:w="173"/>
        <w:gridCol w:w="43"/>
        <w:gridCol w:w="630"/>
        <w:gridCol w:w="172"/>
        <w:gridCol w:w="69"/>
        <w:gridCol w:w="607"/>
        <w:gridCol w:w="37"/>
      </w:tblGrid>
      <w:tr w:rsidR="008E7A10" w14:paraId="746F172B" w14:textId="77777777">
        <w:tc>
          <w:tcPr>
            <w:tcW w:w="50" w:type="pct"/>
            <w:shd w:val="clear" w:color="auto" w:fill="auto"/>
          </w:tcPr>
          <w:p w14:paraId="746F1713" w14:textId="77777777" w:rsidR="008E7A10" w:rsidRDefault="008E7A10">
            <w:pPr>
              <w:rPr>
                <w:rFonts w:ascii="宋体"/>
              </w:rPr>
            </w:pPr>
          </w:p>
        </w:tc>
        <w:tc>
          <w:tcPr>
            <w:tcW w:w="2047" w:type="pct"/>
            <w:shd w:val="clear" w:color="auto" w:fill="auto"/>
          </w:tcPr>
          <w:p w14:paraId="746F1714" w14:textId="77777777" w:rsidR="008E7A10" w:rsidRDefault="008E7A10">
            <w:pPr>
              <w:rPr>
                <w:rFonts w:ascii="宋体"/>
              </w:rPr>
            </w:pPr>
          </w:p>
        </w:tc>
        <w:tc>
          <w:tcPr>
            <w:tcW w:w="5" w:type="pct"/>
            <w:shd w:val="clear" w:color="auto" w:fill="auto"/>
          </w:tcPr>
          <w:p w14:paraId="746F1715" w14:textId="77777777" w:rsidR="008E7A10" w:rsidRDefault="008E7A10">
            <w:pPr>
              <w:rPr>
                <w:rFonts w:ascii="宋体"/>
              </w:rPr>
            </w:pPr>
          </w:p>
        </w:tc>
        <w:tc>
          <w:tcPr>
            <w:tcW w:w="50" w:type="pct"/>
            <w:shd w:val="clear" w:color="auto" w:fill="auto"/>
          </w:tcPr>
          <w:p w14:paraId="746F1716" w14:textId="77777777" w:rsidR="008E7A10" w:rsidRDefault="008E7A10">
            <w:pPr>
              <w:rPr>
                <w:rFonts w:ascii="宋体"/>
              </w:rPr>
            </w:pPr>
          </w:p>
        </w:tc>
        <w:tc>
          <w:tcPr>
            <w:tcW w:w="425" w:type="pct"/>
            <w:shd w:val="clear" w:color="auto" w:fill="auto"/>
          </w:tcPr>
          <w:p w14:paraId="746F1717" w14:textId="77777777" w:rsidR="008E7A10" w:rsidRDefault="008E7A10">
            <w:pPr>
              <w:rPr>
                <w:rFonts w:ascii="宋体"/>
              </w:rPr>
            </w:pPr>
          </w:p>
        </w:tc>
        <w:tc>
          <w:tcPr>
            <w:tcW w:w="5" w:type="pct"/>
            <w:shd w:val="clear" w:color="auto" w:fill="auto"/>
          </w:tcPr>
          <w:p w14:paraId="746F1718" w14:textId="77777777" w:rsidR="008E7A10" w:rsidRDefault="008E7A10">
            <w:pPr>
              <w:rPr>
                <w:rFonts w:ascii="宋体"/>
              </w:rPr>
            </w:pPr>
          </w:p>
        </w:tc>
        <w:tc>
          <w:tcPr>
            <w:tcW w:w="50" w:type="pct"/>
            <w:shd w:val="clear" w:color="auto" w:fill="auto"/>
          </w:tcPr>
          <w:p w14:paraId="746F1719" w14:textId="77777777" w:rsidR="008E7A10" w:rsidRDefault="008E7A10">
            <w:pPr>
              <w:rPr>
                <w:rFonts w:ascii="宋体"/>
              </w:rPr>
            </w:pPr>
          </w:p>
        </w:tc>
        <w:tc>
          <w:tcPr>
            <w:tcW w:w="425" w:type="pct"/>
            <w:shd w:val="clear" w:color="auto" w:fill="auto"/>
          </w:tcPr>
          <w:p w14:paraId="746F171A" w14:textId="77777777" w:rsidR="008E7A10" w:rsidRDefault="008E7A10">
            <w:pPr>
              <w:rPr>
                <w:rFonts w:ascii="宋体"/>
              </w:rPr>
            </w:pPr>
          </w:p>
        </w:tc>
        <w:tc>
          <w:tcPr>
            <w:tcW w:w="5" w:type="pct"/>
            <w:shd w:val="clear" w:color="auto" w:fill="auto"/>
          </w:tcPr>
          <w:p w14:paraId="746F171B" w14:textId="77777777" w:rsidR="008E7A10" w:rsidRDefault="008E7A10">
            <w:pPr>
              <w:rPr>
                <w:rFonts w:ascii="宋体"/>
              </w:rPr>
            </w:pPr>
          </w:p>
        </w:tc>
        <w:tc>
          <w:tcPr>
            <w:tcW w:w="50" w:type="pct"/>
            <w:shd w:val="clear" w:color="auto" w:fill="auto"/>
          </w:tcPr>
          <w:p w14:paraId="746F171C" w14:textId="77777777" w:rsidR="008E7A10" w:rsidRDefault="008E7A10">
            <w:pPr>
              <w:rPr>
                <w:rFonts w:ascii="宋体"/>
              </w:rPr>
            </w:pPr>
          </w:p>
        </w:tc>
        <w:tc>
          <w:tcPr>
            <w:tcW w:w="425" w:type="pct"/>
            <w:shd w:val="clear" w:color="auto" w:fill="auto"/>
          </w:tcPr>
          <w:p w14:paraId="746F171D" w14:textId="77777777" w:rsidR="008E7A10" w:rsidRDefault="008E7A10">
            <w:pPr>
              <w:rPr>
                <w:rFonts w:ascii="宋体"/>
              </w:rPr>
            </w:pPr>
          </w:p>
        </w:tc>
        <w:tc>
          <w:tcPr>
            <w:tcW w:w="5" w:type="pct"/>
            <w:shd w:val="clear" w:color="auto" w:fill="auto"/>
          </w:tcPr>
          <w:p w14:paraId="746F171E" w14:textId="77777777" w:rsidR="008E7A10" w:rsidRDefault="008E7A10">
            <w:pPr>
              <w:rPr>
                <w:rFonts w:ascii="宋体"/>
              </w:rPr>
            </w:pPr>
          </w:p>
        </w:tc>
        <w:tc>
          <w:tcPr>
            <w:tcW w:w="5" w:type="pct"/>
            <w:shd w:val="clear" w:color="auto" w:fill="auto"/>
          </w:tcPr>
          <w:p w14:paraId="746F171F" w14:textId="77777777" w:rsidR="008E7A10" w:rsidRDefault="008E7A10">
            <w:pPr>
              <w:rPr>
                <w:rFonts w:ascii="宋体"/>
              </w:rPr>
            </w:pPr>
          </w:p>
        </w:tc>
        <w:tc>
          <w:tcPr>
            <w:tcW w:w="27" w:type="pct"/>
            <w:shd w:val="clear" w:color="auto" w:fill="auto"/>
          </w:tcPr>
          <w:p w14:paraId="746F1720" w14:textId="77777777" w:rsidR="008E7A10" w:rsidRDefault="008E7A10">
            <w:pPr>
              <w:rPr>
                <w:rFonts w:ascii="宋体"/>
              </w:rPr>
            </w:pPr>
          </w:p>
        </w:tc>
        <w:tc>
          <w:tcPr>
            <w:tcW w:w="5" w:type="pct"/>
            <w:shd w:val="clear" w:color="auto" w:fill="auto"/>
          </w:tcPr>
          <w:p w14:paraId="746F1721" w14:textId="77777777" w:rsidR="008E7A10" w:rsidRDefault="008E7A10">
            <w:pPr>
              <w:rPr>
                <w:rFonts w:ascii="宋体"/>
              </w:rPr>
            </w:pPr>
          </w:p>
        </w:tc>
        <w:tc>
          <w:tcPr>
            <w:tcW w:w="50" w:type="pct"/>
            <w:shd w:val="clear" w:color="auto" w:fill="auto"/>
          </w:tcPr>
          <w:p w14:paraId="746F1722" w14:textId="77777777" w:rsidR="008E7A10" w:rsidRDefault="008E7A10">
            <w:pPr>
              <w:rPr>
                <w:rFonts w:ascii="宋体"/>
              </w:rPr>
            </w:pPr>
          </w:p>
        </w:tc>
        <w:tc>
          <w:tcPr>
            <w:tcW w:w="417" w:type="pct"/>
            <w:shd w:val="clear" w:color="auto" w:fill="auto"/>
          </w:tcPr>
          <w:p w14:paraId="746F1723" w14:textId="77777777" w:rsidR="008E7A10" w:rsidRDefault="008E7A10">
            <w:pPr>
              <w:rPr>
                <w:rFonts w:ascii="宋体"/>
              </w:rPr>
            </w:pPr>
          </w:p>
        </w:tc>
        <w:tc>
          <w:tcPr>
            <w:tcW w:w="5" w:type="pct"/>
            <w:shd w:val="clear" w:color="auto" w:fill="auto"/>
          </w:tcPr>
          <w:p w14:paraId="746F1724" w14:textId="77777777" w:rsidR="008E7A10" w:rsidRDefault="008E7A10">
            <w:pPr>
              <w:rPr>
                <w:rFonts w:ascii="宋体"/>
              </w:rPr>
            </w:pPr>
          </w:p>
        </w:tc>
        <w:tc>
          <w:tcPr>
            <w:tcW w:w="50" w:type="pct"/>
            <w:shd w:val="clear" w:color="auto" w:fill="auto"/>
          </w:tcPr>
          <w:p w14:paraId="746F1725" w14:textId="77777777" w:rsidR="008E7A10" w:rsidRDefault="008E7A10">
            <w:pPr>
              <w:rPr>
                <w:rFonts w:ascii="宋体"/>
              </w:rPr>
            </w:pPr>
          </w:p>
        </w:tc>
        <w:tc>
          <w:tcPr>
            <w:tcW w:w="417" w:type="pct"/>
            <w:shd w:val="clear" w:color="auto" w:fill="auto"/>
          </w:tcPr>
          <w:p w14:paraId="746F1726" w14:textId="77777777" w:rsidR="008E7A10" w:rsidRDefault="008E7A10">
            <w:pPr>
              <w:rPr>
                <w:rFonts w:ascii="宋体"/>
              </w:rPr>
            </w:pPr>
          </w:p>
        </w:tc>
        <w:tc>
          <w:tcPr>
            <w:tcW w:w="5" w:type="pct"/>
            <w:shd w:val="clear" w:color="auto" w:fill="auto"/>
          </w:tcPr>
          <w:p w14:paraId="746F1727" w14:textId="77777777" w:rsidR="008E7A10" w:rsidRDefault="008E7A10">
            <w:pPr>
              <w:rPr>
                <w:rFonts w:ascii="宋体"/>
              </w:rPr>
            </w:pPr>
          </w:p>
        </w:tc>
        <w:tc>
          <w:tcPr>
            <w:tcW w:w="50" w:type="pct"/>
            <w:shd w:val="clear" w:color="auto" w:fill="auto"/>
          </w:tcPr>
          <w:p w14:paraId="746F1728" w14:textId="77777777" w:rsidR="008E7A10" w:rsidRDefault="008E7A10">
            <w:pPr>
              <w:rPr>
                <w:rFonts w:ascii="宋体"/>
              </w:rPr>
            </w:pPr>
          </w:p>
        </w:tc>
        <w:tc>
          <w:tcPr>
            <w:tcW w:w="418" w:type="pct"/>
            <w:shd w:val="clear" w:color="auto" w:fill="auto"/>
          </w:tcPr>
          <w:p w14:paraId="746F1729" w14:textId="77777777" w:rsidR="008E7A10" w:rsidRDefault="008E7A10">
            <w:pPr>
              <w:rPr>
                <w:rFonts w:ascii="宋体"/>
              </w:rPr>
            </w:pPr>
          </w:p>
        </w:tc>
        <w:tc>
          <w:tcPr>
            <w:tcW w:w="5" w:type="pct"/>
            <w:shd w:val="clear" w:color="auto" w:fill="auto"/>
          </w:tcPr>
          <w:p w14:paraId="746F172A" w14:textId="77777777" w:rsidR="008E7A10" w:rsidRDefault="008E7A10">
            <w:pPr>
              <w:rPr>
                <w:rFonts w:ascii="宋体"/>
              </w:rPr>
            </w:pPr>
          </w:p>
        </w:tc>
      </w:tr>
      <w:tr w:rsidR="008E7A10" w14:paraId="746F1730" w14:textId="77777777">
        <w:tc>
          <w:tcPr>
            <w:tcW w:w="0" w:type="auto"/>
            <w:gridSpan w:val="3"/>
            <w:shd w:val="clear" w:color="auto" w:fill="auto"/>
            <w:tcMar>
              <w:top w:w="0" w:type="dxa"/>
              <w:left w:w="20" w:type="dxa"/>
              <w:bottom w:w="0" w:type="dxa"/>
              <w:right w:w="20" w:type="dxa"/>
            </w:tcMar>
          </w:tcPr>
          <w:p w14:paraId="746F172C"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72D"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72E"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72F"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739" w14:textId="77777777">
        <w:tc>
          <w:tcPr>
            <w:tcW w:w="0" w:type="auto"/>
            <w:gridSpan w:val="3"/>
            <w:shd w:val="clear" w:color="auto" w:fill="auto"/>
            <w:tcMar>
              <w:top w:w="0" w:type="dxa"/>
              <w:left w:w="20" w:type="dxa"/>
              <w:bottom w:w="0" w:type="dxa"/>
              <w:right w:w="20" w:type="dxa"/>
            </w:tcMar>
          </w:tcPr>
          <w:p w14:paraId="746F1731"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32"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33"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34"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746F1735"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36"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37"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38" w14:textId="77777777" w:rsidR="008E7A10" w:rsidRDefault="00E047B2">
            <w:pPr>
              <w:jc w:val="right"/>
              <w:textAlignment w:val="bottom"/>
            </w:pPr>
            <w:r>
              <w:rPr>
                <w:rFonts w:ascii="sans-serif" w:eastAsia="sans-serif" w:hAnsi="sans-serif" w:cs="sans-serif"/>
                <w:b/>
                <w:bCs/>
                <w:color w:val="000000"/>
                <w:sz w:val="17"/>
                <w:szCs w:val="17"/>
              </w:rPr>
              <w:t>% CHANGE</w:t>
            </w:r>
          </w:p>
        </w:tc>
      </w:tr>
      <w:tr w:rsidR="008E7A10" w14:paraId="746F174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746F173A" w14:textId="77777777" w:rsidR="008E7A10" w:rsidRDefault="00E047B2">
            <w:pPr>
              <w:textAlignment w:val="top"/>
            </w:pPr>
            <w:r>
              <w:rPr>
                <w:rFonts w:ascii="Arial" w:eastAsia="宋体" w:hAnsi="Arial" w:cs="Arial"/>
                <w:color w:val="000000"/>
                <w:sz w:val="17"/>
                <w:szCs w:val="17"/>
              </w:rPr>
              <w:t>Effective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746F173B" w14:textId="77777777" w:rsidR="008E7A10" w:rsidRDefault="00E047B2">
            <w:pPr>
              <w:jc w:val="right"/>
              <w:textAlignment w:val="top"/>
            </w:pPr>
            <w:r>
              <w:rPr>
                <w:rFonts w:ascii="Arial" w:eastAsia="宋体" w:hAnsi="Arial" w:cs="Arial"/>
                <w:color w:val="000000"/>
                <w:sz w:val="17"/>
                <w:szCs w:val="17"/>
              </w:rPr>
              <w:t>14.1 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746F173C" w14:textId="77777777" w:rsidR="008E7A10" w:rsidRDefault="00E047B2">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746F173D" w14:textId="77777777" w:rsidR="008E7A10" w:rsidRDefault="00E047B2">
            <w:pPr>
              <w:jc w:val="right"/>
              <w:textAlignment w:val="top"/>
            </w:pPr>
            <w:r>
              <w:rPr>
                <w:rFonts w:ascii="Arial" w:eastAsia="宋体" w:hAnsi="Arial" w:cs="Arial"/>
                <w:color w:val="000000"/>
                <w:sz w:val="17"/>
                <w:szCs w:val="17"/>
              </w:rPr>
              <w:t>10.7 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746F173E" w14:textId="77777777" w:rsidR="008E7A10" w:rsidRDefault="00E047B2">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746F173F" w14:textId="77777777" w:rsidR="008E7A10" w:rsidRDefault="00E047B2">
            <w:pPr>
              <w:jc w:val="right"/>
              <w:textAlignment w:val="top"/>
            </w:pPr>
            <w:r>
              <w:rPr>
                <w:rFonts w:ascii="Arial" w:eastAsia="宋体" w:hAnsi="Arial" w:cs="Arial"/>
                <w:color w:val="000000"/>
                <w:sz w:val="17"/>
                <w:szCs w:val="17"/>
              </w:rPr>
              <w:t>340 bps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740" w14:textId="77777777" w:rsidR="008E7A10" w:rsidRDefault="008E7A10">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746F1741" w14:textId="77777777" w:rsidR="008E7A10" w:rsidRDefault="00E047B2">
            <w:pPr>
              <w:jc w:val="right"/>
              <w:textAlignment w:val="top"/>
            </w:pPr>
            <w:r>
              <w:rPr>
                <w:rFonts w:ascii="Arial" w:eastAsia="宋体" w:hAnsi="Arial" w:cs="Arial"/>
                <w:color w:val="000000"/>
                <w:sz w:val="17"/>
                <w:szCs w:val="17"/>
              </w:rPr>
              <w:t>12.7 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746F1742" w14:textId="77777777" w:rsidR="008E7A10" w:rsidRDefault="00E047B2">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746F1743" w14:textId="77777777" w:rsidR="008E7A10" w:rsidRDefault="00E047B2">
            <w:pPr>
              <w:jc w:val="right"/>
              <w:textAlignment w:val="top"/>
            </w:pPr>
            <w:r>
              <w:rPr>
                <w:rFonts w:ascii="Arial" w:eastAsia="宋体" w:hAnsi="Arial" w:cs="Arial"/>
                <w:color w:val="000000"/>
                <w:sz w:val="17"/>
                <w:szCs w:val="17"/>
              </w:rPr>
              <w:t>11.7 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746F1744" w14:textId="77777777" w:rsidR="008E7A10" w:rsidRDefault="00E047B2">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746F1745" w14:textId="77777777" w:rsidR="008E7A10" w:rsidRDefault="00E047B2">
            <w:pPr>
              <w:jc w:val="right"/>
              <w:textAlignment w:val="top"/>
            </w:pPr>
            <w:r>
              <w:rPr>
                <w:rFonts w:ascii="Arial" w:eastAsia="宋体" w:hAnsi="Arial" w:cs="Arial"/>
                <w:color w:val="000000"/>
                <w:sz w:val="17"/>
                <w:szCs w:val="17"/>
              </w:rPr>
              <w:t>100 bps</w:t>
            </w:r>
          </w:p>
        </w:tc>
      </w:tr>
    </w:tbl>
    <w:p w14:paraId="746F1747" w14:textId="77777777" w:rsidR="008E7A10" w:rsidRDefault="008E7A10"/>
    <w:p w14:paraId="746F1748" w14:textId="77777777" w:rsidR="008E7A10" w:rsidRDefault="00E047B2">
      <w:r>
        <w:rPr>
          <w:rFonts w:ascii="Arial" w:eastAsia="宋体" w:hAnsi="Arial" w:cs="Arial"/>
          <w:color w:val="000000"/>
          <w:sz w:val="17"/>
          <w:szCs w:val="17"/>
        </w:rPr>
        <w:t>Our effective tax rate was 14.1% for the second quarter of fiscal 2021, compared to 10.7% for the second quarter of fiscal 2020, primarily due to changes in the proportion of earnings taxed in the U.S. and an increase in tax assoc</w:t>
      </w:r>
      <w:r>
        <w:rPr>
          <w:rFonts w:ascii="Arial" w:eastAsia="宋体" w:hAnsi="Arial" w:cs="Arial"/>
          <w:color w:val="000000"/>
          <w:sz w:val="17"/>
          <w:szCs w:val="17"/>
        </w:rPr>
        <w:t>iated with the recent finalization of U.S. tax regulations, partially offset by a more favorable impact from stock-based compensation.</w:t>
      </w:r>
    </w:p>
    <w:p w14:paraId="746F1749" w14:textId="77777777" w:rsidR="008E7A10" w:rsidRDefault="00E047B2">
      <w:pPr>
        <w:spacing w:before="120"/>
      </w:pPr>
      <w:r>
        <w:rPr>
          <w:rFonts w:ascii="Arial" w:eastAsia="宋体" w:hAnsi="Arial" w:cs="Arial"/>
          <w:color w:val="000000"/>
          <w:sz w:val="17"/>
          <w:szCs w:val="17"/>
        </w:rPr>
        <w:t>Our effective tax rate was 12.7% for the first six months of fiscal 2021, compared to 11.7% for the first six months of f</w:t>
      </w:r>
      <w:r>
        <w:rPr>
          <w:rFonts w:ascii="Arial" w:eastAsia="宋体" w:hAnsi="Arial" w:cs="Arial"/>
          <w:color w:val="000000"/>
          <w:sz w:val="17"/>
          <w:szCs w:val="17"/>
        </w:rPr>
        <w:t>iscal 2020, primarily due to changes in the proportion of earnings taxed in the U.S. and the recognition of a reserve in the first quarter of fiscal 2021 related to</w:t>
      </w:r>
      <w:r>
        <w:rPr>
          <w:rFonts w:ascii="Arial" w:eastAsia="宋体" w:hAnsi="Arial" w:cs="Arial"/>
          <w:i/>
          <w:iCs/>
          <w:color w:val="000000"/>
          <w:sz w:val="17"/>
          <w:szCs w:val="17"/>
        </w:rPr>
        <w:t xml:space="preserve"> Altera Corp. v. Commissioner</w:t>
      </w:r>
      <w:r>
        <w:rPr>
          <w:rFonts w:ascii="Arial" w:eastAsia="宋体" w:hAnsi="Arial" w:cs="Arial"/>
          <w:color w:val="000000"/>
          <w:sz w:val="17"/>
          <w:szCs w:val="17"/>
        </w:rPr>
        <w:t>, partially offset by discrete items which include a more favor</w:t>
      </w:r>
      <w:r>
        <w:rPr>
          <w:rFonts w:ascii="Arial" w:eastAsia="宋体" w:hAnsi="Arial" w:cs="Arial"/>
          <w:color w:val="000000"/>
          <w:sz w:val="17"/>
          <w:szCs w:val="17"/>
        </w:rPr>
        <w:t xml:space="preserve">able impact from stock-based compensation. </w:t>
      </w:r>
    </w:p>
    <w:p w14:paraId="746F174A" w14:textId="77777777" w:rsidR="008E7A10" w:rsidRDefault="00E047B2">
      <w:pPr>
        <w:spacing w:before="120"/>
      </w:pPr>
      <w:r>
        <w:rPr>
          <w:rFonts w:ascii="Arial" w:eastAsia="宋体" w:hAnsi="Arial" w:cs="Arial"/>
          <w:color w:val="000000"/>
          <w:sz w:val="17"/>
          <w:szCs w:val="17"/>
        </w:rPr>
        <w:t xml:space="preserve">Refer to Note 6 — Income Taxes within the accompanying Notes to the Unaudited Condensed Consolidated Financial Statements for additional information. </w:t>
      </w:r>
    </w:p>
    <w:p w14:paraId="746F174B" w14:textId="77777777" w:rsidR="008E7A10" w:rsidRDefault="00E047B2">
      <w:pPr>
        <w:spacing w:before="120" w:after="120"/>
        <w:jc w:val="right"/>
      </w:pPr>
      <w:r>
        <w:rPr>
          <w:rFonts w:ascii="Arial" w:eastAsia="宋体" w:hAnsi="Arial" w:cs="Arial"/>
          <w:color w:val="E87722"/>
          <w:sz w:val="17"/>
          <w:szCs w:val="17"/>
        </w:rPr>
        <w:t>31</w:t>
      </w:r>
    </w:p>
    <w:p w14:paraId="746F174C" w14:textId="77777777" w:rsidR="008E7A10" w:rsidRDefault="00E047B2">
      <w:r>
        <w:pict w14:anchorId="746F2027">
          <v:rect id="_x0000_i1057" style="width:415.3pt;height:1.5pt" o:hralign="center" o:hrstd="t" o:hr="t" fillcolor="#a0a0a0" stroked="f"/>
        </w:pict>
      </w:r>
    </w:p>
    <w:p w14:paraId="746F174D" w14:textId="77777777" w:rsidR="008E7A10" w:rsidRDefault="008E7A10"/>
    <w:p w14:paraId="746F174E" w14:textId="77777777" w:rsidR="008E7A10" w:rsidRDefault="00E047B2">
      <w:hyperlink r:id="rId102" w:anchor="i31a624617c6c41b38f8f700fa0df5bde_7" w:history="1">
        <w:r>
          <w:rPr>
            <w:rStyle w:val="a5"/>
            <w:rFonts w:ascii="sans-serif" w:eastAsia="sans-serif" w:hAnsi="sans-serif" w:cs="sans-serif"/>
            <w:sz w:val="17"/>
            <w:szCs w:val="17"/>
          </w:rPr>
          <w:t>Table of Contents</w:t>
        </w:r>
      </w:hyperlink>
    </w:p>
    <w:p w14:paraId="746F174F" w14:textId="77777777" w:rsidR="008E7A10" w:rsidRDefault="008E7A10"/>
    <w:p w14:paraId="746F1750" w14:textId="77777777" w:rsidR="008E7A10" w:rsidRDefault="00E047B2">
      <w:pPr>
        <w:spacing w:before="300" w:after="120"/>
      </w:pPr>
      <w:r>
        <w:rPr>
          <w:rFonts w:ascii="sans-serif" w:eastAsia="sans-serif" w:hAnsi="sans-serif" w:cs="sans-serif"/>
          <w:b/>
          <w:bCs/>
          <w:color w:val="E87722"/>
          <w:sz w:val="36"/>
          <w:szCs w:val="36"/>
        </w:rPr>
        <w:t>OPERATING SEGMENTS</w:t>
      </w:r>
    </w:p>
    <w:p w14:paraId="746F1751" w14:textId="77777777" w:rsidR="008E7A10" w:rsidRDefault="00E047B2">
      <w:pPr>
        <w:spacing w:before="120" w:after="120"/>
      </w:pPr>
      <w:r>
        <w:rPr>
          <w:rFonts w:ascii="Arial" w:eastAsia="宋体" w:hAnsi="Arial" w:cs="Arial"/>
          <w:color w:val="000000"/>
          <w:sz w:val="17"/>
          <w:szCs w:val="17"/>
        </w:rPr>
        <w:t xml:space="preserve">Our operating segments are evidence of the structure of the Company's internal organization. The NIKE Brand segments are defined by geographic regions for operations participating in NIKE Brand sales activity. </w:t>
      </w:r>
    </w:p>
    <w:p w14:paraId="746F1752" w14:textId="77777777" w:rsidR="008E7A10" w:rsidRDefault="00E047B2">
      <w:pPr>
        <w:spacing w:before="120" w:after="120"/>
      </w:pPr>
      <w:r>
        <w:rPr>
          <w:rFonts w:ascii="Arial" w:eastAsia="宋体" w:hAnsi="Arial" w:cs="Arial"/>
          <w:color w:val="000000"/>
          <w:sz w:val="17"/>
          <w:szCs w:val="17"/>
        </w:rPr>
        <w:t>Each NIKE Brand geographic segment operates p</w:t>
      </w:r>
      <w:r>
        <w:rPr>
          <w:rFonts w:ascii="Arial" w:eastAsia="宋体" w:hAnsi="Arial" w:cs="Arial"/>
          <w:color w:val="000000"/>
          <w:sz w:val="17"/>
          <w:szCs w:val="17"/>
        </w:rPr>
        <w:t>redominantly in one industry: the design, development, marketing and selling of athletic footwear, apparel and equipment. The Company's reportable operating segments for the NIKE Brand are: North America; Europe, Middle East &amp; Africa (EMEA); Greater China;</w:t>
      </w:r>
      <w:r>
        <w:rPr>
          <w:rFonts w:ascii="Arial" w:eastAsia="宋体" w:hAnsi="Arial" w:cs="Arial"/>
          <w:color w:val="000000"/>
          <w:sz w:val="17"/>
          <w:szCs w:val="17"/>
        </w:rPr>
        <w:t xml:space="preserve"> and Asia Pacific &amp; Latin America (APLA), and include results for the NIKE and Jordan brands.</w:t>
      </w:r>
      <w:r>
        <w:rPr>
          <w:rFonts w:ascii="Arial" w:eastAsia="宋体" w:hAnsi="Arial" w:cs="Arial"/>
          <w:i/>
          <w:iCs/>
          <w:color w:val="000000"/>
          <w:sz w:val="14"/>
          <w:szCs w:val="14"/>
        </w:rPr>
        <w:t xml:space="preserve"> </w:t>
      </w:r>
      <w:r>
        <w:rPr>
          <w:rFonts w:ascii="Arial" w:eastAsia="宋体" w:hAnsi="Arial" w:cs="Arial"/>
          <w:color w:val="000000"/>
          <w:sz w:val="17"/>
          <w:szCs w:val="17"/>
        </w:rPr>
        <w:t>The Company's NIKE Direct operations are managed within each geographic operating segment. Converse is also a reportable operating segment for the Company, and op</w:t>
      </w:r>
      <w:r>
        <w:rPr>
          <w:rFonts w:ascii="Arial" w:eastAsia="宋体" w:hAnsi="Arial" w:cs="Arial"/>
          <w:color w:val="000000"/>
          <w:sz w:val="17"/>
          <w:szCs w:val="17"/>
        </w:rPr>
        <w:t>erates predominately in one industry: the design, marketing, licensing and selling of athletic lifestyle sneakers, apparel and accessories.</w:t>
      </w:r>
    </w:p>
    <w:p w14:paraId="746F1753" w14:textId="77777777" w:rsidR="008E7A10" w:rsidRDefault="00E047B2">
      <w:pPr>
        <w:spacing w:before="120" w:after="120"/>
      </w:pPr>
      <w:r>
        <w:rPr>
          <w:rFonts w:ascii="Arial" w:eastAsia="宋体" w:hAnsi="Arial" w:cs="Arial"/>
          <w:color w:val="000000"/>
          <w:sz w:val="17"/>
          <w:szCs w:val="17"/>
        </w:rPr>
        <w:t xml:space="preserve">As part of our centrally managed foreign exchange risk management program, standard foreign currency exchange rates </w:t>
      </w:r>
      <w:r>
        <w:rPr>
          <w:rFonts w:ascii="Arial" w:eastAsia="宋体" w:hAnsi="Arial" w:cs="Arial"/>
          <w:color w:val="000000"/>
          <w:sz w:val="17"/>
          <w:szCs w:val="17"/>
        </w:rPr>
        <w:t>are assigned twice per year to each NIKE Brand entity in our geographic operating segments and Converse. These rates are set approximately nine and twelve months in advance of the future selling seasons to which they relate (specifically, for each currency</w:t>
      </w:r>
      <w:r>
        <w:rPr>
          <w:rFonts w:ascii="Arial" w:eastAsia="宋体" w:hAnsi="Arial" w:cs="Arial"/>
          <w:color w:val="000000"/>
          <w:sz w:val="17"/>
          <w:szCs w:val="17"/>
        </w:rPr>
        <w:t>, one standard rate applies to the fall and holiday selling seasons and one standard rate applies to the spring and summer selling seasons) based on average market spot rates in the calendar month preceding the date they are established. Inventories and Co</w:t>
      </w:r>
      <w:r>
        <w:rPr>
          <w:rFonts w:ascii="Arial" w:eastAsia="宋体" w:hAnsi="Arial" w:cs="Arial"/>
          <w:color w:val="000000"/>
          <w:sz w:val="17"/>
          <w:szCs w:val="17"/>
        </w:rPr>
        <w:t>st of sales for geographic operating segments and Converse reflect the use of these standard rates to record non-functional currency product purchases into the entity's functional currency. Differences between assigned standard foreign currency exchange ra</w:t>
      </w:r>
      <w:r>
        <w:rPr>
          <w:rFonts w:ascii="Arial" w:eastAsia="宋体" w:hAnsi="Arial" w:cs="Arial"/>
          <w:color w:val="000000"/>
          <w:sz w:val="17"/>
          <w:szCs w:val="17"/>
        </w:rPr>
        <w:t>tes and actual market rates are included in Corporate, together with foreign currency hedge gains and losses generated from our centrally managed foreign exchange risk management program and other conversion gains and losses.</w:t>
      </w:r>
    </w:p>
    <w:p w14:paraId="746F1754" w14:textId="77777777" w:rsidR="008E7A10" w:rsidRDefault="00E047B2">
      <w:pPr>
        <w:spacing w:before="120"/>
      </w:pPr>
      <w:r>
        <w:rPr>
          <w:rFonts w:ascii="Arial" w:eastAsia="宋体" w:hAnsi="Arial" w:cs="Arial"/>
          <w:color w:val="000000"/>
          <w:sz w:val="17"/>
          <w:szCs w:val="17"/>
        </w:rPr>
        <w:t>The breakdown of revenues is a</w:t>
      </w:r>
      <w:r>
        <w:rPr>
          <w:rFonts w:ascii="Arial" w:eastAsia="宋体" w:hAnsi="Arial" w:cs="Arial"/>
          <w:color w:val="000000"/>
          <w:sz w:val="17"/>
          <w:szCs w:val="17"/>
        </w:rPr>
        <w:t>s follows:</w:t>
      </w:r>
    </w:p>
    <w:tbl>
      <w:tblPr>
        <w:tblW w:w="5000" w:type="pct"/>
        <w:tblCellMar>
          <w:top w:w="15" w:type="dxa"/>
          <w:left w:w="15" w:type="dxa"/>
          <w:bottom w:w="15" w:type="dxa"/>
          <w:right w:w="15" w:type="dxa"/>
        </w:tblCellMar>
        <w:tblLook w:val="04A0" w:firstRow="1" w:lastRow="0" w:firstColumn="1" w:lastColumn="0" w:noHBand="0" w:noVBand="1"/>
      </w:tblPr>
      <w:tblGrid>
        <w:gridCol w:w="47"/>
        <w:gridCol w:w="1599"/>
        <w:gridCol w:w="36"/>
        <w:gridCol w:w="115"/>
        <w:gridCol w:w="568"/>
        <w:gridCol w:w="36"/>
        <w:gridCol w:w="115"/>
        <w:gridCol w:w="568"/>
        <w:gridCol w:w="36"/>
        <w:gridCol w:w="71"/>
        <w:gridCol w:w="566"/>
        <w:gridCol w:w="172"/>
        <w:gridCol w:w="95"/>
        <w:gridCol w:w="759"/>
        <w:gridCol w:w="172"/>
        <w:gridCol w:w="36"/>
        <w:gridCol w:w="36"/>
        <w:gridCol w:w="36"/>
        <w:gridCol w:w="115"/>
        <w:gridCol w:w="568"/>
        <w:gridCol w:w="36"/>
        <w:gridCol w:w="115"/>
        <w:gridCol w:w="568"/>
        <w:gridCol w:w="36"/>
        <w:gridCol w:w="71"/>
        <w:gridCol w:w="566"/>
        <w:gridCol w:w="172"/>
        <w:gridCol w:w="95"/>
        <w:gridCol w:w="759"/>
        <w:gridCol w:w="172"/>
      </w:tblGrid>
      <w:tr w:rsidR="008E7A10" w14:paraId="746F1773" w14:textId="77777777">
        <w:tc>
          <w:tcPr>
            <w:tcW w:w="50" w:type="pct"/>
            <w:shd w:val="clear" w:color="auto" w:fill="auto"/>
          </w:tcPr>
          <w:p w14:paraId="746F1755" w14:textId="77777777" w:rsidR="008E7A10" w:rsidRDefault="008E7A10">
            <w:pPr>
              <w:rPr>
                <w:rFonts w:ascii="宋体"/>
              </w:rPr>
            </w:pPr>
          </w:p>
        </w:tc>
        <w:tc>
          <w:tcPr>
            <w:tcW w:w="1264" w:type="pct"/>
            <w:shd w:val="clear" w:color="auto" w:fill="auto"/>
          </w:tcPr>
          <w:p w14:paraId="746F1756" w14:textId="77777777" w:rsidR="008E7A10" w:rsidRDefault="008E7A10">
            <w:pPr>
              <w:rPr>
                <w:rFonts w:ascii="宋体"/>
              </w:rPr>
            </w:pPr>
          </w:p>
        </w:tc>
        <w:tc>
          <w:tcPr>
            <w:tcW w:w="5" w:type="pct"/>
            <w:shd w:val="clear" w:color="auto" w:fill="auto"/>
          </w:tcPr>
          <w:p w14:paraId="746F1757" w14:textId="77777777" w:rsidR="008E7A10" w:rsidRDefault="008E7A10">
            <w:pPr>
              <w:rPr>
                <w:rFonts w:ascii="宋体"/>
              </w:rPr>
            </w:pPr>
          </w:p>
        </w:tc>
        <w:tc>
          <w:tcPr>
            <w:tcW w:w="50" w:type="pct"/>
            <w:shd w:val="clear" w:color="auto" w:fill="auto"/>
          </w:tcPr>
          <w:p w14:paraId="746F1758" w14:textId="77777777" w:rsidR="008E7A10" w:rsidRDefault="008E7A10">
            <w:pPr>
              <w:rPr>
                <w:rFonts w:ascii="宋体"/>
              </w:rPr>
            </w:pPr>
          </w:p>
        </w:tc>
        <w:tc>
          <w:tcPr>
            <w:tcW w:w="400" w:type="pct"/>
            <w:shd w:val="clear" w:color="auto" w:fill="auto"/>
          </w:tcPr>
          <w:p w14:paraId="746F1759" w14:textId="77777777" w:rsidR="008E7A10" w:rsidRDefault="008E7A10">
            <w:pPr>
              <w:rPr>
                <w:rFonts w:ascii="宋体"/>
              </w:rPr>
            </w:pPr>
          </w:p>
        </w:tc>
        <w:tc>
          <w:tcPr>
            <w:tcW w:w="5" w:type="pct"/>
            <w:shd w:val="clear" w:color="auto" w:fill="auto"/>
          </w:tcPr>
          <w:p w14:paraId="746F175A" w14:textId="77777777" w:rsidR="008E7A10" w:rsidRDefault="008E7A10">
            <w:pPr>
              <w:rPr>
                <w:rFonts w:ascii="宋体"/>
              </w:rPr>
            </w:pPr>
          </w:p>
        </w:tc>
        <w:tc>
          <w:tcPr>
            <w:tcW w:w="50" w:type="pct"/>
            <w:shd w:val="clear" w:color="auto" w:fill="auto"/>
          </w:tcPr>
          <w:p w14:paraId="746F175B" w14:textId="77777777" w:rsidR="008E7A10" w:rsidRDefault="008E7A10">
            <w:pPr>
              <w:rPr>
                <w:rFonts w:ascii="宋体"/>
              </w:rPr>
            </w:pPr>
          </w:p>
        </w:tc>
        <w:tc>
          <w:tcPr>
            <w:tcW w:w="400" w:type="pct"/>
            <w:shd w:val="clear" w:color="auto" w:fill="auto"/>
          </w:tcPr>
          <w:p w14:paraId="746F175C" w14:textId="77777777" w:rsidR="008E7A10" w:rsidRDefault="008E7A10">
            <w:pPr>
              <w:rPr>
                <w:rFonts w:ascii="宋体"/>
              </w:rPr>
            </w:pPr>
          </w:p>
        </w:tc>
        <w:tc>
          <w:tcPr>
            <w:tcW w:w="5" w:type="pct"/>
            <w:shd w:val="clear" w:color="auto" w:fill="auto"/>
          </w:tcPr>
          <w:p w14:paraId="746F175D" w14:textId="77777777" w:rsidR="008E7A10" w:rsidRDefault="008E7A10">
            <w:pPr>
              <w:rPr>
                <w:rFonts w:ascii="宋体"/>
              </w:rPr>
            </w:pPr>
          </w:p>
        </w:tc>
        <w:tc>
          <w:tcPr>
            <w:tcW w:w="50" w:type="pct"/>
            <w:shd w:val="clear" w:color="auto" w:fill="auto"/>
          </w:tcPr>
          <w:p w14:paraId="746F175E" w14:textId="77777777" w:rsidR="008E7A10" w:rsidRDefault="008E7A10">
            <w:pPr>
              <w:rPr>
                <w:rFonts w:ascii="宋体"/>
              </w:rPr>
            </w:pPr>
          </w:p>
        </w:tc>
        <w:tc>
          <w:tcPr>
            <w:tcW w:w="400" w:type="pct"/>
            <w:shd w:val="clear" w:color="auto" w:fill="auto"/>
          </w:tcPr>
          <w:p w14:paraId="746F175F" w14:textId="77777777" w:rsidR="008E7A10" w:rsidRDefault="008E7A10">
            <w:pPr>
              <w:rPr>
                <w:rFonts w:ascii="宋体"/>
              </w:rPr>
            </w:pPr>
          </w:p>
        </w:tc>
        <w:tc>
          <w:tcPr>
            <w:tcW w:w="5" w:type="pct"/>
            <w:shd w:val="clear" w:color="auto" w:fill="auto"/>
          </w:tcPr>
          <w:p w14:paraId="746F1760" w14:textId="77777777" w:rsidR="008E7A10" w:rsidRDefault="008E7A10">
            <w:pPr>
              <w:rPr>
                <w:rFonts w:ascii="宋体"/>
              </w:rPr>
            </w:pPr>
          </w:p>
        </w:tc>
        <w:tc>
          <w:tcPr>
            <w:tcW w:w="50" w:type="pct"/>
            <w:shd w:val="clear" w:color="auto" w:fill="auto"/>
          </w:tcPr>
          <w:p w14:paraId="746F1761" w14:textId="77777777" w:rsidR="008E7A10" w:rsidRDefault="008E7A10">
            <w:pPr>
              <w:rPr>
                <w:rFonts w:ascii="宋体"/>
              </w:rPr>
            </w:pPr>
          </w:p>
        </w:tc>
        <w:tc>
          <w:tcPr>
            <w:tcW w:w="400" w:type="pct"/>
            <w:shd w:val="clear" w:color="auto" w:fill="auto"/>
          </w:tcPr>
          <w:p w14:paraId="746F1762" w14:textId="77777777" w:rsidR="008E7A10" w:rsidRDefault="008E7A10">
            <w:pPr>
              <w:rPr>
                <w:rFonts w:ascii="宋体"/>
              </w:rPr>
            </w:pPr>
          </w:p>
        </w:tc>
        <w:tc>
          <w:tcPr>
            <w:tcW w:w="5" w:type="pct"/>
            <w:shd w:val="clear" w:color="auto" w:fill="auto"/>
          </w:tcPr>
          <w:p w14:paraId="746F1763" w14:textId="77777777" w:rsidR="008E7A10" w:rsidRDefault="008E7A10">
            <w:pPr>
              <w:rPr>
                <w:rFonts w:ascii="宋体"/>
              </w:rPr>
            </w:pPr>
          </w:p>
        </w:tc>
        <w:tc>
          <w:tcPr>
            <w:tcW w:w="5" w:type="pct"/>
            <w:shd w:val="clear" w:color="auto" w:fill="auto"/>
          </w:tcPr>
          <w:p w14:paraId="746F1764" w14:textId="77777777" w:rsidR="008E7A10" w:rsidRDefault="008E7A10">
            <w:pPr>
              <w:rPr>
                <w:rFonts w:ascii="宋体"/>
              </w:rPr>
            </w:pPr>
          </w:p>
        </w:tc>
        <w:tc>
          <w:tcPr>
            <w:tcW w:w="28" w:type="pct"/>
            <w:shd w:val="clear" w:color="auto" w:fill="auto"/>
          </w:tcPr>
          <w:p w14:paraId="746F1765" w14:textId="77777777" w:rsidR="008E7A10" w:rsidRDefault="008E7A10">
            <w:pPr>
              <w:rPr>
                <w:rFonts w:ascii="宋体"/>
              </w:rPr>
            </w:pPr>
          </w:p>
        </w:tc>
        <w:tc>
          <w:tcPr>
            <w:tcW w:w="5" w:type="pct"/>
            <w:shd w:val="clear" w:color="auto" w:fill="auto"/>
          </w:tcPr>
          <w:p w14:paraId="746F1766" w14:textId="77777777" w:rsidR="008E7A10" w:rsidRDefault="008E7A10">
            <w:pPr>
              <w:rPr>
                <w:rFonts w:ascii="宋体"/>
              </w:rPr>
            </w:pPr>
          </w:p>
        </w:tc>
        <w:tc>
          <w:tcPr>
            <w:tcW w:w="50" w:type="pct"/>
            <w:shd w:val="clear" w:color="auto" w:fill="auto"/>
          </w:tcPr>
          <w:p w14:paraId="746F1767" w14:textId="77777777" w:rsidR="008E7A10" w:rsidRDefault="008E7A10">
            <w:pPr>
              <w:rPr>
                <w:rFonts w:ascii="宋体"/>
              </w:rPr>
            </w:pPr>
          </w:p>
        </w:tc>
        <w:tc>
          <w:tcPr>
            <w:tcW w:w="400" w:type="pct"/>
            <w:shd w:val="clear" w:color="auto" w:fill="auto"/>
          </w:tcPr>
          <w:p w14:paraId="746F1768" w14:textId="77777777" w:rsidR="008E7A10" w:rsidRDefault="008E7A10">
            <w:pPr>
              <w:rPr>
                <w:rFonts w:ascii="宋体"/>
              </w:rPr>
            </w:pPr>
          </w:p>
        </w:tc>
        <w:tc>
          <w:tcPr>
            <w:tcW w:w="5" w:type="pct"/>
            <w:shd w:val="clear" w:color="auto" w:fill="auto"/>
          </w:tcPr>
          <w:p w14:paraId="746F1769" w14:textId="77777777" w:rsidR="008E7A10" w:rsidRDefault="008E7A10">
            <w:pPr>
              <w:rPr>
                <w:rFonts w:ascii="宋体"/>
              </w:rPr>
            </w:pPr>
          </w:p>
        </w:tc>
        <w:tc>
          <w:tcPr>
            <w:tcW w:w="50" w:type="pct"/>
            <w:shd w:val="clear" w:color="auto" w:fill="auto"/>
          </w:tcPr>
          <w:p w14:paraId="746F176A" w14:textId="77777777" w:rsidR="008E7A10" w:rsidRDefault="008E7A10">
            <w:pPr>
              <w:rPr>
                <w:rFonts w:ascii="宋体"/>
              </w:rPr>
            </w:pPr>
          </w:p>
        </w:tc>
        <w:tc>
          <w:tcPr>
            <w:tcW w:w="400" w:type="pct"/>
            <w:shd w:val="clear" w:color="auto" w:fill="auto"/>
          </w:tcPr>
          <w:p w14:paraId="746F176B" w14:textId="77777777" w:rsidR="008E7A10" w:rsidRDefault="008E7A10">
            <w:pPr>
              <w:rPr>
                <w:rFonts w:ascii="宋体"/>
              </w:rPr>
            </w:pPr>
          </w:p>
        </w:tc>
        <w:tc>
          <w:tcPr>
            <w:tcW w:w="5" w:type="pct"/>
            <w:shd w:val="clear" w:color="auto" w:fill="auto"/>
          </w:tcPr>
          <w:p w14:paraId="746F176C" w14:textId="77777777" w:rsidR="008E7A10" w:rsidRDefault="008E7A10">
            <w:pPr>
              <w:rPr>
                <w:rFonts w:ascii="宋体"/>
              </w:rPr>
            </w:pPr>
          </w:p>
        </w:tc>
        <w:tc>
          <w:tcPr>
            <w:tcW w:w="50" w:type="pct"/>
            <w:shd w:val="clear" w:color="auto" w:fill="auto"/>
          </w:tcPr>
          <w:p w14:paraId="746F176D" w14:textId="77777777" w:rsidR="008E7A10" w:rsidRDefault="008E7A10">
            <w:pPr>
              <w:rPr>
                <w:rFonts w:ascii="宋体"/>
              </w:rPr>
            </w:pPr>
          </w:p>
        </w:tc>
        <w:tc>
          <w:tcPr>
            <w:tcW w:w="400" w:type="pct"/>
            <w:shd w:val="clear" w:color="auto" w:fill="auto"/>
          </w:tcPr>
          <w:p w14:paraId="746F176E" w14:textId="77777777" w:rsidR="008E7A10" w:rsidRDefault="008E7A10">
            <w:pPr>
              <w:rPr>
                <w:rFonts w:ascii="宋体"/>
              </w:rPr>
            </w:pPr>
          </w:p>
        </w:tc>
        <w:tc>
          <w:tcPr>
            <w:tcW w:w="5" w:type="pct"/>
            <w:shd w:val="clear" w:color="auto" w:fill="auto"/>
          </w:tcPr>
          <w:p w14:paraId="746F176F" w14:textId="77777777" w:rsidR="008E7A10" w:rsidRDefault="008E7A10">
            <w:pPr>
              <w:rPr>
                <w:rFonts w:ascii="宋体"/>
              </w:rPr>
            </w:pPr>
          </w:p>
        </w:tc>
        <w:tc>
          <w:tcPr>
            <w:tcW w:w="50" w:type="pct"/>
            <w:shd w:val="clear" w:color="auto" w:fill="auto"/>
          </w:tcPr>
          <w:p w14:paraId="746F1770" w14:textId="77777777" w:rsidR="008E7A10" w:rsidRDefault="008E7A10">
            <w:pPr>
              <w:rPr>
                <w:rFonts w:ascii="宋体"/>
              </w:rPr>
            </w:pPr>
          </w:p>
        </w:tc>
        <w:tc>
          <w:tcPr>
            <w:tcW w:w="400" w:type="pct"/>
            <w:shd w:val="clear" w:color="auto" w:fill="auto"/>
          </w:tcPr>
          <w:p w14:paraId="746F1771" w14:textId="77777777" w:rsidR="008E7A10" w:rsidRDefault="008E7A10">
            <w:pPr>
              <w:rPr>
                <w:rFonts w:ascii="宋体"/>
              </w:rPr>
            </w:pPr>
          </w:p>
        </w:tc>
        <w:tc>
          <w:tcPr>
            <w:tcW w:w="5" w:type="pct"/>
            <w:shd w:val="clear" w:color="auto" w:fill="auto"/>
          </w:tcPr>
          <w:p w14:paraId="746F1772" w14:textId="77777777" w:rsidR="008E7A10" w:rsidRDefault="008E7A10">
            <w:pPr>
              <w:rPr>
                <w:rFonts w:ascii="宋体"/>
              </w:rPr>
            </w:pPr>
          </w:p>
        </w:tc>
      </w:tr>
      <w:tr w:rsidR="008E7A10" w14:paraId="746F1778" w14:textId="77777777">
        <w:tc>
          <w:tcPr>
            <w:tcW w:w="0" w:type="auto"/>
            <w:gridSpan w:val="3"/>
            <w:shd w:val="clear" w:color="auto" w:fill="auto"/>
            <w:tcMar>
              <w:top w:w="0" w:type="dxa"/>
              <w:left w:w="20" w:type="dxa"/>
              <w:bottom w:w="0" w:type="dxa"/>
              <w:right w:w="20" w:type="dxa"/>
            </w:tcMar>
          </w:tcPr>
          <w:p w14:paraId="746F1774"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775"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776"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777"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783" w14:textId="77777777">
        <w:tc>
          <w:tcPr>
            <w:tcW w:w="0" w:type="auto"/>
            <w:gridSpan w:val="3"/>
            <w:shd w:val="clear" w:color="auto" w:fill="auto"/>
            <w:tcMar>
              <w:top w:w="40" w:type="dxa"/>
              <w:left w:w="20" w:type="dxa"/>
              <w:bottom w:w="40" w:type="dxa"/>
              <w:right w:w="20" w:type="dxa"/>
            </w:tcMar>
            <w:vAlign w:val="bottom"/>
          </w:tcPr>
          <w:p w14:paraId="746F1779"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7A"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7B"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7C"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7D" w14:textId="77777777" w:rsidR="008E7A10" w:rsidRDefault="00E047B2">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tcPr>
          <w:p w14:paraId="746F177E"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7F"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80"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81"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82" w14:textId="77777777" w:rsidR="008E7A10" w:rsidRDefault="00E047B2">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1"/>
                <w:szCs w:val="11"/>
              </w:rPr>
              <w:t>(1)</w:t>
            </w:r>
          </w:p>
        </w:tc>
      </w:tr>
      <w:tr w:rsidR="008E7A10" w14:paraId="746F179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84" w14:textId="77777777" w:rsidR="008E7A10" w:rsidRDefault="00E047B2">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78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786" w14:textId="77777777" w:rsidR="008E7A10" w:rsidRDefault="00E047B2">
            <w:pPr>
              <w:jc w:val="right"/>
              <w:textAlignment w:val="bottom"/>
            </w:pPr>
            <w:r>
              <w:rPr>
                <w:rFonts w:ascii="Arial" w:eastAsia="宋体" w:hAnsi="Arial" w:cs="Arial"/>
                <w:color w:val="000000"/>
                <w:sz w:val="17"/>
                <w:szCs w:val="17"/>
              </w:rPr>
              <w:t>4,006 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787"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78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789" w14:textId="77777777" w:rsidR="008E7A10" w:rsidRDefault="00E047B2">
            <w:pPr>
              <w:jc w:val="right"/>
              <w:textAlignment w:val="bottom"/>
            </w:pPr>
            <w:r>
              <w:rPr>
                <w:rFonts w:ascii="Arial" w:eastAsia="宋体" w:hAnsi="Arial" w:cs="Arial"/>
                <w:color w:val="000000"/>
                <w:sz w:val="17"/>
                <w:szCs w:val="17"/>
              </w:rPr>
              <w:t>3,982 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8A"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8B"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8C"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8D"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8E"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78F"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79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791" w14:textId="77777777" w:rsidR="008E7A10" w:rsidRDefault="00E047B2">
            <w:pPr>
              <w:jc w:val="right"/>
              <w:textAlignment w:val="bottom"/>
            </w:pPr>
            <w:r>
              <w:rPr>
                <w:rFonts w:ascii="Arial" w:eastAsia="宋体" w:hAnsi="Arial" w:cs="Arial"/>
                <w:color w:val="000000"/>
                <w:sz w:val="17"/>
                <w:szCs w:val="17"/>
              </w:rPr>
              <w:t>8,231 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792"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793"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794" w14:textId="77777777" w:rsidR="008E7A10" w:rsidRDefault="00E047B2">
            <w:pPr>
              <w:jc w:val="right"/>
              <w:textAlignment w:val="bottom"/>
            </w:pPr>
            <w:r>
              <w:rPr>
                <w:rFonts w:ascii="Arial" w:eastAsia="宋体" w:hAnsi="Arial" w:cs="Arial"/>
                <w:color w:val="000000"/>
                <w:sz w:val="17"/>
                <w:szCs w:val="17"/>
              </w:rPr>
              <w:t>8,275 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95"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96"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97"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98" w14:textId="77777777" w:rsidR="008E7A10" w:rsidRDefault="00E047B2">
            <w:pPr>
              <w:jc w:val="right"/>
              <w:textAlignment w:val="bottom"/>
            </w:pPr>
            <w:r>
              <w:rPr>
                <w:rFonts w:ascii="Arial" w:eastAsia="宋体" w:hAnsi="Arial" w:cs="Arial"/>
                <w:color w:val="000000"/>
                <w:sz w:val="17"/>
                <w:szCs w:val="17"/>
              </w:rPr>
              <w:t>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99" w14:textId="77777777" w:rsidR="008E7A10" w:rsidRDefault="00E047B2">
            <w:pPr>
              <w:jc w:val="right"/>
              <w:textAlignment w:val="bottom"/>
            </w:pPr>
            <w:r>
              <w:rPr>
                <w:rFonts w:ascii="Arial" w:eastAsia="宋体" w:hAnsi="Arial" w:cs="Arial"/>
                <w:color w:val="000000"/>
                <w:sz w:val="17"/>
                <w:szCs w:val="17"/>
              </w:rPr>
              <w:t>%</w:t>
            </w:r>
          </w:p>
        </w:tc>
      </w:tr>
      <w:tr w:rsidR="008E7A10" w14:paraId="746F17AD"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79B" w14:textId="77777777" w:rsidR="008E7A10" w:rsidRDefault="00E047B2">
            <w:pPr>
              <w:textAlignment w:val="bottom"/>
            </w:pPr>
            <w:r>
              <w:rPr>
                <w:rFonts w:ascii="Arial" w:eastAsia="宋体" w:hAnsi="Arial" w:cs="Arial"/>
                <w:color w:val="000000"/>
                <w:sz w:val="17"/>
                <w:szCs w:val="17"/>
              </w:rPr>
              <w:t>Europe, Middle East</w:t>
            </w:r>
            <w:r>
              <w:rPr>
                <w:rFonts w:ascii="Arial" w:eastAsia="宋体" w:hAnsi="Arial" w:cs="Arial"/>
                <w:color w:val="000000"/>
                <w:sz w:val="17"/>
                <w:szCs w:val="17"/>
              </w:rPr>
              <w:t xml:space="preserve">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79C" w14:textId="77777777" w:rsidR="008E7A10" w:rsidRDefault="00E047B2">
            <w:pPr>
              <w:jc w:val="right"/>
              <w:textAlignment w:val="bottom"/>
            </w:pPr>
            <w:r>
              <w:rPr>
                <w:rFonts w:ascii="Arial" w:eastAsia="宋体" w:hAnsi="Arial" w:cs="Arial"/>
                <w:color w:val="000000"/>
                <w:sz w:val="17"/>
                <w:szCs w:val="17"/>
              </w:rPr>
              <w:t>2,958 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79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9E" w14:textId="77777777" w:rsidR="008E7A10" w:rsidRDefault="00E047B2">
            <w:pPr>
              <w:jc w:val="right"/>
              <w:textAlignment w:val="bottom"/>
            </w:pPr>
            <w:r>
              <w:rPr>
                <w:rFonts w:ascii="Arial" w:eastAsia="宋体" w:hAnsi="Arial" w:cs="Arial"/>
                <w:color w:val="000000"/>
                <w:sz w:val="17"/>
                <w:szCs w:val="17"/>
              </w:rPr>
              <w:t>2,537 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9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A0"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A1"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A2"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A3"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7A4"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7A5" w14:textId="77777777" w:rsidR="008E7A10" w:rsidRDefault="00E047B2">
            <w:pPr>
              <w:jc w:val="right"/>
              <w:textAlignment w:val="bottom"/>
            </w:pPr>
            <w:r>
              <w:rPr>
                <w:rFonts w:ascii="Arial" w:eastAsia="宋体" w:hAnsi="Arial" w:cs="Arial"/>
                <w:color w:val="000000"/>
                <w:sz w:val="17"/>
                <w:szCs w:val="17"/>
              </w:rPr>
              <w:t>5,868 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7A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A7" w14:textId="77777777" w:rsidR="008E7A10" w:rsidRDefault="00E047B2">
            <w:pPr>
              <w:jc w:val="right"/>
              <w:textAlignment w:val="bottom"/>
            </w:pPr>
            <w:r>
              <w:rPr>
                <w:rFonts w:ascii="Arial" w:eastAsia="宋体" w:hAnsi="Arial" w:cs="Arial"/>
                <w:color w:val="000000"/>
                <w:sz w:val="17"/>
                <w:szCs w:val="17"/>
              </w:rPr>
              <w:t>5,310 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A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A9"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AA"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AB"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AC" w14:textId="77777777" w:rsidR="008E7A10" w:rsidRDefault="00E047B2">
            <w:pPr>
              <w:jc w:val="right"/>
              <w:textAlignment w:val="bottom"/>
            </w:pPr>
            <w:r>
              <w:rPr>
                <w:rFonts w:ascii="Arial" w:eastAsia="宋体" w:hAnsi="Arial" w:cs="Arial"/>
                <w:color w:val="000000"/>
                <w:sz w:val="17"/>
                <w:szCs w:val="17"/>
              </w:rPr>
              <w:t>%</w:t>
            </w:r>
          </w:p>
        </w:tc>
      </w:tr>
      <w:tr w:rsidR="008E7A10" w14:paraId="746F17C0"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7AE" w14:textId="77777777" w:rsidR="008E7A10" w:rsidRDefault="00E047B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7AF" w14:textId="77777777" w:rsidR="008E7A10" w:rsidRDefault="00E047B2">
            <w:pPr>
              <w:jc w:val="right"/>
              <w:textAlignment w:val="bottom"/>
            </w:pPr>
            <w:r>
              <w:rPr>
                <w:rFonts w:ascii="Arial" w:eastAsia="宋体" w:hAnsi="Arial" w:cs="Arial"/>
                <w:color w:val="000000"/>
                <w:sz w:val="17"/>
                <w:szCs w:val="17"/>
              </w:rPr>
              <w:t>2,298 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7B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B1" w14:textId="77777777" w:rsidR="008E7A10" w:rsidRDefault="00E047B2">
            <w:pPr>
              <w:jc w:val="right"/>
              <w:textAlignment w:val="bottom"/>
            </w:pPr>
            <w:r>
              <w:rPr>
                <w:rFonts w:ascii="Arial" w:eastAsia="宋体" w:hAnsi="Arial" w:cs="Arial"/>
                <w:color w:val="000000"/>
                <w:sz w:val="17"/>
                <w:szCs w:val="17"/>
              </w:rPr>
              <w:t>1,847 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B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B3" w14:textId="77777777" w:rsidR="008E7A10" w:rsidRDefault="00E047B2">
            <w:pPr>
              <w:jc w:val="right"/>
              <w:textAlignment w:val="bottom"/>
            </w:pPr>
            <w:r>
              <w:rPr>
                <w:rFonts w:ascii="Arial" w:eastAsia="宋体" w:hAnsi="Arial" w:cs="Arial"/>
                <w:color w:val="000000"/>
                <w:sz w:val="17"/>
                <w:szCs w:val="17"/>
              </w:rPr>
              <w:t>24 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B4"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B5" w14:textId="77777777" w:rsidR="008E7A10" w:rsidRDefault="00E047B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B6"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7B7"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7B8" w14:textId="77777777" w:rsidR="008E7A10" w:rsidRDefault="00E047B2">
            <w:pPr>
              <w:jc w:val="right"/>
              <w:textAlignment w:val="bottom"/>
            </w:pPr>
            <w:r>
              <w:rPr>
                <w:rFonts w:ascii="Arial" w:eastAsia="宋体" w:hAnsi="Arial" w:cs="Arial"/>
                <w:color w:val="000000"/>
                <w:sz w:val="17"/>
                <w:szCs w:val="17"/>
              </w:rPr>
              <w:t>4,078 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7B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BA" w14:textId="77777777" w:rsidR="008E7A10" w:rsidRDefault="00E047B2">
            <w:pPr>
              <w:jc w:val="right"/>
              <w:textAlignment w:val="bottom"/>
            </w:pPr>
            <w:r>
              <w:rPr>
                <w:rFonts w:ascii="Arial" w:eastAsia="宋体" w:hAnsi="Arial" w:cs="Arial"/>
                <w:color w:val="000000"/>
                <w:sz w:val="17"/>
                <w:szCs w:val="17"/>
              </w:rPr>
              <w:t>3,526 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B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BC"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BD"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BE" w14:textId="77777777" w:rsidR="008E7A10" w:rsidRDefault="00E047B2">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BF" w14:textId="77777777" w:rsidR="008E7A10" w:rsidRDefault="00E047B2">
            <w:pPr>
              <w:jc w:val="right"/>
              <w:textAlignment w:val="bottom"/>
            </w:pPr>
            <w:r>
              <w:rPr>
                <w:rFonts w:ascii="Arial" w:eastAsia="宋体" w:hAnsi="Arial" w:cs="Arial"/>
                <w:color w:val="000000"/>
                <w:sz w:val="17"/>
                <w:szCs w:val="17"/>
              </w:rPr>
              <w:t>%</w:t>
            </w:r>
          </w:p>
        </w:tc>
      </w:tr>
      <w:tr w:rsidR="008E7A10" w14:paraId="746F17D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7C1" w14:textId="77777777" w:rsidR="008E7A10" w:rsidRDefault="00E047B2">
            <w:pPr>
              <w:textAlignment w:val="bottom"/>
            </w:pPr>
            <w:r>
              <w:rPr>
                <w:rFonts w:ascii="Arial" w:eastAsia="宋体" w:hAnsi="Arial" w:cs="Arial"/>
                <w:color w:val="000000"/>
                <w:sz w:val="17"/>
                <w:szCs w:val="17"/>
              </w:rPr>
              <w:t>Asia Pacific &amp; Latin America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7C2" w14:textId="77777777" w:rsidR="008E7A10" w:rsidRDefault="00E047B2">
            <w:pPr>
              <w:jc w:val="right"/>
              <w:textAlignment w:val="bottom"/>
            </w:pPr>
            <w:r>
              <w:rPr>
                <w:rFonts w:ascii="Arial" w:eastAsia="宋体" w:hAnsi="Arial" w:cs="Arial"/>
                <w:color w:val="000000"/>
                <w:sz w:val="17"/>
                <w:szCs w:val="17"/>
              </w:rPr>
              <w:t>1,471 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7C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C4" w14:textId="77777777" w:rsidR="008E7A10" w:rsidRDefault="00E047B2">
            <w:pPr>
              <w:jc w:val="right"/>
              <w:textAlignment w:val="bottom"/>
            </w:pPr>
            <w:r>
              <w:rPr>
                <w:rFonts w:ascii="Arial" w:eastAsia="宋体" w:hAnsi="Arial" w:cs="Arial"/>
                <w:color w:val="000000"/>
                <w:sz w:val="17"/>
                <w:szCs w:val="17"/>
              </w:rPr>
              <w:t>1,468 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C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C6" w14:textId="77777777" w:rsidR="008E7A10" w:rsidRDefault="00E047B2">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C7"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C8"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C9"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7CA"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7CB" w14:textId="77777777" w:rsidR="008E7A10" w:rsidRDefault="00E047B2">
            <w:pPr>
              <w:jc w:val="right"/>
              <w:textAlignment w:val="bottom"/>
            </w:pPr>
            <w:r>
              <w:rPr>
                <w:rFonts w:ascii="Arial" w:eastAsia="宋体" w:hAnsi="Arial" w:cs="Arial"/>
                <w:color w:val="000000"/>
                <w:sz w:val="17"/>
                <w:szCs w:val="17"/>
              </w:rPr>
              <w:t>2,570 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7C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CD" w14:textId="77777777" w:rsidR="008E7A10" w:rsidRDefault="00E047B2">
            <w:pPr>
              <w:jc w:val="right"/>
              <w:textAlignment w:val="bottom"/>
            </w:pPr>
            <w:r>
              <w:rPr>
                <w:rFonts w:ascii="Arial" w:eastAsia="宋体" w:hAnsi="Arial" w:cs="Arial"/>
                <w:color w:val="000000"/>
                <w:sz w:val="17"/>
                <w:szCs w:val="17"/>
              </w:rPr>
              <w:t>2,813 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C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CF"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D0"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D1"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D2" w14:textId="77777777" w:rsidR="008E7A10" w:rsidRDefault="00E047B2">
            <w:pPr>
              <w:jc w:val="right"/>
              <w:textAlignment w:val="bottom"/>
            </w:pPr>
            <w:r>
              <w:rPr>
                <w:rFonts w:ascii="Arial" w:eastAsia="宋体" w:hAnsi="Arial" w:cs="Arial"/>
                <w:color w:val="000000"/>
                <w:sz w:val="17"/>
                <w:szCs w:val="17"/>
              </w:rPr>
              <w:t>%</w:t>
            </w:r>
          </w:p>
        </w:tc>
      </w:tr>
      <w:tr w:rsidR="008E7A10" w14:paraId="746F17E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7D4" w14:textId="77777777" w:rsidR="008E7A10" w:rsidRDefault="00E047B2">
            <w:pPr>
              <w:textAlignment w:val="bottom"/>
            </w:pPr>
            <w:r>
              <w:rPr>
                <w:rFonts w:ascii="Arial" w:eastAsia="宋体" w:hAnsi="Arial" w:cs="Arial"/>
                <w:color w:val="000000"/>
                <w:sz w:val="17"/>
                <w:szCs w:val="17"/>
              </w:rPr>
              <w:t>Global Brand Divisions</w:t>
            </w:r>
            <w:r>
              <w:rPr>
                <w:rFonts w:ascii="Arial" w:eastAsia="宋体" w:hAnsi="Arial" w:cs="Arial"/>
                <w:color w:val="000000"/>
                <w:sz w:val="9"/>
                <w:szCs w:val="9"/>
              </w:rPr>
              <w:t>(2)</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7D5"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7D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D7"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D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D9" w14:textId="77777777" w:rsidR="008E7A10" w:rsidRDefault="00E047B2">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DA"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DB" w14:textId="77777777" w:rsidR="008E7A10" w:rsidRDefault="00E047B2">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DC"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7DD"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7DE"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7D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E0"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E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E2" w14:textId="77777777" w:rsidR="008E7A10" w:rsidRDefault="00E047B2">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E3"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7E4" w14:textId="77777777" w:rsidR="008E7A10" w:rsidRDefault="00E047B2">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7E5" w14:textId="77777777" w:rsidR="008E7A10" w:rsidRDefault="00E047B2">
            <w:pPr>
              <w:jc w:val="right"/>
              <w:textAlignment w:val="bottom"/>
            </w:pPr>
            <w:r>
              <w:rPr>
                <w:rFonts w:ascii="Arial" w:eastAsia="宋体" w:hAnsi="Arial" w:cs="Arial"/>
                <w:color w:val="000000"/>
                <w:sz w:val="17"/>
                <w:szCs w:val="17"/>
              </w:rPr>
              <w:t>%</w:t>
            </w:r>
          </w:p>
        </w:tc>
      </w:tr>
      <w:tr w:rsidR="008E7A10" w14:paraId="746F17F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E7" w14:textId="77777777" w:rsidR="008E7A10" w:rsidRDefault="00E047B2">
            <w:pPr>
              <w:textAlignment w:val="bottom"/>
            </w:pPr>
            <w:r>
              <w:rPr>
                <w:rFonts w:ascii="Arial" w:eastAsia="宋体" w:hAnsi="Arial" w:cs="Arial"/>
                <w:b/>
                <w:bCs/>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7E8" w14:textId="77777777" w:rsidR="008E7A10" w:rsidRDefault="00E047B2">
            <w:pPr>
              <w:jc w:val="right"/>
              <w:textAlignment w:val="bottom"/>
            </w:pPr>
            <w:r>
              <w:rPr>
                <w:rFonts w:ascii="Arial" w:eastAsia="宋体" w:hAnsi="Arial" w:cs="Arial"/>
                <w:b/>
                <w:bCs/>
                <w:color w:val="000000"/>
                <w:sz w:val="17"/>
                <w:szCs w:val="17"/>
              </w:rPr>
              <w:t>10,741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7E9"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EA" w14:textId="77777777" w:rsidR="008E7A10" w:rsidRDefault="00E047B2">
            <w:pPr>
              <w:jc w:val="right"/>
              <w:textAlignment w:val="bottom"/>
            </w:pPr>
            <w:r>
              <w:rPr>
                <w:rFonts w:ascii="Arial" w:eastAsia="宋体" w:hAnsi="Arial" w:cs="Arial"/>
                <w:b/>
                <w:bCs/>
                <w:color w:val="000000"/>
                <w:sz w:val="17"/>
                <w:szCs w:val="17"/>
              </w:rPr>
              <w:t>9,844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EB"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EC" w14:textId="77777777" w:rsidR="008E7A10" w:rsidRDefault="00E047B2">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ED"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EE" w14:textId="77777777" w:rsidR="008E7A10" w:rsidRDefault="00E047B2">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EF"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7F0"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7F1" w14:textId="77777777" w:rsidR="008E7A10" w:rsidRDefault="00E047B2">
            <w:pPr>
              <w:jc w:val="right"/>
              <w:textAlignment w:val="bottom"/>
            </w:pPr>
            <w:r>
              <w:rPr>
                <w:rFonts w:ascii="Arial" w:eastAsia="宋体" w:hAnsi="Arial" w:cs="Arial"/>
                <w:b/>
                <w:bCs/>
                <w:color w:val="000000"/>
                <w:sz w:val="17"/>
                <w:szCs w:val="17"/>
              </w:rPr>
              <w:t>20,759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7F2"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F3" w14:textId="77777777" w:rsidR="008E7A10" w:rsidRDefault="00E047B2">
            <w:pPr>
              <w:jc w:val="right"/>
              <w:textAlignment w:val="bottom"/>
            </w:pPr>
            <w:r>
              <w:rPr>
                <w:rFonts w:ascii="Arial" w:eastAsia="宋体" w:hAnsi="Arial" w:cs="Arial"/>
                <w:b/>
                <w:bCs/>
                <w:color w:val="000000"/>
                <w:sz w:val="17"/>
                <w:szCs w:val="17"/>
              </w:rPr>
              <w:t>19,940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F4"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F5"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F6"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F7"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F8" w14:textId="77777777" w:rsidR="008E7A10" w:rsidRDefault="00E047B2">
            <w:pPr>
              <w:jc w:val="right"/>
              <w:textAlignment w:val="bottom"/>
            </w:pPr>
            <w:r>
              <w:rPr>
                <w:rFonts w:ascii="Arial" w:eastAsia="宋体" w:hAnsi="Arial" w:cs="Arial"/>
                <w:b/>
                <w:bCs/>
                <w:color w:val="000000"/>
                <w:sz w:val="17"/>
                <w:szCs w:val="17"/>
              </w:rPr>
              <w:t>%</w:t>
            </w:r>
          </w:p>
        </w:tc>
      </w:tr>
      <w:tr w:rsidR="008E7A10" w14:paraId="746F180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7FA" w14:textId="77777777" w:rsidR="008E7A10" w:rsidRDefault="00E047B2">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7FB" w14:textId="77777777" w:rsidR="008E7A10" w:rsidRDefault="00E047B2">
            <w:pPr>
              <w:jc w:val="right"/>
              <w:textAlignment w:val="bottom"/>
            </w:pPr>
            <w:r>
              <w:rPr>
                <w:rFonts w:ascii="Arial" w:eastAsia="宋体" w:hAnsi="Arial" w:cs="Arial"/>
                <w:color w:val="000000"/>
                <w:sz w:val="17"/>
                <w:szCs w:val="17"/>
              </w:rPr>
              <w:t>476 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7FC"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FD" w14:textId="77777777" w:rsidR="008E7A10" w:rsidRDefault="00E047B2">
            <w:pPr>
              <w:jc w:val="right"/>
              <w:textAlignment w:val="bottom"/>
            </w:pPr>
            <w:r>
              <w:rPr>
                <w:rFonts w:ascii="Arial" w:eastAsia="宋体" w:hAnsi="Arial" w:cs="Arial"/>
                <w:color w:val="000000"/>
                <w:sz w:val="17"/>
                <w:szCs w:val="17"/>
              </w:rPr>
              <w:t>480 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7F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7FF"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00"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01"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02"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803"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804" w14:textId="77777777" w:rsidR="008E7A10" w:rsidRDefault="00E047B2">
            <w:pPr>
              <w:jc w:val="right"/>
              <w:textAlignment w:val="bottom"/>
            </w:pPr>
            <w:r>
              <w:rPr>
                <w:rFonts w:ascii="Arial" w:eastAsia="宋体" w:hAnsi="Arial" w:cs="Arial"/>
                <w:color w:val="000000"/>
                <w:sz w:val="17"/>
                <w:szCs w:val="17"/>
              </w:rPr>
              <w:t>1,039 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805"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06" w14:textId="77777777" w:rsidR="008E7A10" w:rsidRDefault="00E047B2">
            <w:pPr>
              <w:jc w:val="right"/>
              <w:textAlignment w:val="bottom"/>
            </w:pPr>
            <w:r>
              <w:rPr>
                <w:rFonts w:ascii="Arial" w:eastAsia="宋体" w:hAnsi="Arial" w:cs="Arial"/>
                <w:color w:val="000000"/>
                <w:sz w:val="17"/>
                <w:szCs w:val="17"/>
              </w:rPr>
              <w:t>1,035 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07"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08" w14:textId="77777777" w:rsidR="008E7A10" w:rsidRDefault="00E047B2">
            <w:pPr>
              <w:jc w:val="right"/>
              <w:textAlignment w:val="bottom"/>
            </w:pPr>
            <w:r>
              <w:rPr>
                <w:rFonts w:ascii="Arial" w:eastAsia="宋体" w:hAnsi="Arial" w:cs="Arial"/>
                <w:color w:val="000000"/>
                <w:sz w:val="17"/>
                <w:szCs w:val="17"/>
              </w:rPr>
              <w:t>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09"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0A"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0B" w14:textId="77777777" w:rsidR="008E7A10" w:rsidRDefault="00E047B2">
            <w:pPr>
              <w:jc w:val="right"/>
              <w:textAlignment w:val="bottom"/>
            </w:pPr>
            <w:r>
              <w:rPr>
                <w:rFonts w:ascii="Arial" w:eastAsia="宋体" w:hAnsi="Arial" w:cs="Arial"/>
                <w:color w:val="000000"/>
                <w:sz w:val="17"/>
                <w:szCs w:val="17"/>
              </w:rPr>
              <w:t>%</w:t>
            </w:r>
          </w:p>
        </w:tc>
      </w:tr>
      <w:tr w:rsidR="008E7A10" w14:paraId="746F181F"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80D" w14:textId="77777777" w:rsidR="008E7A10" w:rsidRDefault="00E047B2">
            <w:pPr>
              <w:textAlignment w:val="bottom"/>
            </w:pPr>
            <w:r>
              <w:rPr>
                <w:rFonts w:ascii="Arial" w:eastAsia="宋体" w:hAnsi="Arial" w:cs="Arial"/>
                <w:color w:val="000000"/>
                <w:sz w:val="17"/>
                <w:szCs w:val="17"/>
              </w:rPr>
              <w:t>Corporate</w:t>
            </w:r>
            <w:r>
              <w:rPr>
                <w:rFonts w:ascii="Arial" w:eastAsia="宋体" w:hAnsi="Arial" w:cs="Arial"/>
                <w:color w:val="000000"/>
                <w:sz w:val="9"/>
                <w:szCs w:val="9"/>
              </w:rPr>
              <w:t>(3)</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0E" w14:textId="77777777" w:rsidR="008E7A10" w:rsidRDefault="00E047B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0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10"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1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12"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1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14"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15" w14:textId="77777777" w:rsidR="008E7A10" w:rsidRDefault="008E7A10">
            <w:pPr>
              <w:jc w:val="right"/>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tcPr>
          <w:p w14:paraId="746F1816"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17" w14:textId="77777777" w:rsidR="008E7A10" w:rsidRDefault="00E047B2">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1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19"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1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1B"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1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1D"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1E" w14:textId="77777777" w:rsidR="008E7A10" w:rsidRDefault="008E7A10">
            <w:pPr>
              <w:jc w:val="right"/>
              <w:rPr>
                <w:rFonts w:ascii="宋体"/>
              </w:rPr>
            </w:pPr>
          </w:p>
        </w:tc>
      </w:tr>
      <w:tr w:rsidR="008E7A10" w14:paraId="746F183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820" w14:textId="77777777" w:rsidR="008E7A10" w:rsidRDefault="00E047B2">
            <w:pPr>
              <w:textAlignment w:val="bottom"/>
            </w:pPr>
            <w:r>
              <w:rPr>
                <w:rFonts w:ascii="Arial" w:eastAsia="宋体" w:hAnsi="Arial" w:cs="Arial"/>
                <w:b/>
                <w:bCs/>
                <w:color w:val="000000"/>
                <w:sz w:val="17"/>
                <w:szCs w:val="17"/>
              </w:rPr>
              <w:t>TOTAL NIKE, INC.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82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822" w14:textId="77777777" w:rsidR="008E7A10" w:rsidRDefault="00E047B2">
            <w:pPr>
              <w:jc w:val="right"/>
              <w:textAlignment w:val="bottom"/>
            </w:pPr>
            <w:r>
              <w:rPr>
                <w:rFonts w:ascii="Arial" w:eastAsia="宋体" w:hAnsi="Arial" w:cs="Arial"/>
                <w:b/>
                <w:bCs/>
                <w:color w:val="000000"/>
                <w:sz w:val="17"/>
                <w:szCs w:val="17"/>
              </w:rPr>
              <w:t>11,243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823"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82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825" w14:textId="77777777" w:rsidR="008E7A10" w:rsidRDefault="00E047B2">
            <w:pPr>
              <w:jc w:val="right"/>
              <w:textAlignment w:val="bottom"/>
            </w:pPr>
            <w:r>
              <w:rPr>
                <w:rFonts w:ascii="Arial" w:eastAsia="宋体" w:hAnsi="Arial" w:cs="Arial"/>
                <w:b/>
                <w:bCs/>
                <w:color w:val="000000"/>
                <w:sz w:val="17"/>
                <w:szCs w:val="17"/>
              </w:rPr>
              <w:t>10,326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826"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827" w14:textId="77777777" w:rsidR="008E7A10" w:rsidRDefault="00E047B2">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828"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829" w14:textId="77777777" w:rsidR="008E7A10" w:rsidRDefault="00E047B2">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82A"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82B"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82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82D" w14:textId="77777777" w:rsidR="008E7A10" w:rsidRDefault="00E047B2">
            <w:pPr>
              <w:jc w:val="right"/>
              <w:textAlignment w:val="bottom"/>
            </w:pPr>
            <w:r>
              <w:rPr>
                <w:rFonts w:ascii="Arial" w:eastAsia="宋体" w:hAnsi="Arial" w:cs="Arial"/>
                <w:b/>
                <w:bCs/>
                <w:color w:val="000000"/>
                <w:sz w:val="17"/>
                <w:szCs w:val="17"/>
              </w:rPr>
              <w:t>21,837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82E"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82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830" w14:textId="77777777" w:rsidR="008E7A10" w:rsidRDefault="00E047B2">
            <w:pPr>
              <w:jc w:val="right"/>
              <w:textAlignment w:val="bottom"/>
            </w:pPr>
            <w:r>
              <w:rPr>
                <w:rFonts w:ascii="Arial" w:eastAsia="宋体" w:hAnsi="Arial" w:cs="Arial"/>
                <w:b/>
                <w:bCs/>
                <w:color w:val="000000"/>
                <w:sz w:val="17"/>
                <w:szCs w:val="17"/>
              </w:rPr>
              <w:t>20,986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831"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832"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833"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834"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835" w14:textId="77777777" w:rsidR="008E7A10" w:rsidRDefault="00E047B2">
            <w:pPr>
              <w:jc w:val="right"/>
              <w:textAlignment w:val="bottom"/>
            </w:pPr>
            <w:r>
              <w:rPr>
                <w:rFonts w:ascii="Arial" w:eastAsia="宋体" w:hAnsi="Arial" w:cs="Arial"/>
                <w:b/>
                <w:bCs/>
                <w:color w:val="000000"/>
                <w:sz w:val="17"/>
                <w:szCs w:val="17"/>
              </w:rPr>
              <w:t>%</w:t>
            </w:r>
          </w:p>
        </w:tc>
      </w:tr>
    </w:tbl>
    <w:p w14:paraId="746F1837" w14:textId="77777777" w:rsidR="008E7A10" w:rsidRDefault="00E047B2">
      <w:pPr>
        <w:spacing w:before="60" w:after="60"/>
        <w:ind w:hanging="360"/>
      </w:pPr>
      <w:r>
        <w:rPr>
          <w:rFonts w:ascii="Arial" w:eastAsia="宋体" w:hAnsi="Arial" w:cs="Arial"/>
          <w:i/>
          <w:iCs/>
          <w:color w:val="000000"/>
          <w:sz w:val="14"/>
          <w:szCs w:val="14"/>
        </w:rPr>
        <w:t>(1)    The per</w:t>
      </w:r>
      <w:r>
        <w:rPr>
          <w:rFonts w:ascii="Arial" w:eastAsia="宋体" w:hAnsi="Arial" w:cs="Arial"/>
          <w:i/>
          <w:iCs/>
          <w:color w:val="000000"/>
          <w:sz w:val="14"/>
          <w:szCs w:val="14"/>
        </w:rPr>
        <w:t>cent change excluding currency changes represents a non-GAAP financial measure. See "Use of Non-GAAP Financial Measures" for further information.</w:t>
      </w:r>
    </w:p>
    <w:p w14:paraId="746F1838" w14:textId="77777777" w:rsidR="008E7A10" w:rsidRDefault="00E047B2">
      <w:pPr>
        <w:spacing w:before="60" w:after="60"/>
        <w:ind w:hanging="360"/>
      </w:pPr>
      <w:r>
        <w:rPr>
          <w:rFonts w:ascii="Arial" w:eastAsia="宋体" w:hAnsi="Arial" w:cs="Arial"/>
          <w:i/>
          <w:iCs/>
          <w:color w:val="000000"/>
          <w:sz w:val="14"/>
          <w:szCs w:val="14"/>
        </w:rPr>
        <w:t xml:space="preserve">(2)    Global Brand Divisions revenues include NIKE Brand licensing as well as other </w:t>
      </w:r>
      <w:r>
        <w:rPr>
          <w:rFonts w:ascii="Arial" w:eastAsia="宋体" w:hAnsi="Arial" w:cs="Arial"/>
          <w:i/>
          <w:iCs/>
          <w:color w:val="000000"/>
          <w:sz w:val="14"/>
          <w:szCs w:val="14"/>
        </w:rPr>
        <w:t>miscellaneous revenues that are not part of a geographic operating segment.</w:t>
      </w:r>
    </w:p>
    <w:p w14:paraId="746F1839" w14:textId="77777777" w:rsidR="008E7A10" w:rsidRDefault="00E047B2">
      <w:pPr>
        <w:spacing w:before="60" w:after="60"/>
        <w:ind w:hanging="360"/>
      </w:pPr>
      <w:r>
        <w:rPr>
          <w:rFonts w:ascii="Arial" w:eastAsia="宋体" w:hAnsi="Arial" w:cs="Arial"/>
          <w:i/>
          <w:iCs/>
          <w:color w:val="000000"/>
          <w:sz w:val="14"/>
          <w:szCs w:val="14"/>
        </w:rPr>
        <w:t>(3)    Corporate revenues primarily consist of foreign currency hedge gains and losses related to revenues generated by entities within the NIKE Brand geographic operating segments</w:t>
      </w:r>
      <w:r>
        <w:rPr>
          <w:rFonts w:ascii="Arial" w:eastAsia="宋体" w:hAnsi="Arial" w:cs="Arial"/>
          <w:i/>
          <w:iCs/>
          <w:color w:val="000000"/>
          <w:sz w:val="14"/>
          <w:szCs w:val="14"/>
        </w:rPr>
        <w:t xml:space="preserve"> and Converse, but managed through our central foreign exchange risk management program.</w:t>
      </w:r>
    </w:p>
    <w:p w14:paraId="746F183A" w14:textId="77777777" w:rsidR="008E7A10" w:rsidRDefault="00E047B2">
      <w:pPr>
        <w:spacing w:before="120" w:after="120"/>
      </w:pPr>
      <w:r>
        <w:rPr>
          <w:rFonts w:ascii="Arial" w:eastAsia="宋体" w:hAnsi="Arial" w:cs="Arial"/>
          <w:color w:val="000000"/>
          <w:sz w:val="17"/>
          <w:szCs w:val="17"/>
        </w:rPr>
        <w:t>The primary financial measure used by the Company to evaluate performance of individual operating segments is EBIT, which represents Net income before Interest expense</w:t>
      </w:r>
      <w:r>
        <w:rPr>
          <w:rFonts w:ascii="Arial" w:eastAsia="宋体" w:hAnsi="Arial" w:cs="Arial"/>
          <w:color w:val="000000"/>
          <w:sz w:val="17"/>
          <w:szCs w:val="17"/>
        </w:rPr>
        <w:t xml:space="preserve"> (income), net and Income tax expense in the Unaudited Condensed Consolidated Statements of Income. As discussed in Note 12 — Operating Segments in the accompanying Notes to the Unaudited Condensed Consolidated Financial Statements, certain corporate costs</w:t>
      </w:r>
      <w:r>
        <w:rPr>
          <w:rFonts w:ascii="Arial" w:eastAsia="宋体" w:hAnsi="Arial" w:cs="Arial"/>
          <w:color w:val="000000"/>
          <w:sz w:val="17"/>
          <w:szCs w:val="17"/>
        </w:rPr>
        <w:t xml:space="preserve"> are not included in EBIT of our operating segments.</w:t>
      </w:r>
    </w:p>
    <w:p w14:paraId="746F183B" w14:textId="77777777" w:rsidR="008E7A10" w:rsidRDefault="00E047B2">
      <w:pPr>
        <w:spacing w:before="120" w:after="120"/>
      </w:pPr>
      <w:r>
        <w:rPr>
          <w:rFonts w:ascii="Arial" w:eastAsia="宋体" w:hAnsi="Arial" w:cs="Arial"/>
          <w:color w:val="E87722"/>
          <w:sz w:val="17"/>
          <w:szCs w:val="17"/>
        </w:rPr>
        <w:t>32</w:t>
      </w:r>
      <w:r>
        <w:rPr>
          <w:rFonts w:ascii="sans-serif" w:eastAsia="sans-serif" w:hAnsi="sans-serif" w:cs="sans-serif"/>
          <w:color w:val="000000"/>
          <w:sz w:val="17"/>
          <w:szCs w:val="17"/>
        </w:rPr>
        <w:t xml:space="preserve"> </w:t>
      </w:r>
    </w:p>
    <w:p w14:paraId="746F183C" w14:textId="77777777" w:rsidR="008E7A10" w:rsidRDefault="00E047B2">
      <w:r>
        <w:pict w14:anchorId="746F2028">
          <v:rect id="_x0000_i1058" style="width:415.3pt;height:1.5pt" o:hralign="center" o:hrstd="t" o:hr="t" fillcolor="#a0a0a0" stroked="f"/>
        </w:pict>
      </w:r>
    </w:p>
    <w:p w14:paraId="746F183D" w14:textId="77777777" w:rsidR="008E7A10" w:rsidRDefault="008E7A10"/>
    <w:p w14:paraId="746F183E" w14:textId="77777777" w:rsidR="008E7A10" w:rsidRDefault="00E047B2">
      <w:hyperlink r:id="rId103" w:anchor="i31a624617c6c41b38f8f700fa0df5bde_7" w:history="1">
        <w:r>
          <w:rPr>
            <w:rStyle w:val="a5"/>
            <w:rFonts w:ascii="sans-serif" w:eastAsia="sans-serif" w:hAnsi="sans-serif" w:cs="sans-serif"/>
            <w:sz w:val="17"/>
            <w:szCs w:val="17"/>
          </w:rPr>
          <w:t>Table of Contents</w:t>
        </w:r>
      </w:hyperlink>
    </w:p>
    <w:p w14:paraId="746F183F" w14:textId="77777777" w:rsidR="008E7A10" w:rsidRDefault="008E7A10"/>
    <w:p w14:paraId="746F1840" w14:textId="77777777" w:rsidR="008E7A10" w:rsidRDefault="00E047B2">
      <w:pPr>
        <w:spacing w:before="120"/>
      </w:pPr>
      <w:r>
        <w:rPr>
          <w:rFonts w:ascii="Arial" w:eastAsia="宋体" w:hAnsi="Arial" w:cs="Arial"/>
          <w:color w:val="000000"/>
          <w:sz w:val="17"/>
          <w:szCs w:val="17"/>
        </w:rPr>
        <w:t xml:space="preserve">The breakdown of </w:t>
      </w:r>
      <w:r>
        <w:rPr>
          <w:rFonts w:ascii="Arial" w:eastAsia="宋体" w:hAnsi="Arial" w:cs="Arial"/>
          <w:color w:val="000000"/>
          <w:sz w:val="17"/>
          <w:szCs w:val="17"/>
        </w:rPr>
        <w:t>earnings before interest and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2627"/>
        <w:gridCol w:w="40"/>
        <w:gridCol w:w="115"/>
        <w:gridCol w:w="761"/>
        <w:gridCol w:w="36"/>
        <w:gridCol w:w="115"/>
        <w:gridCol w:w="761"/>
        <w:gridCol w:w="36"/>
        <w:gridCol w:w="59"/>
        <w:gridCol w:w="726"/>
        <w:gridCol w:w="172"/>
        <w:gridCol w:w="36"/>
        <w:gridCol w:w="36"/>
        <w:gridCol w:w="36"/>
        <w:gridCol w:w="115"/>
        <w:gridCol w:w="714"/>
        <w:gridCol w:w="36"/>
        <w:gridCol w:w="115"/>
        <w:gridCol w:w="762"/>
        <w:gridCol w:w="36"/>
        <w:gridCol w:w="59"/>
        <w:gridCol w:w="730"/>
        <w:gridCol w:w="172"/>
      </w:tblGrid>
      <w:tr w:rsidR="008E7A10" w14:paraId="746F1859" w14:textId="77777777">
        <w:tc>
          <w:tcPr>
            <w:tcW w:w="50" w:type="pct"/>
            <w:shd w:val="clear" w:color="auto" w:fill="auto"/>
          </w:tcPr>
          <w:p w14:paraId="746F1841" w14:textId="77777777" w:rsidR="008E7A10" w:rsidRDefault="008E7A10">
            <w:pPr>
              <w:rPr>
                <w:rFonts w:ascii="宋体"/>
              </w:rPr>
            </w:pPr>
          </w:p>
        </w:tc>
        <w:tc>
          <w:tcPr>
            <w:tcW w:w="1619" w:type="pct"/>
            <w:shd w:val="clear" w:color="auto" w:fill="auto"/>
          </w:tcPr>
          <w:p w14:paraId="746F1842" w14:textId="77777777" w:rsidR="008E7A10" w:rsidRDefault="008E7A10">
            <w:pPr>
              <w:rPr>
                <w:rFonts w:ascii="宋体"/>
              </w:rPr>
            </w:pPr>
          </w:p>
        </w:tc>
        <w:tc>
          <w:tcPr>
            <w:tcW w:w="5" w:type="pct"/>
            <w:shd w:val="clear" w:color="auto" w:fill="auto"/>
          </w:tcPr>
          <w:p w14:paraId="746F1843" w14:textId="77777777" w:rsidR="008E7A10" w:rsidRDefault="008E7A10">
            <w:pPr>
              <w:rPr>
                <w:rFonts w:ascii="宋体"/>
              </w:rPr>
            </w:pPr>
          </w:p>
        </w:tc>
        <w:tc>
          <w:tcPr>
            <w:tcW w:w="50" w:type="pct"/>
            <w:shd w:val="clear" w:color="auto" w:fill="auto"/>
          </w:tcPr>
          <w:p w14:paraId="746F1844" w14:textId="77777777" w:rsidR="008E7A10" w:rsidRDefault="008E7A10">
            <w:pPr>
              <w:rPr>
                <w:rFonts w:ascii="宋体"/>
              </w:rPr>
            </w:pPr>
          </w:p>
        </w:tc>
        <w:tc>
          <w:tcPr>
            <w:tcW w:w="492" w:type="pct"/>
            <w:shd w:val="clear" w:color="auto" w:fill="auto"/>
          </w:tcPr>
          <w:p w14:paraId="746F1845" w14:textId="77777777" w:rsidR="008E7A10" w:rsidRDefault="008E7A10">
            <w:pPr>
              <w:rPr>
                <w:rFonts w:ascii="宋体"/>
              </w:rPr>
            </w:pPr>
          </w:p>
        </w:tc>
        <w:tc>
          <w:tcPr>
            <w:tcW w:w="5" w:type="pct"/>
            <w:shd w:val="clear" w:color="auto" w:fill="auto"/>
          </w:tcPr>
          <w:p w14:paraId="746F1846" w14:textId="77777777" w:rsidR="008E7A10" w:rsidRDefault="008E7A10">
            <w:pPr>
              <w:rPr>
                <w:rFonts w:ascii="宋体"/>
              </w:rPr>
            </w:pPr>
          </w:p>
        </w:tc>
        <w:tc>
          <w:tcPr>
            <w:tcW w:w="50" w:type="pct"/>
            <w:shd w:val="clear" w:color="auto" w:fill="auto"/>
          </w:tcPr>
          <w:p w14:paraId="746F1847" w14:textId="77777777" w:rsidR="008E7A10" w:rsidRDefault="008E7A10">
            <w:pPr>
              <w:rPr>
                <w:rFonts w:ascii="宋体"/>
              </w:rPr>
            </w:pPr>
          </w:p>
        </w:tc>
        <w:tc>
          <w:tcPr>
            <w:tcW w:w="492" w:type="pct"/>
            <w:shd w:val="clear" w:color="auto" w:fill="auto"/>
          </w:tcPr>
          <w:p w14:paraId="746F1848" w14:textId="77777777" w:rsidR="008E7A10" w:rsidRDefault="008E7A10">
            <w:pPr>
              <w:rPr>
                <w:rFonts w:ascii="宋体"/>
              </w:rPr>
            </w:pPr>
          </w:p>
        </w:tc>
        <w:tc>
          <w:tcPr>
            <w:tcW w:w="5" w:type="pct"/>
            <w:shd w:val="clear" w:color="auto" w:fill="auto"/>
          </w:tcPr>
          <w:p w14:paraId="746F1849" w14:textId="77777777" w:rsidR="008E7A10" w:rsidRDefault="008E7A10">
            <w:pPr>
              <w:rPr>
                <w:rFonts w:ascii="宋体"/>
              </w:rPr>
            </w:pPr>
          </w:p>
        </w:tc>
        <w:tc>
          <w:tcPr>
            <w:tcW w:w="50" w:type="pct"/>
            <w:shd w:val="clear" w:color="auto" w:fill="auto"/>
          </w:tcPr>
          <w:p w14:paraId="746F184A" w14:textId="77777777" w:rsidR="008E7A10" w:rsidRDefault="008E7A10">
            <w:pPr>
              <w:rPr>
                <w:rFonts w:ascii="宋体"/>
              </w:rPr>
            </w:pPr>
          </w:p>
        </w:tc>
        <w:tc>
          <w:tcPr>
            <w:tcW w:w="492" w:type="pct"/>
            <w:shd w:val="clear" w:color="auto" w:fill="auto"/>
          </w:tcPr>
          <w:p w14:paraId="746F184B" w14:textId="77777777" w:rsidR="008E7A10" w:rsidRDefault="008E7A10">
            <w:pPr>
              <w:rPr>
                <w:rFonts w:ascii="宋体"/>
              </w:rPr>
            </w:pPr>
          </w:p>
        </w:tc>
        <w:tc>
          <w:tcPr>
            <w:tcW w:w="5" w:type="pct"/>
            <w:shd w:val="clear" w:color="auto" w:fill="auto"/>
          </w:tcPr>
          <w:p w14:paraId="746F184C" w14:textId="77777777" w:rsidR="008E7A10" w:rsidRDefault="008E7A10">
            <w:pPr>
              <w:rPr>
                <w:rFonts w:ascii="宋体"/>
              </w:rPr>
            </w:pPr>
          </w:p>
        </w:tc>
        <w:tc>
          <w:tcPr>
            <w:tcW w:w="5" w:type="pct"/>
            <w:shd w:val="clear" w:color="auto" w:fill="auto"/>
          </w:tcPr>
          <w:p w14:paraId="746F184D" w14:textId="77777777" w:rsidR="008E7A10" w:rsidRDefault="008E7A10">
            <w:pPr>
              <w:rPr>
                <w:rFonts w:ascii="宋体"/>
              </w:rPr>
            </w:pPr>
          </w:p>
        </w:tc>
        <w:tc>
          <w:tcPr>
            <w:tcW w:w="28" w:type="pct"/>
            <w:shd w:val="clear" w:color="auto" w:fill="auto"/>
          </w:tcPr>
          <w:p w14:paraId="746F184E" w14:textId="77777777" w:rsidR="008E7A10" w:rsidRDefault="008E7A10">
            <w:pPr>
              <w:rPr>
                <w:rFonts w:ascii="宋体"/>
              </w:rPr>
            </w:pPr>
          </w:p>
        </w:tc>
        <w:tc>
          <w:tcPr>
            <w:tcW w:w="5" w:type="pct"/>
            <w:shd w:val="clear" w:color="auto" w:fill="auto"/>
          </w:tcPr>
          <w:p w14:paraId="746F184F" w14:textId="77777777" w:rsidR="008E7A10" w:rsidRDefault="008E7A10">
            <w:pPr>
              <w:rPr>
                <w:rFonts w:ascii="宋体"/>
              </w:rPr>
            </w:pPr>
          </w:p>
        </w:tc>
        <w:tc>
          <w:tcPr>
            <w:tcW w:w="50" w:type="pct"/>
            <w:shd w:val="clear" w:color="auto" w:fill="auto"/>
          </w:tcPr>
          <w:p w14:paraId="746F1850" w14:textId="77777777" w:rsidR="008E7A10" w:rsidRDefault="008E7A10">
            <w:pPr>
              <w:rPr>
                <w:rFonts w:ascii="宋体"/>
              </w:rPr>
            </w:pPr>
          </w:p>
        </w:tc>
        <w:tc>
          <w:tcPr>
            <w:tcW w:w="492" w:type="pct"/>
            <w:shd w:val="clear" w:color="auto" w:fill="auto"/>
          </w:tcPr>
          <w:p w14:paraId="746F1851" w14:textId="77777777" w:rsidR="008E7A10" w:rsidRDefault="008E7A10">
            <w:pPr>
              <w:rPr>
                <w:rFonts w:ascii="宋体"/>
              </w:rPr>
            </w:pPr>
          </w:p>
        </w:tc>
        <w:tc>
          <w:tcPr>
            <w:tcW w:w="5" w:type="pct"/>
            <w:shd w:val="clear" w:color="auto" w:fill="auto"/>
          </w:tcPr>
          <w:p w14:paraId="746F1852" w14:textId="77777777" w:rsidR="008E7A10" w:rsidRDefault="008E7A10">
            <w:pPr>
              <w:rPr>
                <w:rFonts w:ascii="宋体"/>
              </w:rPr>
            </w:pPr>
          </w:p>
        </w:tc>
        <w:tc>
          <w:tcPr>
            <w:tcW w:w="50" w:type="pct"/>
            <w:shd w:val="clear" w:color="auto" w:fill="auto"/>
          </w:tcPr>
          <w:p w14:paraId="746F1853" w14:textId="77777777" w:rsidR="008E7A10" w:rsidRDefault="008E7A10">
            <w:pPr>
              <w:rPr>
                <w:rFonts w:ascii="宋体"/>
              </w:rPr>
            </w:pPr>
          </w:p>
        </w:tc>
        <w:tc>
          <w:tcPr>
            <w:tcW w:w="492" w:type="pct"/>
            <w:shd w:val="clear" w:color="auto" w:fill="auto"/>
          </w:tcPr>
          <w:p w14:paraId="746F1854" w14:textId="77777777" w:rsidR="008E7A10" w:rsidRDefault="008E7A10">
            <w:pPr>
              <w:rPr>
                <w:rFonts w:ascii="宋体"/>
              </w:rPr>
            </w:pPr>
          </w:p>
        </w:tc>
        <w:tc>
          <w:tcPr>
            <w:tcW w:w="5" w:type="pct"/>
            <w:shd w:val="clear" w:color="auto" w:fill="auto"/>
          </w:tcPr>
          <w:p w14:paraId="746F1855" w14:textId="77777777" w:rsidR="008E7A10" w:rsidRDefault="008E7A10">
            <w:pPr>
              <w:rPr>
                <w:rFonts w:ascii="宋体"/>
              </w:rPr>
            </w:pPr>
          </w:p>
        </w:tc>
        <w:tc>
          <w:tcPr>
            <w:tcW w:w="50" w:type="pct"/>
            <w:shd w:val="clear" w:color="auto" w:fill="auto"/>
          </w:tcPr>
          <w:p w14:paraId="746F1856" w14:textId="77777777" w:rsidR="008E7A10" w:rsidRDefault="008E7A10">
            <w:pPr>
              <w:rPr>
                <w:rFonts w:ascii="宋体"/>
              </w:rPr>
            </w:pPr>
          </w:p>
        </w:tc>
        <w:tc>
          <w:tcPr>
            <w:tcW w:w="493" w:type="pct"/>
            <w:shd w:val="clear" w:color="auto" w:fill="auto"/>
          </w:tcPr>
          <w:p w14:paraId="746F1857" w14:textId="77777777" w:rsidR="008E7A10" w:rsidRDefault="008E7A10">
            <w:pPr>
              <w:rPr>
                <w:rFonts w:ascii="宋体"/>
              </w:rPr>
            </w:pPr>
          </w:p>
        </w:tc>
        <w:tc>
          <w:tcPr>
            <w:tcW w:w="5" w:type="pct"/>
            <w:shd w:val="clear" w:color="auto" w:fill="auto"/>
          </w:tcPr>
          <w:p w14:paraId="746F1858" w14:textId="77777777" w:rsidR="008E7A10" w:rsidRDefault="008E7A10">
            <w:pPr>
              <w:rPr>
                <w:rFonts w:ascii="宋体"/>
              </w:rPr>
            </w:pPr>
          </w:p>
        </w:tc>
      </w:tr>
      <w:tr w:rsidR="008E7A10" w14:paraId="746F185E" w14:textId="77777777">
        <w:tc>
          <w:tcPr>
            <w:tcW w:w="0" w:type="auto"/>
            <w:gridSpan w:val="3"/>
            <w:shd w:val="clear" w:color="auto" w:fill="auto"/>
            <w:tcMar>
              <w:top w:w="0" w:type="dxa"/>
              <w:left w:w="20" w:type="dxa"/>
              <w:bottom w:w="0" w:type="dxa"/>
              <w:right w:w="20" w:type="dxa"/>
            </w:tcMar>
          </w:tcPr>
          <w:p w14:paraId="746F185A"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85B"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85C"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85D"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867" w14:textId="77777777">
        <w:tc>
          <w:tcPr>
            <w:tcW w:w="0" w:type="auto"/>
            <w:gridSpan w:val="3"/>
            <w:shd w:val="clear" w:color="auto" w:fill="auto"/>
            <w:tcMar>
              <w:top w:w="40" w:type="dxa"/>
              <w:left w:w="20" w:type="dxa"/>
              <w:bottom w:w="40" w:type="dxa"/>
              <w:right w:w="20" w:type="dxa"/>
            </w:tcMar>
            <w:vAlign w:val="bottom"/>
          </w:tcPr>
          <w:p w14:paraId="746F185F"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860"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861"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862"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746F1863"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864"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865"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866" w14:textId="77777777" w:rsidR="008E7A10" w:rsidRDefault="00E047B2">
            <w:pPr>
              <w:jc w:val="right"/>
              <w:textAlignment w:val="bottom"/>
            </w:pPr>
            <w:r>
              <w:rPr>
                <w:rFonts w:ascii="sans-serif" w:eastAsia="sans-serif" w:hAnsi="sans-serif" w:cs="sans-serif"/>
                <w:b/>
                <w:bCs/>
                <w:color w:val="000000"/>
                <w:sz w:val="17"/>
                <w:szCs w:val="17"/>
              </w:rPr>
              <w:t>% CHANGE</w:t>
            </w:r>
          </w:p>
        </w:tc>
      </w:tr>
      <w:tr w:rsidR="008E7A10" w14:paraId="746F187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868" w14:textId="77777777" w:rsidR="008E7A10" w:rsidRDefault="00E047B2">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86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86A" w14:textId="77777777" w:rsidR="008E7A10" w:rsidRDefault="00E047B2">
            <w:pPr>
              <w:jc w:val="right"/>
              <w:textAlignment w:val="bottom"/>
            </w:pPr>
            <w:r>
              <w:rPr>
                <w:rFonts w:ascii="Arial" w:eastAsia="宋体" w:hAnsi="Arial" w:cs="Arial"/>
                <w:color w:val="000000"/>
                <w:sz w:val="17"/>
                <w:szCs w:val="17"/>
              </w:rPr>
              <w:t>1,023 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86B"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86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86D" w14:textId="77777777" w:rsidR="008E7A10" w:rsidRDefault="00E047B2">
            <w:pPr>
              <w:jc w:val="right"/>
              <w:textAlignment w:val="bottom"/>
            </w:pPr>
            <w:r>
              <w:rPr>
                <w:rFonts w:ascii="Arial" w:eastAsia="宋体" w:hAnsi="Arial" w:cs="Arial"/>
                <w:color w:val="000000"/>
                <w:sz w:val="17"/>
                <w:szCs w:val="17"/>
              </w:rPr>
              <w:t>875 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6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6F"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70"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871"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87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873" w14:textId="77777777" w:rsidR="008E7A10" w:rsidRDefault="00E047B2">
            <w:pPr>
              <w:jc w:val="right"/>
              <w:textAlignment w:val="bottom"/>
            </w:pPr>
            <w:r>
              <w:rPr>
                <w:rFonts w:ascii="Arial" w:eastAsia="宋体" w:hAnsi="Arial" w:cs="Arial"/>
                <w:color w:val="000000"/>
                <w:sz w:val="17"/>
                <w:szCs w:val="17"/>
              </w:rPr>
              <w:t>2,325 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874"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87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876" w14:textId="77777777" w:rsidR="008E7A10" w:rsidRDefault="00E047B2">
            <w:pPr>
              <w:jc w:val="right"/>
              <w:textAlignment w:val="bottom"/>
            </w:pPr>
            <w:r>
              <w:rPr>
                <w:rFonts w:ascii="Arial" w:eastAsia="宋体" w:hAnsi="Arial" w:cs="Arial"/>
                <w:color w:val="000000"/>
                <w:sz w:val="17"/>
                <w:szCs w:val="17"/>
              </w:rPr>
              <w:t>1,975 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77"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78" w14:textId="77777777" w:rsidR="008E7A10" w:rsidRDefault="00E047B2">
            <w:pPr>
              <w:jc w:val="right"/>
              <w:textAlignment w:val="bottom"/>
            </w:pPr>
            <w:r>
              <w:rPr>
                <w:rFonts w:ascii="Arial" w:eastAsia="宋体" w:hAnsi="Arial" w:cs="Arial"/>
                <w:color w:val="000000"/>
                <w:sz w:val="17"/>
                <w:szCs w:val="17"/>
              </w:rPr>
              <w:t>18 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79" w14:textId="77777777" w:rsidR="008E7A10" w:rsidRDefault="00E047B2">
            <w:pPr>
              <w:jc w:val="right"/>
              <w:textAlignment w:val="bottom"/>
            </w:pPr>
            <w:r>
              <w:rPr>
                <w:rFonts w:ascii="Arial" w:eastAsia="宋体" w:hAnsi="Arial" w:cs="Arial"/>
                <w:color w:val="000000"/>
                <w:sz w:val="17"/>
                <w:szCs w:val="17"/>
              </w:rPr>
              <w:t>%</w:t>
            </w:r>
          </w:p>
        </w:tc>
      </w:tr>
      <w:tr w:rsidR="008E7A10" w14:paraId="746F1889"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87B" w14:textId="77777777" w:rsidR="008E7A10" w:rsidRDefault="00E047B2">
            <w:pPr>
              <w:textAlignment w:val="bottom"/>
            </w:pPr>
            <w:r>
              <w:rPr>
                <w:rFonts w:ascii="Arial" w:eastAsia="宋体" w:hAnsi="Arial" w:cs="Arial"/>
                <w:color w:val="000000"/>
                <w:sz w:val="17"/>
                <w:szCs w:val="17"/>
              </w:rPr>
              <w:t>Europe, Middle East &amp; Africa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7C" w14:textId="77777777" w:rsidR="008E7A10" w:rsidRDefault="00E047B2">
            <w:pPr>
              <w:jc w:val="right"/>
              <w:textAlignment w:val="bottom"/>
            </w:pPr>
            <w:r>
              <w:rPr>
                <w:rFonts w:ascii="Arial" w:eastAsia="宋体" w:hAnsi="Arial" w:cs="Arial"/>
                <w:color w:val="000000"/>
                <w:sz w:val="17"/>
                <w:szCs w:val="17"/>
              </w:rPr>
              <w:t>660 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7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7E" w14:textId="77777777" w:rsidR="008E7A10" w:rsidRDefault="00E047B2">
            <w:pPr>
              <w:jc w:val="right"/>
              <w:textAlignment w:val="bottom"/>
            </w:pPr>
            <w:r>
              <w:rPr>
                <w:rFonts w:ascii="Arial" w:eastAsia="宋体" w:hAnsi="Arial" w:cs="Arial"/>
                <w:color w:val="000000"/>
                <w:sz w:val="17"/>
                <w:szCs w:val="17"/>
              </w:rPr>
              <w:t>510 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7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80" w14:textId="77777777" w:rsidR="008E7A10" w:rsidRDefault="00E047B2">
            <w:pPr>
              <w:jc w:val="right"/>
              <w:textAlignment w:val="bottom"/>
            </w:pPr>
            <w:r>
              <w:rPr>
                <w:rFonts w:ascii="Arial" w:eastAsia="宋体" w:hAnsi="Arial" w:cs="Arial"/>
                <w:color w:val="000000"/>
                <w:sz w:val="17"/>
                <w:szCs w:val="17"/>
              </w:rPr>
              <w:t>29 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81"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882"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83" w14:textId="77777777" w:rsidR="008E7A10" w:rsidRDefault="00E047B2">
            <w:pPr>
              <w:jc w:val="right"/>
              <w:textAlignment w:val="bottom"/>
            </w:pPr>
            <w:r>
              <w:rPr>
                <w:rFonts w:ascii="Arial" w:eastAsia="宋体" w:hAnsi="Arial" w:cs="Arial"/>
                <w:color w:val="000000"/>
                <w:sz w:val="17"/>
                <w:szCs w:val="17"/>
              </w:rPr>
              <w:t>1,352 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8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85" w14:textId="77777777" w:rsidR="008E7A10" w:rsidRDefault="00E047B2">
            <w:pPr>
              <w:jc w:val="right"/>
              <w:textAlignment w:val="bottom"/>
            </w:pPr>
            <w:r>
              <w:rPr>
                <w:rFonts w:ascii="Arial" w:eastAsia="宋体" w:hAnsi="Arial" w:cs="Arial"/>
                <w:color w:val="000000"/>
                <w:sz w:val="17"/>
                <w:szCs w:val="17"/>
              </w:rPr>
              <w:t>1,119 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8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87" w14:textId="77777777" w:rsidR="008E7A10" w:rsidRDefault="00E047B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88" w14:textId="77777777" w:rsidR="008E7A10" w:rsidRDefault="00E047B2">
            <w:pPr>
              <w:jc w:val="right"/>
              <w:textAlignment w:val="bottom"/>
            </w:pPr>
            <w:r>
              <w:rPr>
                <w:rFonts w:ascii="Arial" w:eastAsia="宋体" w:hAnsi="Arial" w:cs="Arial"/>
                <w:color w:val="000000"/>
                <w:sz w:val="17"/>
                <w:szCs w:val="17"/>
              </w:rPr>
              <w:t>%</w:t>
            </w:r>
          </w:p>
        </w:tc>
      </w:tr>
      <w:tr w:rsidR="008E7A10" w14:paraId="746F1898"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88A" w14:textId="77777777" w:rsidR="008E7A10" w:rsidRDefault="00E047B2">
            <w:pPr>
              <w:textAlignment w:val="bottom"/>
            </w:pPr>
            <w:r>
              <w:rPr>
                <w:rFonts w:ascii="Arial" w:eastAsia="宋体" w:hAnsi="Arial" w:cs="Arial"/>
                <w:color w:val="000000"/>
                <w:sz w:val="17"/>
                <w:szCs w:val="17"/>
              </w:rPr>
              <w:t>Greater China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8B" w14:textId="77777777" w:rsidR="008E7A10" w:rsidRDefault="00E047B2">
            <w:pPr>
              <w:jc w:val="right"/>
              <w:textAlignment w:val="bottom"/>
            </w:pPr>
            <w:r>
              <w:rPr>
                <w:rFonts w:ascii="Arial" w:eastAsia="宋体" w:hAnsi="Arial" w:cs="Arial"/>
                <w:color w:val="000000"/>
                <w:sz w:val="17"/>
                <w:szCs w:val="17"/>
              </w:rPr>
              <w:t>891 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8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8D" w14:textId="77777777" w:rsidR="008E7A10" w:rsidRDefault="00E047B2">
            <w:pPr>
              <w:jc w:val="right"/>
              <w:textAlignment w:val="bottom"/>
            </w:pPr>
            <w:r>
              <w:rPr>
                <w:rFonts w:ascii="Arial" w:eastAsia="宋体" w:hAnsi="Arial" w:cs="Arial"/>
                <w:color w:val="000000"/>
                <w:sz w:val="17"/>
                <w:szCs w:val="17"/>
              </w:rPr>
              <w:t>694 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8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8F" w14:textId="77777777" w:rsidR="008E7A10" w:rsidRDefault="00E047B2">
            <w:pPr>
              <w:jc w:val="right"/>
              <w:textAlignment w:val="bottom"/>
            </w:pPr>
            <w:r>
              <w:rPr>
                <w:rFonts w:ascii="Arial" w:eastAsia="宋体" w:hAnsi="Arial" w:cs="Arial"/>
                <w:color w:val="000000"/>
                <w:sz w:val="17"/>
                <w:szCs w:val="17"/>
              </w:rPr>
              <w:t>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90"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891"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92" w14:textId="77777777" w:rsidR="008E7A10" w:rsidRDefault="00E047B2">
            <w:pPr>
              <w:jc w:val="right"/>
              <w:textAlignment w:val="bottom"/>
            </w:pPr>
            <w:r>
              <w:rPr>
                <w:rFonts w:ascii="Arial" w:eastAsia="宋体" w:hAnsi="Arial" w:cs="Arial"/>
                <w:color w:val="000000"/>
                <w:sz w:val="17"/>
                <w:szCs w:val="17"/>
              </w:rPr>
              <w:t>1,579 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9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94" w14:textId="77777777" w:rsidR="008E7A10" w:rsidRDefault="00E047B2">
            <w:pPr>
              <w:jc w:val="right"/>
              <w:textAlignment w:val="bottom"/>
            </w:pPr>
            <w:r>
              <w:rPr>
                <w:rFonts w:ascii="Arial" w:eastAsia="宋体" w:hAnsi="Arial" w:cs="Arial"/>
                <w:color w:val="000000"/>
                <w:sz w:val="17"/>
                <w:szCs w:val="17"/>
              </w:rPr>
              <w:t>1,363 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9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96"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97" w14:textId="77777777" w:rsidR="008E7A10" w:rsidRDefault="00E047B2">
            <w:pPr>
              <w:jc w:val="right"/>
              <w:textAlignment w:val="bottom"/>
            </w:pPr>
            <w:r>
              <w:rPr>
                <w:rFonts w:ascii="Arial" w:eastAsia="宋体" w:hAnsi="Arial" w:cs="Arial"/>
                <w:color w:val="000000"/>
                <w:sz w:val="17"/>
                <w:szCs w:val="17"/>
              </w:rPr>
              <w:t>%</w:t>
            </w:r>
          </w:p>
        </w:tc>
      </w:tr>
      <w:tr w:rsidR="008E7A10" w14:paraId="746F18A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899" w14:textId="77777777" w:rsidR="008E7A10" w:rsidRDefault="00E047B2">
            <w:pPr>
              <w:textAlignment w:val="bottom"/>
            </w:pPr>
            <w:r>
              <w:rPr>
                <w:rFonts w:ascii="Arial" w:eastAsia="宋体" w:hAnsi="Arial" w:cs="Arial"/>
                <w:color w:val="000000"/>
                <w:sz w:val="17"/>
                <w:szCs w:val="17"/>
              </w:rPr>
              <w:t>Asia Pacific &amp; Latin America</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9A" w14:textId="77777777" w:rsidR="008E7A10" w:rsidRDefault="00E047B2">
            <w:pPr>
              <w:jc w:val="right"/>
              <w:textAlignment w:val="bottom"/>
            </w:pPr>
            <w:r>
              <w:rPr>
                <w:rFonts w:ascii="Arial" w:eastAsia="宋体" w:hAnsi="Arial" w:cs="Arial"/>
                <w:color w:val="000000"/>
                <w:sz w:val="17"/>
                <w:szCs w:val="17"/>
              </w:rPr>
              <w:t>424 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9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9C" w14:textId="77777777" w:rsidR="008E7A10" w:rsidRDefault="00E047B2">
            <w:pPr>
              <w:jc w:val="right"/>
              <w:textAlignment w:val="bottom"/>
            </w:pPr>
            <w:r>
              <w:rPr>
                <w:rFonts w:ascii="Arial" w:eastAsia="宋体" w:hAnsi="Arial" w:cs="Arial"/>
                <w:color w:val="000000"/>
                <w:sz w:val="17"/>
                <w:szCs w:val="17"/>
              </w:rPr>
              <w:t>377 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9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9E"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9F"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8A0"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A1" w14:textId="77777777" w:rsidR="008E7A10" w:rsidRDefault="00E047B2">
            <w:pPr>
              <w:jc w:val="right"/>
              <w:textAlignment w:val="bottom"/>
            </w:pPr>
            <w:r>
              <w:rPr>
                <w:rFonts w:ascii="Arial" w:eastAsia="宋体" w:hAnsi="Arial" w:cs="Arial"/>
                <w:color w:val="000000"/>
                <w:sz w:val="17"/>
                <w:szCs w:val="17"/>
              </w:rPr>
              <w:t>704 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A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A3" w14:textId="77777777" w:rsidR="008E7A10" w:rsidRDefault="00E047B2">
            <w:pPr>
              <w:jc w:val="right"/>
              <w:textAlignment w:val="bottom"/>
            </w:pPr>
            <w:r>
              <w:rPr>
                <w:rFonts w:ascii="Arial" w:eastAsia="宋体" w:hAnsi="Arial" w:cs="Arial"/>
                <w:color w:val="000000"/>
                <w:sz w:val="17"/>
                <w:szCs w:val="17"/>
              </w:rPr>
              <w:t>718 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A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A5"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A6" w14:textId="77777777" w:rsidR="008E7A10" w:rsidRDefault="00E047B2">
            <w:pPr>
              <w:jc w:val="right"/>
              <w:textAlignment w:val="bottom"/>
            </w:pPr>
            <w:r>
              <w:rPr>
                <w:rFonts w:ascii="Arial" w:eastAsia="宋体" w:hAnsi="Arial" w:cs="Arial"/>
                <w:color w:val="000000"/>
                <w:sz w:val="17"/>
                <w:szCs w:val="17"/>
              </w:rPr>
              <w:t>%</w:t>
            </w:r>
          </w:p>
        </w:tc>
      </w:tr>
      <w:tr w:rsidR="008E7A10" w14:paraId="746F18B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8A8" w14:textId="77777777" w:rsidR="008E7A10" w:rsidRDefault="00E047B2">
            <w:pPr>
              <w:textAlignment w:val="bottom"/>
            </w:pPr>
            <w:r>
              <w:rPr>
                <w:rFonts w:ascii="Arial" w:eastAsia="宋体" w:hAnsi="Arial" w:cs="Arial"/>
                <w:color w:val="000000"/>
                <w:sz w:val="17"/>
                <w:szCs w:val="17"/>
              </w:rPr>
              <w:t>Global Brand Divisions</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A9" w14:textId="77777777" w:rsidR="008E7A10" w:rsidRDefault="00E047B2">
            <w:pPr>
              <w:jc w:val="right"/>
              <w:textAlignment w:val="bottom"/>
            </w:pPr>
            <w:r>
              <w:rPr>
                <w:rFonts w:ascii="Arial" w:eastAsia="宋体" w:hAnsi="Arial" w:cs="Arial"/>
                <w:color w:val="000000"/>
                <w:sz w:val="17"/>
                <w:szCs w:val="17"/>
              </w:rPr>
              <w:t>(841)</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A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AB" w14:textId="77777777" w:rsidR="008E7A10" w:rsidRDefault="00E047B2">
            <w:pPr>
              <w:jc w:val="right"/>
              <w:textAlignment w:val="bottom"/>
            </w:pPr>
            <w:r>
              <w:rPr>
                <w:rFonts w:ascii="Arial" w:eastAsia="宋体" w:hAnsi="Arial" w:cs="Arial"/>
                <w:color w:val="000000"/>
                <w:sz w:val="17"/>
                <w:szCs w:val="17"/>
              </w:rPr>
              <w:t>(872)</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A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AD"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AE"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8AF"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B0" w14:textId="77777777" w:rsidR="008E7A10" w:rsidRDefault="00E047B2">
            <w:pPr>
              <w:jc w:val="right"/>
              <w:textAlignment w:val="bottom"/>
            </w:pPr>
            <w:r>
              <w:rPr>
                <w:rFonts w:ascii="Arial" w:eastAsia="宋体" w:hAnsi="Arial" w:cs="Arial"/>
                <w:color w:val="000000"/>
                <w:sz w:val="17"/>
                <w:szCs w:val="17"/>
              </w:rPr>
              <w:t>(1,694)</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B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B2" w14:textId="77777777" w:rsidR="008E7A10" w:rsidRDefault="00E047B2">
            <w:pPr>
              <w:jc w:val="right"/>
              <w:textAlignment w:val="bottom"/>
            </w:pPr>
            <w:r>
              <w:rPr>
                <w:rFonts w:ascii="Arial" w:eastAsia="宋体" w:hAnsi="Arial" w:cs="Arial"/>
                <w:color w:val="000000"/>
                <w:sz w:val="17"/>
                <w:szCs w:val="17"/>
              </w:rPr>
              <w:t>(1,729)</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B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B4"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B5" w14:textId="77777777" w:rsidR="008E7A10" w:rsidRDefault="00E047B2">
            <w:pPr>
              <w:jc w:val="right"/>
              <w:textAlignment w:val="bottom"/>
            </w:pPr>
            <w:r>
              <w:rPr>
                <w:rFonts w:ascii="Arial" w:eastAsia="宋体" w:hAnsi="Arial" w:cs="Arial"/>
                <w:color w:val="000000"/>
                <w:sz w:val="17"/>
                <w:szCs w:val="17"/>
              </w:rPr>
              <w:t>%</w:t>
            </w:r>
          </w:p>
        </w:tc>
      </w:tr>
      <w:tr w:rsidR="008E7A10" w14:paraId="746F18C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8B7" w14:textId="77777777" w:rsidR="008E7A10" w:rsidRDefault="00E047B2">
            <w:pPr>
              <w:textAlignment w:val="bottom"/>
            </w:pPr>
            <w:r>
              <w:rPr>
                <w:rFonts w:ascii="Arial" w:eastAsia="宋体" w:hAnsi="Arial" w:cs="Arial"/>
                <w:b/>
                <w:bCs/>
                <w:color w:val="000000"/>
                <w:sz w:val="17"/>
                <w:szCs w:val="17"/>
              </w:rPr>
              <w:t>TOTAL NIKE BRAND</w:t>
            </w:r>
            <w:r>
              <w:rPr>
                <w:rFonts w:ascii="Arial" w:eastAsia="宋体" w:hAnsi="Arial" w:cs="Arial"/>
                <w:color w:val="000000"/>
                <w:sz w:val="9"/>
                <w:szCs w:val="9"/>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8B8" w14:textId="77777777" w:rsidR="008E7A10" w:rsidRDefault="00E047B2">
            <w:pPr>
              <w:jc w:val="right"/>
              <w:textAlignment w:val="bottom"/>
            </w:pPr>
            <w:r>
              <w:rPr>
                <w:rFonts w:ascii="Arial" w:eastAsia="宋体" w:hAnsi="Arial" w:cs="Arial"/>
                <w:b/>
                <w:bCs/>
                <w:color w:val="000000"/>
                <w:sz w:val="17"/>
                <w:szCs w:val="17"/>
              </w:rPr>
              <w:t>2,157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8B9"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BA" w14:textId="77777777" w:rsidR="008E7A10" w:rsidRDefault="00E047B2">
            <w:pPr>
              <w:jc w:val="right"/>
              <w:textAlignment w:val="bottom"/>
            </w:pPr>
            <w:r>
              <w:rPr>
                <w:rFonts w:ascii="Arial" w:eastAsia="宋体" w:hAnsi="Arial" w:cs="Arial"/>
                <w:b/>
                <w:bCs/>
                <w:color w:val="000000"/>
                <w:sz w:val="17"/>
                <w:szCs w:val="17"/>
              </w:rPr>
              <w:t>1,584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BB"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BC" w14:textId="77777777" w:rsidR="008E7A10" w:rsidRDefault="00E047B2">
            <w:pPr>
              <w:jc w:val="right"/>
              <w:textAlignment w:val="bottom"/>
            </w:pPr>
            <w:r>
              <w:rPr>
                <w:rFonts w:ascii="Arial" w:eastAsia="宋体" w:hAnsi="Arial" w:cs="Arial"/>
                <w:b/>
                <w:bCs/>
                <w:color w:val="000000"/>
                <w:sz w:val="17"/>
                <w:szCs w:val="17"/>
              </w:rPr>
              <w:t>36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BD"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8BE"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8BF" w14:textId="77777777" w:rsidR="008E7A10" w:rsidRDefault="00E047B2">
            <w:pPr>
              <w:jc w:val="right"/>
              <w:textAlignment w:val="bottom"/>
            </w:pPr>
            <w:r>
              <w:rPr>
                <w:rFonts w:ascii="Arial" w:eastAsia="宋体" w:hAnsi="Arial" w:cs="Arial"/>
                <w:b/>
                <w:bCs/>
                <w:color w:val="000000"/>
                <w:sz w:val="17"/>
                <w:szCs w:val="17"/>
              </w:rPr>
              <w:t>4,266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8C0"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C1" w14:textId="77777777" w:rsidR="008E7A10" w:rsidRDefault="00E047B2">
            <w:pPr>
              <w:jc w:val="right"/>
              <w:textAlignment w:val="bottom"/>
            </w:pPr>
            <w:r>
              <w:rPr>
                <w:rFonts w:ascii="Arial" w:eastAsia="宋体" w:hAnsi="Arial" w:cs="Arial"/>
                <w:b/>
                <w:bCs/>
                <w:color w:val="000000"/>
                <w:sz w:val="17"/>
                <w:szCs w:val="17"/>
              </w:rPr>
              <w:t>3,446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C2"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C3" w14:textId="77777777" w:rsidR="008E7A10" w:rsidRDefault="00E047B2">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C4" w14:textId="77777777" w:rsidR="008E7A10" w:rsidRDefault="00E047B2">
            <w:pPr>
              <w:jc w:val="right"/>
              <w:textAlignment w:val="bottom"/>
            </w:pPr>
            <w:r>
              <w:rPr>
                <w:rFonts w:ascii="Arial" w:eastAsia="宋体" w:hAnsi="Arial" w:cs="Arial"/>
                <w:b/>
                <w:bCs/>
                <w:color w:val="000000"/>
                <w:sz w:val="17"/>
                <w:szCs w:val="17"/>
              </w:rPr>
              <w:t>%</w:t>
            </w:r>
          </w:p>
        </w:tc>
      </w:tr>
      <w:tr w:rsidR="008E7A10" w14:paraId="746F18D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8C6" w14:textId="77777777" w:rsidR="008E7A10" w:rsidRDefault="00E047B2">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8C7" w14:textId="77777777" w:rsidR="008E7A10" w:rsidRDefault="00E047B2">
            <w:pPr>
              <w:jc w:val="right"/>
              <w:textAlignment w:val="bottom"/>
            </w:pPr>
            <w:r>
              <w:rPr>
                <w:rFonts w:ascii="Arial" w:eastAsia="宋体" w:hAnsi="Arial" w:cs="Arial"/>
                <w:color w:val="000000"/>
                <w:sz w:val="17"/>
                <w:szCs w:val="17"/>
              </w:rPr>
              <w:t>87 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8C8"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C9" w14:textId="77777777" w:rsidR="008E7A10" w:rsidRDefault="00E047B2">
            <w:pPr>
              <w:jc w:val="right"/>
              <w:textAlignment w:val="bottom"/>
            </w:pPr>
            <w:r>
              <w:rPr>
                <w:rFonts w:ascii="Arial" w:eastAsia="宋体" w:hAnsi="Arial" w:cs="Arial"/>
                <w:color w:val="000000"/>
                <w:sz w:val="17"/>
                <w:szCs w:val="17"/>
              </w:rPr>
              <w:t>90 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CA"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CB"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CC"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8CD"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8CE" w14:textId="77777777" w:rsidR="008E7A10" w:rsidRDefault="00E047B2">
            <w:pPr>
              <w:jc w:val="right"/>
              <w:textAlignment w:val="bottom"/>
            </w:pPr>
            <w:r>
              <w:rPr>
                <w:rFonts w:ascii="Arial" w:eastAsia="宋体" w:hAnsi="Arial" w:cs="Arial"/>
                <w:color w:val="000000"/>
                <w:sz w:val="17"/>
                <w:szCs w:val="17"/>
              </w:rPr>
              <w:t>255 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8CF"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D0" w14:textId="77777777" w:rsidR="008E7A10" w:rsidRDefault="00E047B2">
            <w:pPr>
              <w:jc w:val="right"/>
              <w:textAlignment w:val="bottom"/>
            </w:pPr>
            <w:r>
              <w:rPr>
                <w:rFonts w:ascii="Arial" w:eastAsia="宋体" w:hAnsi="Arial" w:cs="Arial"/>
                <w:color w:val="000000"/>
                <w:sz w:val="17"/>
                <w:szCs w:val="17"/>
              </w:rPr>
              <w:t>228 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D1"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D2"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D3" w14:textId="77777777" w:rsidR="008E7A10" w:rsidRDefault="00E047B2">
            <w:pPr>
              <w:jc w:val="right"/>
              <w:textAlignment w:val="bottom"/>
            </w:pPr>
            <w:r>
              <w:rPr>
                <w:rFonts w:ascii="Arial" w:eastAsia="宋体" w:hAnsi="Arial" w:cs="Arial"/>
                <w:color w:val="000000"/>
                <w:sz w:val="17"/>
                <w:szCs w:val="17"/>
              </w:rPr>
              <w:t>%</w:t>
            </w:r>
          </w:p>
        </w:tc>
      </w:tr>
      <w:tr w:rsidR="008E7A10" w14:paraId="746F18E3"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8D5" w14:textId="77777777" w:rsidR="008E7A10" w:rsidRDefault="00E047B2">
            <w:pPr>
              <w:textAlignment w:val="bottom"/>
            </w:pPr>
            <w:r>
              <w:rPr>
                <w:rFonts w:ascii="Arial" w:eastAsia="宋体" w:hAnsi="Arial" w:cs="Arial"/>
                <w:color w:val="000000"/>
                <w:sz w:val="17"/>
                <w:szCs w:val="17"/>
              </w:rPr>
              <w:t>Corporate</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D6" w14:textId="77777777" w:rsidR="008E7A10" w:rsidRDefault="00E047B2">
            <w:pPr>
              <w:jc w:val="right"/>
              <w:textAlignment w:val="bottom"/>
            </w:pPr>
            <w:r>
              <w:rPr>
                <w:rFonts w:ascii="Arial" w:eastAsia="宋体" w:hAnsi="Arial" w:cs="Arial"/>
                <w:color w:val="000000"/>
                <w:sz w:val="17"/>
                <w:szCs w:val="17"/>
              </w:rPr>
              <w:t>(718)</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D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D8" w14:textId="77777777" w:rsidR="008E7A10" w:rsidRDefault="00E047B2">
            <w:pPr>
              <w:jc w:val="right"/>
              <w:textAlignment w:val="bottom"/>
            </w:pPr>
            <w:r>
              <w:rPr>
                <w:rFonts w:ascii="Arial" w:eastAsia="宋体" w:hAnsi="Arial" w:cs="Arial"/>
                <w:color w:val="000000"/>
                <w:sz w:val="17"/>
                <w:szCs w:val="17"/>
              </w:rPr>
              <w:t>(413)</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D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DA" w14:textId="77777777" w:rsidR="008E7A10" w:rsidRDefault="00E047B2">
            <w:pPr>
              <w:jc w:val="right"/>
              <w:textAlignment w:val="bottom"/>
            </w:pPr>
            <w:r>
              <w:rPr>
                <w:rFonts w:ascii="Arial" w:eastAsia="宋体" w:hAnsi="Arial" w:cs="Arial"/>
                <w:color w:val="000000"/>
                <w:sz w:val="17"/>
                <w:szCs w:val="17"/>
              </w:rPr>
              <w:t>-74 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DB"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8DC"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8DD" w14:textId="77777777" w:rsidR="008E7A10" w:rsidRDefault="00E047B2">
            <w:pPr>
              <w:jc w:val="right"/>
              <w:textAlignment w:val="bottom"/>
            </w:pPr>
            <w:r>
              <w:rPr>
                <w:rFonts w:ascii="Arial" w:eastAsia="宋体" w:hAnsi="Arial" w:cs="Arial"/>
                <w:color w:val="000000"/>
                <w:sz w:val="17"/>
                <w:szCs w:val="17"/>
              </w:rPr>
              <w:t>(1,215)</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8D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DF" w14:textId="77777777" w:rsidR="008E7A10" w:rsidRDefault="00E047B2">
            <w:pPr>
              <w:jc w:val="right"/>
              <w:textAlignment w:val="bottom"/>
            </w:pPr>
            <w:r>
              <w:rPr>
                <w:rFonts w:ascii="Arial" w:eastAsia="宋体" w:hAnsi="Arial" w:cs="Arial"/>
                <w:color w:val="000000"/>
                <w:sz w:val="17"/>
                <w:szCs w:val="17"/>
              </w:rPr>
              <w:t>(837)</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E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8E1" w14:textId="77777777" w:rsidR="008E7A10" w:rsidRDefault="00E047B2">
            <w:pPr>
              <w:jc w:val="right"/>
              <w:textAlignment w:val="bottom"/>
            </w:pPr>
            <w:r>
              <w:rPr>
                <w:rFonts w:ascii="Arial" w:eastAsia="宋体" w:hAnsi="Arial" w:cs="Arial"/>
                <w:color w:val="000000"/>
                <w:sz w:val="17"/>
                <w:szCs w:val="17"/>
              </w:rPr>
              <w:t>-45 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8E2" w14:textId="77777777" w:rsidR="008E7A10" w:rsidRDefault="00E047B2">
            <w:pPr>
              <w:jc w:val="right"/>
              <w:textAlignment w:val="bottom"/>
            </w:pPr>
            <w:r>
              <w:rPr>
                <w:rFonts w:ascii="Arial" w:eastAsia="宋体" w:hAnsi="Arial" w:cs="Arial"/>
                <w:color w:val="000000"/>
                <w:sz w:val="17"/>
                <w:szCs w:val="17"/>
              </w:rPr>
              <w:t>%</w:t>
            </w:r>
          </w:p>
        </w:tc>
      </w:tr>
      <w:tr w:rsidR="008E7A10" w14:paraId="746F18F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8E4" w14:textId="77777777" w:rsidR="008E7A10" w:rsidRDefault="00E047B2">
            <w:pPr>
              <w:textAlignment w:val="bottom"/>
            </w:pPr>
            <w:r>
              <w:rPr>
                <w:rFonts w:ascii="Arial" w:eastAsia="宋体" w:hAnsi="Arial" w:cs="Arial"/>
                <w:b/>
                <w:bCs/>
                <w:color w:val="000000"/>
                <w:sz w:val="17"/>
                <w:szCs w:val="17"/>
              </w:rPr>
              <w:t>TOTAL NIKE, INC. EARNINGS BEFORE INTEREST AND TAXES</w:t>
            </w:r>
            <w:r>
              <w:rPr>
                <w:rFonts w:ascii="Arial" w:eastAsia="宋体" w:hAnsi="Arial" w:cs="Arial"/>
                <w:color w:val="000000"/>
                <w:sz w:val="9"/>
                <w:szCs w:val="9"/>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8E5" w14:textId="77777777" w:rsidR="008E7A10" w:rsidRDefault="00E047B2">
            <w:pPr>
              <w:jc w:val="right"/>
              <w:textAlignment w:val="bottom"/>
            </w:pPr>
            <w:r>
              <w:rPr>
                <w:rFonts w:ascii="Arial" w:eastAsia="宋体" w:hAnsi="Arial" w:cs="Arial"/>
                <w:b/>
                <w:bCs/>
                <w:color w:val="000000"/>
                <w:sz w:val="17"/>
                <w:szCs w:val="17"/>
              </w:rPr>
              <w:t>1,526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8E6"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E7" w14:textId="77777777" w:rsidR="008E7A10" w:rsidRDefault="00E047B2">
            <w:pPr>
              <w:jc w:val="right"/>
              <w:textAlignment w:val="bottom"/>
            </w:pPr>
            <w:r>
              <w:rPr>
                <w:rFonts w:ascii="Arial" w:eastAsia="宋体" w:hAnsi="Arial" w:cs="Arial"/>
                <w:b/>
                <w:bCs/>
                <w:color w:val="000000"/>
                <w:sz w:val="17"/>
                <w:szCs w:val="17"/>
              </w:rPr>
              <w:t>1,261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E8"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E9" w14:textId="77777777" w:rsidR="008E7A10" w:rsidRDefault="00E047B2">
            <w:pPr>
              <w:jc w:val="right"/>
              <w:textAlignment w:val="bottom"/>
            </w:pPr>
            <w:r>
              <w:rPr>
                <w:rFonts w:ascii="Arial" w:eastAsia="宋体" w:hAnsi="Arial" w:cs="Arial"/>
                <w:b/>
                <w:bCs/>
                <w:color w:val="000000"/>
                <w:sz w:val="17"/>
                <w:szCs w:val="17"/>
              </w:rPr>
              <w:t>21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EA"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8EB"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8EC" w14:textId="77777777" w:rsidR="008E7A10" w:rsidRDefault="00E047B2">
            <w:pPr>
              <w:jc w:val="right"/>
              <w:textAlignment w:val="bottom"/>
            </w:pPr>
            <w:r>
              <w:rPr>
                <w:rFonts w:ascii="Arial" w:eastAsia="宋体" w:hAnsi="Arial" w:cs="Arial"/>
                <w:b/>
                <w:bCs/>
                <w:color w:val="000000"/>
                <w:sz w:val="17"/>
                <w:szCs w:val="17"/>
              </w:rPr>
              <w:t>3,306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8ED"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EE" w14:textId="77777777" w:rsidR="008E7A10" w:rsidRDefault="00E047B2">
            <w:pPr>
              <w:jc w:val="right"/>
              <w:textAlignment w:val="bottom"/>
            </w:pPr>
            <w:r>
              <w:rPr>
                <w:rFonts w:ascii="Arial" w:eastAsia="宋体" w:hAnsi="Arial" w:cs="Arial"/>
                <w:b/>
                <w:bCs/>
                <w:color w:val="000000"/>
                <w:sz w:val="17"/>
                <w:szCs w:val="17"/>
              </w:rPr>
              <w:t>2,837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EF"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F0" w14:textId="77777777" w:rsidR="008E7A10" w:rsidRDefault="00E047B2">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F1" w14:textId="77777777" w:rsidR="008E7A10" w:rsidRDefault="00E047B2">
            <w:pPr>
              <w:jc w:val="right"/>
              <w:textAlignment w:val="bottom"/>
            </w:pPr>
            <w:r>
              <w:rPr>
                <w:rFonts w:ascii="Arial" w:eastAsia="宋体" w:hAnsi="Arial" w:cs="Arial"/>
                <w:b/>
                <w:bCs/>
                <w:color w:val="000000"/>
                <w:sz w:val="17"/>
                <w:szCs w:val="17"/>
              </w:rPr>
              <w:t>%</w:t>
            </w:r>
          </w:p>
        </w:tc>
      </w:tr>
      <w:tr w:rsidR="008E7A10" w14:paraId="746F190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8F3" w14:textId="77777777" w:rsidR="008E7A10" w:rsidRDefault="00E047B2">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8F4" w14:textId="77777777" w:rsidR="008E7A10" w:rsidRDefault="00E047B2">
            <w:pPr>
              <w:jc w:val="right"/>
              <w:textAlignment w:val="bottom"/>
            </w:pPr>
            <w:r>
              <w:rPr>
                <w:rFonts w:ascii="Arial" w:eastAsia="宋体" w:hAnsi="Arial" w:cs="Arial"/>
                <w:color w:val="000000"/>
                <w:sz w:val="17"/>
                <w:szCs w:val="17"/>
              </w:rPr>
              <w:t>70 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8F5"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F6"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F7"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F8"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F9"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8FA" w14:textId="77777777" w:rsidR="008E7A10" w:rsidRDefault="008E7A10">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746F18FB" w14:textId="77777777" w:rsidR="008E7A10" w:rsidRDefault="00E047B2">
            <w:pPr>
              <w:jc w:val="right"/>
              <w:textAlignment w:val="bottom"/>
            </w:pPr>
            <w:r>
              <w:rPr>
                <w:rFonts w:ascii="Arial" w:eastAsia="宋体" w:hAnsi="Arial" w:cs="Arial"/>
                <w:color w:val="000000"/>
                <w:sz w:val="17"/>
                <w:szCs w:val="17"/>
              </w:rPr>
              <w:t>135 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8FC"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FD" w14:textId="77777777" w:rsidR="008E7A10" w:rsidRDefault="00E047B2">
            <w:pPr>
              <w:jc w:val="right"/>
              <w:textAlignment w:val="bottom"/>
            </w:pPr>
            <w:r>
              <w:rPr>
                <w:rFonts w:ascii="Arial" w:eastAsia="宋体" w:hAnsi="Arial" w:cs="Arial"/>
                <w:color w:val="000000"/>
                <w:sz w:val="17"/>
                <w:szCs w:val="17"/>
              </w:rPr>
              <w:t>27 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8F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8FF"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00" w14:textId="77777777" w:rsidR="008E7A10" w:rsidRDefault="008E7A10">
            <w:pPr>
              <w:jc w:val="right"/>
              <w:rPr>
                <w:rFonts w:ascii="宋体"/>
              </w:rPr>
            </w:pPr>
          </w:p>
        </w:tc>
      </w:tr>
      <w:tr w:rsidR="008E7A10" w14:paraId="746F191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902" w14:textId="77777777" w:rsidR="008E7A10" w:rsidRDefault="00E047B2">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90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904" w14:textId="77777777" w:rsidR="008E7A10" w:rsidRDefault="00E047B2">
            <w:pPr>
              <w:jc w:val="right"/>
              <w:textAlignment w:val="bottom"/>
            </w:pPr>
            <w:r>
              <w:rPr>
                <w:rFonts w:ascii="Arial" w:eastAsia="宋体" w:hAnsi="Arial" w:cs="Arial"/>
                <w:b/>
                <w:bCs/>
                <w:color w:val="000000"/>
                <w:sz w:val="17"/>
                <w:szCs w:val="17"/>
              </w:rPr>
              <w:t>1,456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905"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90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907" w14:textId="77777777" w:rsidR="008E7A10" w:rsidRDefault="00E047B2">
            <w:pPr>
              <w:jc w:val="right"/>
              <w:textAlignment w:val="bottom"/>
            </w:pPr>
            <w:r>
              <w:rPr>
                <w:rFonts w:ascii="Arial" w:eastAsia="宋体" w:hAnsi="Arial" w:cs="Arial"/>
                <w:b/>
                <w:bCs/>
                <w:color w:val="000000"/>
                <w:sz w:val="17"/>
                <w:szCs w:val="17"/>
              </w:rPr>
              <w:t>1,249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908"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909" w14:textId="77777777" w:rsidR="008E7A10" w:rsidRDefault="00E047B2">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90A"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90B"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90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90D" w14:textId="77777777" w:rsidR="008E7A10" w:rsidRDefault="00E047B2">
            <w:pPr>
              <w:jc w:val="right"/>
              <w:textAlignment w:val="bottom"/>
            </w:pPr>
            <w:r>
              <w:rPr>
                <w:rFonts w:ascii="Arial" w:eastAsia="宋体" w:hAnsi="Arial" w:cs="Arial"/>
                <w:b/>
                <w:bCs/>
                <w:color w:val="000000"/>
                <w:sz w:val="17"/>
                <w:szCs w:val="17"/>
              </w:rPr>
              <w:t>3,171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90E"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90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910" w14:textId="77777777" w:rsidR="008E7A10" w:rsidRDefault="00E047B2">
            <w:pPr>
              <w:jc w:val="right"/>
              <w:textAlignment w:val="bottom"/>
            </w:pPr>
            <w:r>
              <w:rPr>
                <w:rFonts w:ascii="Arial" w:eastAsia="宋体" w:hAnsi="Arial" w:cs="Arial"/>
                <w:b/>
                <w:bCs/>
                <w:color w:val="000000"/>
                <w:sz w:val="17"/>
                <w:szCs w:val="17"/>
              </w:rPr>
              <w:t>2,810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911"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912" w14:textId="77777777" w:rsidR="008E7A10" w:rsidRDefault="00E047B2">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913" w14:textId="77777777" w:rsidR="008E7A10" w:rsidRDefault="00E047B2">
            <w:pPr>
              <w:jc w:val="right"/>
              <w:textAlignment w:val="bottom"/>
            </w:pPr>
            <w:r>
              <w:rPr>
                <w:rFonts w:ascii="Arial" w:eastAsia="宋体" w:hAnsi="Arial" w:cs="Arial"/>
                <w:b/>
                <w:bCs/>
                <w:color w:val="000000"/>
                <w:sz w:val="17"/>
                <w:szCs w:val="17"/>
              </w:rPr>
              <w:t>%</w:t>
            </w:r>
          </w:p>
        </w:tc>
      </w:tr>
    </w:tbl>
    <w:p w14:paraId="746F1915" w14:textId="77777777" w:rsidR="008E7A10" w:rsidRDefault="00E047B2">
      <w:pPr>
        <w:spacing w:before="60" w:after="60"/>
        <w:ind w:hanging="360"/>
      </w:pPr>
      <w:r>
        <w:rPr>
          <w:rFonts w:ascii="Arial" w:eastAsia="宋体" w:hAnsi="Arial" w:cs="Arial"/>
          <w:i/>
          <w:iCs/>
          <w:color w:val="000000"/>
          <w:sz w:val="14"/>
          <w:szCs w:val="14"/>
        </w:rPr>
        <w:t>(1)    Total NIKE Brand EBIT and Total NIKE, Inc. EBIT represent non-GAAP financial measures. See "Use of</w:t>
      </w:r>
      <w:r>
        <w:rPr>
          <w:rFonts w:ascii="Arial" w:eastAsia="宋体" w:hAnsi="Arial" w:cs="Arial"/>
          <w:i/>
          <w:iCs/>
          <w:color w:val="000000"/>
          <w:sz w:val="14"/>
          <w:szCs w:val="14"/>
        </w:rPr>
        <w:t xml:space="preserve"> Non-GAAP Financial Measures" for further information.</w:t>
      </w:r>
    </w:p>
    <w:p w14:paraId="746F1916" w14:textId="77777777" w:rsidR="008E7A10" w:rsidRDefault="00E047B2">
      <w:pPr>
        <w:spacing w:before="240" w:after="120"/>
      </w:pPr>
      <w:r>
        <w:rPr>
          <w:rFonts w:ascii="sans-serif" w:eastAsia="sans-serif" w:hAnsi="sans-serif" w:cs="sans-serif"/>
          <w:b/>
          <w:bCs/>
          <w:color w:val="000000"/>
          <w:sz w:val="28"/>
          <w:szCs w:val="28"/>
        </w:rPr>
        <w:t>NORTH AMERICA</w:t>
      </w:r>
    </w:p>
    <w:tbl>
      <w:tblPr>
        <w:tblW w:w="5000" w:type="pct"/>
        <w:tblCellMar>
          <w:top w:w="15" w:type="dxa"/>
          <w:left w:w="15" w:type="dxa"/>
          <w:bottom w:w="15" w:type="dxa"/>
          <w:right w:w="15" w:type="dxa"/>
        </w:tblCellMar>
        <w:tblLook w:val="04A0" w:firstRow="1" w:lastRow="0" w:firstColumn="1" w:lastColumn="0" w:noHBand="0" w:noVBand="1"/>
      </w:tblPr>
      <w:tblGrid>
        <w:gridCol w:w="43"/>
        <w:gridCol w:w="1983"/>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tblGrid>
      <w:tr w:rsidR="008E7A10" w14:paraId="746F1935" w14:textId="77777777">
        <w:tc>
          <w:tcPr>
            <w:tcW w:w="50" w:type="pct"/>
            <w:shd w:val="clear" w:color="auto" w:fill="auto"/>
          </w:tcPr>
          <w:p w14:paraId="746F1917" w14:textId="77777777" w:rsidR="008E7A10" w:rsidRDefault="008E7A10">
            <w:pPr>
              <w:rPr>
                <w:rFonts w:ascii="宋体"/>
              </w:rPr>
            </w:pPr>
          </w:p>
        </w:tc>
        <w:tc>
          <w:tcPr>
            <w:tcW w:w="1387" w:type="pct"/>
            <w:shd w:val="clear" w:color="auto" w:fill="auto"/>
          </w:tcPr>
          <w:p w14:paraId="746F1918" w14:textId="77777777" w:rsidR="008E7A10" w:rsidRDefault="008E7A10">
            <w:pPr>
              <w:rPr>
                <w:rFonts w:ascii="宋体"/>
              </w:rPr>
            </w:pPr>
          </w:p>
        </w:tc>
        <w:tc>
          <w:tcPr>
            <w:tcW w:w="5" w:type="pct"/>
            <w:shd w:val="clear" w:color="auto" w:fill="auto"/>
          </w:tcPr>
          <w:p w14:paraId="746F1919" w14:textId="77777777" w:rsidR="008E7A10" w:rsidRDefault="008E7A10">
            <w:pPr>
              <w:rPr>
                <w:rFonts w:ascii="宋体"/>
              </w:rPr>
            </w:pPr>
          </w:p>
        </w:tc>
        <w:tc>
          <w:tcPr>
            <w:tcW w:w="50" w:type="pct"/>
            <w:shd w:val="clear" w:color="auto" w:fill="auto"/>
          </w:tcPr>
          <w:p w14:paraId="746F191A" w14:textId="77777777" w:rsidR="008E7A10" w:rsidRDefault="008E7A10">
            <w:pPr>
              <w:rPr>
                <w:rFonts w:ascii="宋体"/>
              </w:rPr>
            </w:pPr>
          </w:p>
        </w:tc>
        <w:tc>
          <w:tcPr>
            <w:tcW w:w="384" w:type="pct"/>
            <w:shd w:val="clear" w:color="auto" w:fill="auto"/>
          </w:tcPr>
          <w:p w14:paraId="746F191B" w14:textId="77777777" w:rsidR="008E7A10" w:rsidRDefault="008E7A10">
            <w:pPr>
              <w:rPr>
                <w:rFonts w:ascii="宋体"/>
              </w:rPr>
            </w:pPr>
          </w:p>
        </w:tc>
        <w:tc>
          <w:tcPr>
            <w:tcW w:w="5" w:type="pct"/>
            <w:shd w:val="clear" w:color="auto" w:fill="auto"/>
          </w:tcPr>
          <w:p w14:paraId="746F191C" w14:textId="77777777" w:rsidR="008E7A10" w:rsidRDefault="008E7A10">
            <w:pPr>
              <w:rPr>
                <w:rFonts w:ascii="宋体"/>
              </w:rPr>
            </w:pPr>
          </w:p>
        </w:tc>
        <w:tc>
          <w:tcPr>
            <w:tcW w:w="50" w:type="pct"/>
            <w:shd w:val="clear" w:color="auto" w:fill="auto"/>
          </w:tcPr>
          <w:p w14:paraId="746F191D" w14:textId="77777777" w:rsidR="008E7A10" w:rsidRDefault="008E7A10">
            <w:pPr>
              <w:rPr>
                <w:rFonts w:ascii="宋体"/>
              </w:rPr>
            </w:pPr>
          </w:p>
        </w:tc>
        <w:tc>
          <w:tcPr>
            <w:tcW w:w="384" w:type="pct"/>
            <w:shd w:val="clear" w:color="auto" w:fill="auto"/>
          </w:tcPr>
          <w:p w14:paraId="746F191E" w14:textId="77777777" w:rsidR="008E7A10" w:rsidRDefault="008E7A10">
            <w:pPr>
              <w:rPr>
                <w:rFonts w:ascii="宋体"/>
              </w:rPr>
            </w:pPr>
          </w:p>
        </w:tc>
        <w:tc>
          <w:tcPr>
            <w:tcW w:w="5" w:type="pct"/>
            <w:shd w:val="clear" w:color="auto" w:fill="auto"/>
          </w:tcPr>
          <w:p w14:paraId="746F191F" w14:textId="77777777" w:rsidR="008E7A10" w:rsidRDefault="008E7A10">
            <w:pPr>
              <w:rPr>
                <w:rFonts w:ascii="宋体"/>
              </w:rPr>
            </w:pPr>
          </w:p>
        </w:tc>
        <w:tc>
          <w:tcPr>
            <w:tcW w:w="50" w:type="pct"/>
            <w:shd w:val="clear" w:color="auto" w:fill="auto"/>
          </w:tcPr>
          <w:p w14:paraId="746F1920" w14:textId="77777777" w:rsidR="008E7A10" w:rsidRDefault="008E7A10">
            <w:pPr>
              <w:rPr>
                <w:rFonts w:ascii="宋体"/>
              </w:rPr>
            </w:pPr>
          </w:p>
        </w:tc>
        <w:tc>
          <w:tcPr>
            <w:tcW w:w="384" w:type="pct"/>
            <w:shd w:val="clear" w:color="auto" w:fill="auto"/>
          </w:tcPr>
          <w:p w14:paraId="746F1921" w14:textId="77777777" w:rsidR="008E7A10" w:rsidRDefault="008E7A10">
            <w:pPr>
              <w:rPr>
                <w:rFonts w:ascii="宋体"/>
              </w:rPr>
            </w:pPr>
          </w:p>
        </w:tc>
        <w:tc>
          <w:tcPr>
            <w:tcW w:w="5" w:type="pct"/>
            <w:shd w:val="clear" w:color="auto" w:fill="auto"/>
          </w:tcPr>
          <w:p w14:paraId="746F1922" w14:textId="77777777" w:rsidR="008E7A10" w:rsidRDefault="008E7A10">
            <w:pPr>
              <w:rPr>
                <w:rFonts w:ascii="宋体"/>
              </w:rPr>
            </w:pPr>
          </w:p>
        </w:tc>
        <w:tc>
          <w:tcPr>
            <w:tcW w:w="50" w:type="pct"/>
            <w:shd w:val="clear" w:color="auto" w:fill="auto"/>
          </w:tcPr>
          <w:p w14:paraId="746F1923" w14:textId="77777777" w:rsidR="008E7A10" w:rsidRDefault="008E7A10">
            <w:pPr>
              <w:rPr>
                <w:rFonts w:ascii="宋体"/>
              </w:rPr>
            </w:pPr>
          </w:p>
        </w:tc>
        <w:tc>
          <w:tcPr>
            <w:tcW w:w="384" w:type="pct"/>
            <w:shd w:val="clear" w:color="auto" w:fill="auto"/>
          </w:tcPr>
          <w:p w14:paraId="746F1924" w14:textId="77777777" w:rsidR="008E7A10" w:rsidRDefault="008E7A10">
            <w:pPr>
              <w:rPr>
                <w:rFonts w:ascii="宋体"/>
              </w:rPr>
            </w:pPr>
          </w:p>
        </w:tc>
        <w:tc>
          <w:tcPr>
            <w:tcW w:w="5" w:type="pct"/>
            <w:shd w:val="clear" w:color="auto" w:fill="auto"/>
          </w:tcPr>
          <w:p w14:paraId="746F1925" w14:textId="77777777" w:rsidR="008E7A10" w:rsidRDefault="008E7A10">
            <w:pPr>
              <w:rPr>
                <w:rFonts w:ascii="宋体"/>
              </w:rPr>
            </w:pPr>
          </w:p>
        </w:tc>
        <w:tc>
          <w:tcPr>
            <w:tcW w:w="5" w:type="pct"/>
            <w:shd w:val="clear" w:color="auto" w:fill="auto"/>
          </w:tcPr>
          <w:p w14:paraId="746F1926" w14:textId="77777777" w:rsidR="008E7A10" w:rsidRDefault="008E7A10">
            <w:pPr>
              <w:rPr>
                <w:rFonts w:ascii="宋体"/>
              </w:rPr>
            </w:pPr>
          </w:p>
        </w:tc>
        <w:tc>
          <w:tcPr>
            <w:tcW w:w="28" w:type="pct"/>
            <w:shd w:val="clear" w:color="auto" w:fill="auto"/>
          </w:tcPr>
          <w:p w14:paraId="746F1927" w14:textId="77777777" w:rsidR="008E7A10" w:rsidRDefault="008E7A10">
            <w:pPr>
              <w:rPr>
                <w:rFonts w:ascii="宋体"/>
              </w:rPr>
            </w:pPr>
          </w:p>
        </w:tc>
        <w:tc>
          <w:tcPr>
            <w:tcW w:w="5" w:type="pct"/>
            <w:shd w:val="clear" w:color="auto" w:fill="auto"/>
          </w:tcPr>
          <w:p w14:paraId="746F1928" w14:textId="77777777" w:rsidR="008E7A10" w:rsidRDefault="008E7A10">
            <w:pPr>
              <w:rPr>
                <w:rFonts w:ascii="宋体"/>
              </w:rPr>
            </w:pPr>
          </w:p>
        </w:tc>
        <w:tc>
          <w:tcPr>
            <w:tcW w:w="50" w:type="pct"/>
            <w:shd w:val="clear" w:color="auto" w:fill="auto"/>
          </w:tcPr>
          <w:p w14:paraId="746F1929" w14:textId="77777777" w:rsidR="008E7A10" w:rsidRDefault="008E7A10">
            <w:pPr>
              <w:rPr>
                <w:rFonts w:ascii="宋体"/>
              </w:rPr>
            </w:pPr>
          </w:p>
        </w:tc>
        <w:tc>
          <w:tcPr>
            <w:tcW w:w="384" w:type="pct"/>
            <w:shd w:val="clear" w:color="auto" w:fill="auto"/>
          </w:tcPr>
          <w:p w14:paraId="746F192A" w14:textId="77777777" w:rsidR="008E7A10" w:rsidRDefault="008E7A10">
            <w:pPr>
              <w:rPr>
                <w:rFonts w:ascii="宋体"/>
              </w:rPr>
            </w:pPr>
          </w:p>
        </w:tc>
        <w:tc>
          <w:tcPr>
            <w:tcW w:w="5" w:type="pct"/>
            <w:shd w:val="clear" w:color="auto" w:fill="auto"/>
          </w:tcPr>
          <w:p w14:paraId="746F192B" w14:textId="77777777" w:rsidR="008E7A10" w:rsidRDefault="008E7A10">
            <w:pPr>
              <w:rPr>
                <w:rFonts w:ascii="宋体"/>
              </w:rPr>
            </w:pPr>
          </w:p>
        </w:tc>
        <w:tc>
          <w:tcPr>
            <w:tcW w:w="50" w:type="pct"/>
            <w:shd w:val="clear" w:color="auto" w:fill="auto"/>
          </w:tcPr>
          <w:p w14:paraId="746F192C" w14:textId="77777777" w:rsidR="008E7A10" w:rsidRDefault="008E7A10">
            <w:pPr>
              <w:rPr>
                <w:rFonts w:ascii="宋体"/>
              </w:rPr>
            </w:pPr>
          </w:p>
        </w:tc>
        <w:tc>
          <w:tcPr>
            <w:tcW w:w="384" w:type="pct"/>
            <w:shd w:val="clear" w:color="auto" w:fill="auto"/>
          </w:tcPr>
          <w:p w14:paraId="746F192D" w14:textId="77777777" w:rsidR="008E7A10" w:rsidRDefault="008E7A10">
            <w:pPr>
              <w:rPr>
                <w:rFonts w:ascii="宋体"/>
              </w:rPr>
            </w:pPr>
          </w:p>
        </w:tc>
        <w:tc>
          <w:tcPr>
            <w:tcW w:w="5" w:type="pct"/>
            <w:shd w:val="clear" w:color="auto" w:fill="auto"/>
          </w:tcPr>
          <w:p w14:paraId="746F192E" w14:textId="77777777" w:rsidR="008E7A10" w:rsidRDefault="008E7A10">
            <w:pPr>
              <w:rPr>
                <w:rFonts w:ascii="宋体"/>
              </w:rPr>
            </w:pPr>
          </w:p>
        </w:tc>
        <w:tc>
          <w:tcPr>
            <w:tcW w:w="50" w:type="pct"/>
            <w:shd w:val="clear" w:color="auto" w:fill="auto"/>
          </w:tcPr>
          <w:p w14:paraId="746F192F" w14:textId="77777777" w:rsidR="008E7A10" w:rsidRDefault="008E7A10">
            <w:pPr>
              <w:rPr>
                <w:rFonts w:ascii="宋体"/>
              </w:rPr>
            </w:pPr>
          </w:p>
        </w:tc>
        <w:tc>
          <w:tcPr>
            <w:tcW w:w="384" w:type="pct"/>
            <w:shd w:val="clear" w:color="auto" w:fill="auto"/>
          </w:tcPr>
          <w:p w14:paraId="746F1930" w14:textId="77777777" w:rsidR="008E7A10" w:rsidRDefault="008E7A10">
            <w:pPr>
              <w:rPr>
                <w:rFonts w:ascii="宋体"/>
              </w:rPr>
            </w:pPr>
          </w:p>
        </w:tc>
        <w:tc>
          <w:tcPr>
            <w:tcW w:w="5" w:type="pct"/>
            <w:shd w:val="clear" w:color="auto" w:fill="auto"/>
          </w:tcPr>
          <w:p w14:paraId="746F1931" w14:textId="77777777" w:rsidR="008E7A10" w:rsidRDefault="008E7A10">
            <w:pPr>
              <w:rPr>
                <w:rFonts w:ascii="宋体"/>
              </w:rPr>
            </w:pPr>
          </w:p>
        </w:tc>
        <w:tc>
          <w:tcPr>
            <w:tcW w:w="50" w:type="pct"/>
            <w:shd w:val="clear" w:color="auto" w:fill="auto"/>
          </w:tcPr>
          <w:p w14:paraId="746F1932" w14:textId="77777777" w:rsidR="008E7A10" w:rsidRDefault="008E7A10">
            <w:pPr>
              <w:rPr>
                <w:rFonts w:ascii="宋体"/>
              </w:rPr>
            </w:pPr>
          </w:p>
        </w:tc>
        <w:tc>
          <w:tcPr>
            <w:tcW w:w="384" w:type="pct"/>
            <w:shd w:val="clear" w:color="auto" w:fill="auto"/>
          </w:tcPr>
          <w:p w14:paraId="746F1933" w14:textId="77777777" w:rsidR="008E7A10" w:rsidRDefault="008E7A10">
            <w:pPr>
              <w:rPr>
                <w:rFonts w:ascii="宋体"/>
              </w:rPr>
            </w:pPr>
          </w:p>
        </w:tc>
        <w:tc>
          <w:tcPr>
            <w:tcW w:w="5" w:type="pct"/>
            <w:shd w:val="clear" w:color="auto" w:fill="auto"/>
          </w:tcPr>
          <w:p w14:paraId="746F1934" w14:textId="77777777" w:rsidR="008E7A10" w:rsidRDefault="008E7A10">
            <w:pPr>
              <w:rPr>
                <w:rFonts w:ascii="宋体"/>
              </w:rPr>
            </w:pPr>
          </w:p>
        </w:tc>
      </w:tr>
      <w:tr w:rsidR="008E7A10" w14:paraId="746F193A" w14:textId="77777777">
        <w:tc>
          <w:tcPr>
            <w:tcW w:w="0" w:type="auto"/>
            <w:gridSpan w:val="3"/>
            <w:shd w:val="clear" w:color="auto" w:fill="auto"/>
            <w:tcMar>
              <w:top w:w="0" w:type="dxa"/>
              <w:left w:w="20" w:type="dxa"/>
              <w:bottom w:w="0" w:type="dxa"/>
              <w:right w:w="20" w:type="dxa"/>
            </w:tcMar>
          </w:tcPr>
          <w:p w14:paraId="746F1936"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937"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938"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939"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945" w14:textId="77777777">
        <w:tc>
          <w:tcPr>
            <w:tcW w:w="0" w:type="auto"/>
            <w:gridSpan w:val="3"/>
            <w:shd w:val="clear" w:color="auto" w:fill="auto"/>
            <w:tcMar>
              <w:top w:w="40" w:type="dxa"/>
              <w:left w:w="20" w:type="dxa"/>
              <w:bottom w:w="40" w:type="dxa"/>
              <w:right w:w="20" w:type="dxa"/>
            </w:tcMar>
            <w:vAlign w:val="bottom"/>
          </w:tcPr>
          <w:p w14:paraId="746F193B"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3C"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3D"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3E"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3F" w14:textId="77777777" w:rsidR="008E7A10" w:rsidRDefault="00E047B2">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tcPr>
          <w:p w14:paraId="746F1940"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41"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42"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43"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44" w14:textId="77777777" w:rsidR="008E7A10" w:rsidRDefault="00E047B2">
            <w:pPr>
              <w:jc w:val="right"/>
              <w:textAlignment w:val="bottom"/>
            </w:pPr>
            <w:r>
              <w:rPr>
                <w:rFonts w:ascii="sans-serif" w:eastAsia="sans-serif" w:hAnsi="sans-serif" w:cs="sans-serif"/>
                <w:b/>
                <w:bCs/>
                <w:color w:val="000000"/>
                <w:sz w:val="17"/>
                <w:szCs w:val="17"/>
              </w:rPr>
              <w:t>% CHANGE EXCLUDING CURRENCY CHANGES</w:t>
            </w:r>
          </w:p>
        </w:tc>
      </w:tr>
      <w:tr w:rsidR="008E7A10" w14:paraId="746F195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46"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746F1947"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4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49"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4A"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4B"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94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4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4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4F" w14:textId="77777777" w:rsidR="008E7A10" w:rsidRDefault="008E7A10">
            <w:pPr>
              <w:rPr>
                <w:rFonts w:ascii="宋体"/>
              </w:rPr>
            </w:pPr>
          </w:p>
        </w:tc>
      </w:tr>
      <w:tr w:rsidR="008E7A10" w14:paraId="746F196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951" w14:textId="77777777" w:rsidR="008E7A10" w:rsidRDefault="00E047B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95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953" w14:textId="77777777" w:rsidR="008E7A10" w:rsidRDefault="00E047B2">
            <w:pPr>
              <w:jc w:val="right"/>
              <w:textAlignment w:val="bottom"/>
            </w:pPr>
            <w:r>
              <w:rPr>
                <w:rFonts w:ascii="Arial" w:eastAsia="宋体" w:hAnsi="Arial" w:cs="Arial"/>
                <w:color w:val="000000"/>
                <w:sz w:val="17"/>
                <w:szCs w:val="17"/>
              </w:rPr>
              <w:t>2,512 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954"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95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956" w14:textId="77777777" w:rsidR="008E7A10" w:rsidRDefault="00E047B2">
            <w:pPr>
              <w:jc w:val="right"/>
              <w:textAlignment w:val="bottom"/>
            </w:pPr>
            <w:r>
              <w:rPr>
                <w:rFonts w:ascii="Arial" w:eastAsia="宋体" w:hAnsi="Arial" w:cs="Arial"/>
                <w:color w:val="000000"/>
                <w:sz w:val="17"/>
                <w:szCs w:val="17"/>
              </w:rPr>
              <w:t>2,426 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5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58"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59"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5A"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5B"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95C"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95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95E" w14:textId="77777777" w:rsidR="008E7A10" w:rsidRDefault="00E047B2">
            <w:pPr>
              <w:jc w:val="right"/>
              <w:textAlignment w:val="bottom"/>
            </w:pPr>
            <w:r>
              <w:rPr>
                <w:rFonts w:ascii="Arial" w:eastAsia="宋体" w:hAnsi="Arial" w:cs="Arial"/>
                <w:color w:val="000000"/>
                <w:sz w:val="17"/>
                <w:szCs w:val="17"/>
              </w:rPr>
              <w:t>5,469 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95F"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96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961" w14:textId="77777777" w:rsidR="008E7A10" w:rsidRDefault="00E047B2">
            <w:pPr>
              <w:jc w:val="right"/>
              <w:textAlignment w:val="bottom"/>
            </w:pPr>
            <w:r>
              <w:rPr>
                <w:rFonts w:ascii="Arial" w:eastAsia="宋体" w:hAnsi="Arial" w:cs="Arial"/>
                <w:color w:val="000000"/>
                <w:sz w:val="17"/>
                <w:szCs w:val="17"/>
              </w:rPr>
              <w:t>5,095 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6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63"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64"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65"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66" w14:textId="77777777" w:rsidR="008E7A10" w:rsidRDefault="00E047B2">
            <w:pPr>
              <w:jc w:val="right"/>
              <w:textAlignment w:val="bottom"/>
            </w:pPr>
            <w:r>
              <w:rPr>
                <w:rFonts w:ascii="Arial" w:eastAsia="宋体" w:hAnsi="Arial" w:cs="Arial"/>
                <w:color w:val="000000"/>
                <w:sz w:val="17"/>
                <w:szCs w:val="17"/>
              </w:rPr>
              <w:t>%</w:t>
            </w:r>
          </w:p>
        </w:tc>
      </w:tr>
      <w:tr w:rsidR="008E7A10" w14:paraId="746F197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968" w14:textId="77777777" w:rsidR="008E7A10" w:rsidRDefault="00E047B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969" w14:textId="77777777" w:rsidR="008E7A10" w:rsidRDefault="00E047B2">
            <w:pPr>
              <w:jc w:val="right"/>
              <w:textAlignment w:val="bottom"/>
            </w:pPr>
            <w:r>
              <w:rPr>
                <w:rFonts w:ascii="Arial" w:eastAsia="宋体" w:hAnsi="Arial" w:cs="Arial"/>
                <w:color w:val="000000"/>
                <w:sz w:val="17"/>
                <w:szCs w:val="17"/>
              </w:rPr>
              <w:t>1,368 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96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6B" w14:textId="77777777" w:rsidR="008E7A10" w:rsidRDefault="00E047B2">
            <w:pPr>
              <w:jc w:val="right"/>
              <w:textAlignment w:val="bottom"/>
            </w:pPr>
            <w:r>
              <w:rPr>
                <w:rFonts w:ascii="Arial" w:eastAsia="宋体" w:hAnsi="Arial" w:cs="Arial"/>
                <w:color w:val="000000"/>
                <w:sz w:val="17"/>
                <w:szCs w:val="17"/>
              </w:rPr>
              <w:t>1,417 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6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6D"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6E"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6F"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70"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971"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972" w14:textId="77777777" w:rsidR="008E7A10" w:rsidRDefault="00E047B2">
            <w:pPr>
              <w:jc w:val="right"/>
              <w:textAlignment w:val="bottom"/>
            </w:pPr>
            <w:r>
              <w:rPr>
                <w:rFonts w:ascii="Arial" w:eastAsia="宋体" w:hAnsi="Arial" w:cs="Arial"/>
                <w:color w:val="000000"/>
                <w:sz w:val="17"/>
                <w:szCs w:val="17"/>
              </w:rPr>
              <w:t>2,493 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97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74" w14:textId="77777777" w:rsidR="008E7A10" w:rsidRDefault="00E047B2">
            <w:pPr>
              <w:jc w:val="right"/>
              <w:textAlignment w:val="bottom"/>
            </w:pPr>
            <w:r>
              <w:rPr>
                <w:rFonts w:ascii="Arial" w:eastAsia="宋体" w:hAnsi="Arial" w:cs="Arial"/>
                <w:color w:val="000000"/>
                <w:sz w:val="17"/>
                <w:szCs w:val="17"/>
              </w:rPr>
              <w:t>2,848 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7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76"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77"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78"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79" w14:textId="77777777" w:rsidR="008E7A10" w:rsidRDefault="00E047B2">
            <w:pPr>
              <w:jc w:val="right"/>
              <w:textAlignment w:val="bottom"/>
            </w:pPr>
            <w:r>
              <w:rPr>
                <w:rFonts w:ascii="Arial" w:eastAsia="宋体" w:hAnsi="Arial" w:cs="Arial"/>
                <w:color w:val="000000"/>
                <w:sz w:val="17"/>
                <w:szCs w:val="17"/>
              </w:rPr>
              <w:t>%</w:t>
            </w:r>
          </w:p>
        </w:tc>
      </w:tr>
      <w:tr w:rsidR="008E7A10" w14:paraId="746F198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97B" w14:textId="77777777" w:rsidR="008E7A10" w:rsidRDefault="00E047B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97C" w14:textId="77777777" w:rsidR="008E7A10" w:rsidRDefault="00E047B2">
            <w:pPr>
              <w:jc w:val="right"/>
              <w:textAlignment w:val="bottom"/>
            </w:pPr>
            <w:r>
              <w:rPr>
                <w:rFonts w:ascii="Arial" w:eastAsia="宋体" w:hAnsi="Arial" w:cs="Arial"/>
                <w:color w:val="000000"/>
                <w:sz w:val="17"/>
                <w:szCs w:val="17"/>
              </w:rPr>
              <w:t>126 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97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7E" w14:textId="77777777" w:rsidR="008E7A10" w:rsidRDefault="00E047B2">
            <w:pPr>
              <w:jc w:val="right"/>
              <w:textAlignment w:val="bottom"/>
            </w:pPr>
            <w:r>
              <w:rPr>
                <w:rFonts w:ascii="Arial" w:eastAsia="宋体" w:hAnsi="Arial" w:cs="Arial"/>
                <w:color w:val="000000"/>
                <w:sz w:val="17"/>
                <w:szCs w:val="17"/>
              </w:rPr>
              <w:t>139 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7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80"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81"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82"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83"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984"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985" w14:textId="77777777" w:rsidR="008E7A10" w:rsidRDefault="00E047B2">
            <w:pPr>
              <w:jc w:val="right"/>
              <w:textAlignment w:val="bottom"/>
            </w:pPr>
            <w:r>
              <w:rPr>
                <w:rFonts w:ascii="Arial" w:eastAsia="宋体" w:hAnsi="Arial" w:cs="Arial"/>
                <w:color w:val="000000"/>
                <w:sz w:val="17"/>
                <w:szCs w:val="17"/>
              </w:rPr>
              <w:t>269 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98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87" w14:textId="77777777" w:rsidR="008E7A10" w:rsidRDefault="00E047B2">
            <w:pPr>
              <w:jc w:val="right"/>
              <w:textAlignment w:val="bottom"/>
            </w:pPr>
            <w:r>
              <w:rPr>
                <w:rFonts w:ascii="Arial" w:eastAsia="宋体" w:hAnsi="Arial" w:cs="Arial"/>
                <w:color w:val="000000"/>
                <w:sz w:val="17"/>
                <w:szCs w:val="17"/>
              </w:rPr>
              <w:t>332 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8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89" w14:textId="77777777" w:rsidR="008E7A10" w:rsidRDefault="00E047B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8A"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8B" w14:textId="77777777" w:rsidR="008E7A10" w:rsidRDefault="00E047B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8C" w14:textId="77777777" w:rsidR="008E7A10" w:rsidRDefault="00E047B2">
            <w:pPr>
              <w:jc w:val="right"/>
              <w:textAlignment w:val="bottom"/>
            </w:pPr>
            <w:r>
              <w:rPr>
                <w:rFonts w:ascii="Arial" w:eastAsia="宋体" w:hAnsi="Arial" w:cs="Arial"/>
                <w:color w:val="000000"/>
                <w:sz w:val="17"/>
                <w:szCs w:val="17"/>
              </w:rPr>
              <w:t>%</w:t>
            </w:r>
          </w:p>
        </w:tc>
      </w:tr>
      <w:tr w:rsidR="008E7A10" w14:paraId="746F19A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8E"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98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990" w14:textId="77777777" w:rsidR="008E7A10" w:rsidRDefault="00E047B2">
            <w:pPr>
              <w:jc w:val="right"/>
              <w:textAlignment w:val="bottom"/>
            </w:pPr>
            <w:r>
              <w:rPr>
                <w:rFonts w:ascii="Arial" w:eastAsia="宋体" w:hAnsi="Arial" w:cs="Arial"/>
                <w:b/>
                <w:bCs/>
                <w:color w:val="000000"/>
                <w:sz w:val="17"/>
                <w:szCs w:val="17"/>
              </w:rPr>
              <w:t>4,006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991"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99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993" w14:textId="77777777" w:rsidR="008E7A10" w:rsidRDefault="00E047B2">
            <w:pPr>
              <w:jc w:val="right"/>
              <w:textAlignment w:val="bottom"/>
            </w:pPr>
            <w:r>
              <w:rPr>
                <w:rFonts w:ascii="Arial" w:eastAsia="宋体" w:hAnsi="Arial" w:cs="Arial"/>
                <w:b/>
                <w:bCs/>
                <w:color w:val="000000"/>
                <w:sz w:val="17"/>
                <w:szCs w:val="17"/>
              </w:rPr>
              <w:t>3,982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94"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995"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96"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997"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98"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999"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99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99B" w14:textId="77777777" w:rsidR="008E7A10" w:rsidRDefault="00E047B2">
            <w:pPr>
              <w:jc w:val="right"/>
              <w:textAlignment w:val="bottom"/>
            </w:pPr>
            <w:r>
              <w:rPr>
                <w:rFonts w:ascii="Arial" w:eastAsia="宋体" w:hAnsi="Arial" w:cs="Arial"/>
                <w:b/>
                <w:bCs/>
                <w:color w:val="000000"/>
                <w:sz w:val="17"/>
                <w:szCs w:val="17"/>
              </w:rPr>
              <w:t>8,231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99C"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99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99E" w14:textId="77777777" w:rsidR="008E7A10" w:rsidRDefault="00E047B2">
            <w:pPr>
              <w:jc w:val="right"/>
              <w:textAlignment w:val="bottom"/>
            </w:pPr>
            <w:r>
              <w:rPr>
                <w:rFonts w:ascii="Arial" w:eastAsia="宋体" w:hAnsi="Arial" w:cs="Arial"/>
                <w:b/>
                <w:bCs/>
                <w:color w:val="000000"/>
                <w:sz w:val="17"/>
                <w:szCs w:val="17"/>
              </w:rPr>
              <w:t>8,275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9F"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9A0"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A1"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9A2" w14:textId="77777777" w:rsidR="008E7A10" w:rsidRDefault="00E047B2">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A3" w14:textId="77777777" w:rsidR="008E7A10" w:rsidRDefault="00E047B2">
            <w:pPr>
              <w:jc w:val="right"/>
              <w:textAlignment w:val="bottom"/>
            </w:pPr>
            <w:r>
              <w:rPr>
                <w:rFonts w:ascii="Arial" w:eastAsia="宋体" w:hAnsi="Arial" w:cs="Arial"/>
                <w:b/>
                <w:bCs/>
                <w:color w:val="000000"/>
                <w:sz w:val="17"/>
                <w:szCs w:val="17"/>
              </w:rPr>
              <w:t>%</w:t>
            </w:r>
          </w:p>
        </w:tc>
      </w:tr>
      <w:tr w:rsidR="008E7A10" w14:paraId="746F19A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A5"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746F19A6" w14:textId="77777777" w:rsidR="008E7A10" w:rsidRDefault="00E047B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A7" w14:textId="77777777" w:rsidR="008E7A10" w:rsidRDefault="00E047B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tcPr>
          <w:p w14:paraId="746F19A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A9"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AA"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9A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A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A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9AE" w14:textId="77777777" w:rsidR="008E7A10" w:rsidRDefault="008E7A10">
            <w:pPr>
              <w:rPr>
                <w:rFonts w:ascii="宋体"/>
              </w:rPr>
            </w:pPr>
          </w:p>
        </w:tc>
      </w:tr>
      <w:tr w:rsidR="008E7A10" w14:paraId="746F19C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9B0" w14:textId="77777777" w:rsidR="008E7A10" w:rsidRDefault="00E047B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9B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9B2" w14:textId="77777777" w:rsidR="008E7A10" w:rsidRDefault="00E047B2">
            <w:pPr>
              <w:jc w:val="right"/>
              <w:textAlignment w:val="bottom"/>
            </w:pPr>
            <w:r>
              <w:rPr>
                <w:rFonts w:ascii="Arial" w:eastAsia="宋体" w:hAnsi="Arial" w:cs="Arial"/>
                <w:color w:val="000000"/>
                <w:sz w:val="17"/>
                <w:szCs w:val="17"/>
              </w:rPr>
              <w:t>2,354 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9B3"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9B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9B5" w14:textId="77777777" w:rsidR="008E7A10" w:rsidRDefault="00E047B2">
            <w:pPr>
              <w:jc w:val="right"/>
              <w:textAlignment w:val="bottom"/>
            </w:pPr>
            <w:r>
              <w:rPr>
                <w:rFonts w:ascii="Arial" w:eastAsia="宋体" w:hAnsi="Arial" w:cs="Arial"/>
                <w:color w:val="000000"/>
                <w:sz w:val="17"/>
                <w:szCs w:val="17"/>
              </w:rPr>
              <w:t>2,734 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B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B7" w14:textId="77777777" w:rsidR="008E7A10" w:rsidRDefault="00E047B2">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B8"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B9" w14:textId="77777777" w:rsidR="008E7A10" w:rsidRDefault="00E047B2">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BA"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9BB"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9B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9BD" w14:textId="77777777" w:rsidR="008E7A10" w:rsidRDefault="00E047B2">
            <w:pPr>
              <w:jc w:val="right"/>
              <w:textAlignment w:val="bottom"/>
            </w:pPr>
            <w:r>
              <w:rPr>
                <w:rFonts w:ascii="Arial" w:eastAsia="宋体" w:hAnsi="Arial" w:cs="Arial"/>
                <w:color w:val="000000"/>
                <w:sz w:val="17"/>
                <w:szCs w:val="17"/>
              </w:rPr>
              <w:t>5,073 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9BE"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9B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9C0" w14:textId="77777777" w:rsidR="008E7A10" w:rsidRDefault="00E047B2">
            <w:pPr>
              <w:jc w:val="right"/>
              <w:textAlignment w:val="bottom"/>
            </w:pPr>
            <w:r>
              <w:rPr>
                <w:rFonts w:ascii="Arial" w:eastAsia="宋体" w:hAnsi="Arial" w:cs="Arial"/>
                <w:color w:val="000000"/>
                <w:sz w:val="17"/>
                <w:szCs w:val="17"/>
              </w:rPr>
              <w:t>5,598 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C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C2"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C3"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C4"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C5" w14:textId="77777777" w:rsidR="008E7A10" w:rsidRDefault="00E047B2">
            <w:pPr>
              <w:jc w:val="right"/>
              <w:textAlignment w:val="bottom"/>
            </w:pPr>
            <w:r>
              <w:rPr>
                <w:rFonts w:ascii="Arial" w:eastAsia="宋体" w:hAnsi="Arial" w:cs="Arial"/>
                <w:color w:val="000000"/>
                <w:sz w:val="17"/>
                <w:szCs w:val="17"/>
              </w:rPr>
              <w:t>%</w:t>
            </w:r>
          </w:p>
        </w:tc>
      </w:tr>
      <w:tr w:rsidR="008E7A10" w14:paraId="746F19D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9C7" w14:textId="77777777" w:rsidR="008E7A10" w:rsidRDefault="00E047B2">
            <w:pPr>
              <w:textAlignment w:val="bottom"/>
            </w:pPr>
            <w:r>
              <w:rPr>
                <w:rFonts w:ascii="Arial" w:eastAsia="宋体" w:hAnsi="Arial" w:cs="Arial"/>
                <w:color w:val="000000"/>
                <w:sz w:val="17"/>
                <w:szCs w:val="17"/>
              </w:rPr>
              <w:t xml:space="preserve">Sales through </w:t>
            </w:r>
            <w:r>
              <w:rPr>
                <w:rFonts w:ascii="Arial" w:eastAsia="宋体" w:hAnsi="Arial" w:cs="Arial"/>
                <w:color w:val="000000"/>
                <w:sz w:val="17"/>
                <w:szCs w:val="17"/>
              </w:rPr>
              <w:t>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9C8" w14:textId="77777777" w:rsidR="008E7A10" w:rsidRDefault="00E047B2">
            <w:pPr>
              <w:jc w:val="right"/>
              <w:textAlignment w:val="bottom"/>
            </w:pPr>
            <w:r>
              <w:rPr>
                <w:rFonts w:ascii="Arial" w:eastAsia="宋体" w:hAnsi="Arial" w:cs="Arial"/>
                <w:color w:val="000000"/>
                <w:sz w:val="17"/>
                <w:szCs w:val="17"/>
              </w:rPr>
              <w:t>1,652 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9C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CA" w14:textId="77777777" w:rsidR="008E7A10" w:rsidRDefault="00E047B2">
            <w:pPr>
              <w:jc w:val="right"/>
              <w:textAlignment w:val="bottom"/>
            </w:pPr>
            <w:r>
              <w:rPr>
                <w:rFonts w:ascii="Arial" w:eastAsia="宋体" w:hAnsi="Arial" w:cs="Arial"/>
                <w:color w:val="000000"/>
                <w:sz w:val="17"/>
                <w:szCs w:val="17"/>
              </w:rPr>
              <w:t>1,248 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C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CC" w14:textId="77777777" w:rsidR="008E7A10" w:rsidRDefault="00E047B2">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CD"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CE" w14:textId="77777777" w:rsidR="008E7A10" w:rsidRDefault="00E047B2">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CF"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9D0"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9D1" w14:textId="77777777" w:rsidR="008E7A10" w:rsidRDefault="00E047B2">
            <w:pPr>
              <w:jc w:val="right"/>
              <w:textAlignment w:val="bottom"/>
            </w:pPr>
            <w:r>
              <w:rPr>
                <w:rFonts w:ascii="Arial" w:eastAsia="宋体" w:hAnsi="Arial" w:cs="Arial"/>
                <w:color w:val="000000"/>
                <w:sz w:val="17"/>
                <w:szCs w:val="17"/>
              </w:rPr>
              <w:t>3,158 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9D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D3" w14:textId="77777777" w:rsidR="008E7A10" w:rsidRDefault="00E047B2">
            <w:pPr>
              <w:jc w:val="right"/>
              <w:textAlignment w:val="bottom"/>
            </w:pPr>
            <w:r>
              <w:rPr>
                <w:rFonts w:ascii="Arial" w:eastAsia="宋体" w:hAnsi="Arial" w:cs="Arial"/>
                <w:color w:val="000000"/>
                <w:sz w:val="17"/>
                <w:szCs w:val="17"/>
              </w:rPr>
              <w:t>2,677 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D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D5" w14:textId="77777777" w:rsidR="008E7A10" w:rsidRDefault="00E047B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D6"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9D7" w14:textId="77777777" w:rsidR="008E7A10" w:rsidRDefault="00E047B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9D8" w14:textId="77777777" w:rsidR="008E7A10" w:rsidRDefault="00E047B2">
            <w:pPr>
              <w:jc w:val="right"/>
              <w:textAlignment w:val="bottom"/>
            </w:pPr>
            <w:r>
              <w:rPr>
                <w:rFonts w:ascii="Arial" w:eastAsia="宋体" w:hAnsi="Arial" w:cs="Arial"/>
                <w:color w:val="000000"/>
                <w:sz w:val="17"/>
                <w:szCs w:val="17"/>
              </w:rPr>
              <w:t>%</w:t>
            </w:r>
          </w:p>
        </w:tc>
      </w:tr>
      <w:tr w:rsidR="008E7A10" w14:paraId="746F19F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9DA"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9D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9DC" w14:textId="77777777" w:rsidR="008E7A10" w:rsidRDefault="00E047B2">
            <w:pPr>
              <w:jc w:val="right"/>
              <w:textAlignment w:val="bottom"/>
            </w:pPr>
            <w:r>
              <w:rPr>
                <w:rFonts w:ascii="Arial" w:eastAsia="宋体" w:hAnsi="Arial" w:cs="Arial"/>
                <w:b/>
                <w:bCs/>
                <w:color w:val="000000"/>
                <w:sz w:val="17"/>
                <w:szCs w:val="17"/>
              </w:rPr>
              <w:t>4,006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9DD"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9D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9DF" w14:textId="77777777" w:rsidR="008E7A10" w:rsidRDefault="00E047B2">
            <w:pPr>
              <w:jc w:val="right"/>
              <w:textAlignment w:val="bottom"/>
            </w:pPr>
            <w:r>
              <w:rPr>
                <w:rFonts w:ascii="Arial" w:eastAsia="宋体" w:hAnsi="Arial" w:cs="Arial"/>
                <w:b/>
                <w:bCs/>
                <w:color w:val="000000"/>
                <w:sz w:val="17"/>
                <w:szCs w:val="17"/>
              </w:rPr>
              <w:t>3,982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E0"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9E1"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E2"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9E3"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E4"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9E5"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9E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9E7" w14:textId="77777777" w:rsidR="008E7A10" w:rsidRDefault="00E047B2">
            <w:pPr>
              <w:jc w:val="right"/>
              <w:textAlignment w:val="bottom"/>
            </w:pPr>
            <w:r>
              <w:rPr>
                <w:rFonts w:ascii="Arial" w:eastAsia="宋体" w:hAnsi="Arial" w:cs="Arial"/>
                <w:b/>
                <w:bCs/>
                <w:color w:val="000000"/>
                <w:sz w:val="17"/>
                <w:szCs w:val="17"/>
              </w:rPr>
              <w:t>8,231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9E8"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9E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9EA" w14:textId="77777777" w:rsidR="008E7A10" w:rsidRDefault="00E047B2">
            <w:pPr>
              <w:jc w:val="right"/>
              <w:textAlignment w:val="bottom"/>
            </w:pPr>
            <w:r>
              <w:rPr>
                <w:rFonts w:ascii="Arial" w:eastAsia="宋体" w:hAnsi="Arial" w:cs="Arial"/>
                <w:b/>
                <w:bCs/>
                <w:color w:val="000000"/>
                <w:sz w:val="17"/>
                <w:szCs w:val="17"/>
              </w:rPr>
              <w:t>8,275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EB"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9EC"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ED"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9EE" w14:textId="77777777" w:rsidR="008E7A10" w:rsidRDefault="00E047B2">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9EF" w14:textId="77777777" w:rsidR="008E7A10" w:rsidRDefault="00E047B2">
            <w:pPr>
              <w:jc w:val="right"/>
              <w:textAlignment w:val="bottom"/>
            </w:pPr>
            <w:r>
              <w:rPr>
                <w:rFonts w:ascii="Arial" w:eastAsia="宋体" w:hAnsi="Arial" w:cs="Arial"/>
                <w:b/>
                <w:bCs/>
                <w:color w:val="000000"/>
                <w:sz w:val="17"/>
                <w:szCs w:val="17"/>
              </w:rPr>
              <w:t>%</w:t>
            </w:r>
          </w:p>
        </w:tc>
      </w:tr>
      <w:tr w:rsidR="008E7A10" w14:paraId="746F1A0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9F1" w14:textId="77777777" w:rsidR="008E7A10" w:rsidRDefault="00E047B2">
            <w:pPr>
              <w:textAlignment w:val="bottom"/>
            </w:pPr>
            <w:r>
              <w:rPr>
                <w:rFonts w:ascii="Arial" w:eastAsia="宋体" w:hAnsi="Arial" w:cs="Arial"/>
                <w:b/>
                <w:bCs/>
                <w:color w:val="000000"/>
                <w:sz w:val="17"/>
                <w:szCs w:val="17"/>
              </w:rPr>
              <w:t>EARNINGS BEFORE INT</w:t>
            </w:r>
            <w:r>
              <w:rPr>
                <w:rFonts w:ascii="Arial" w:eastAsia="宋体" w:hAnsi="Arial" w:cs="Arial"/>
                <w:b/>
                <w:bCs/>
                <w:color w:val="000000"/>
                <w:sz w:val="17"/>
                <w:szCs w:val="17"/>
              </w:rPr>
              <w: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9F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9F3" w14:textId="77777777" w:rsidR="008E7A10" w:rsidRDefault="00E047B2">
            <w:pPr>
              <w:jc w:val="right"/>
              <w:textAlignment w:val="bottom"/>
            </w:pPr>
            <w:r>
              <w:rPr>
                <w:rFonts w:ascii="Arial" w:eastAsia="宋体" w:hAnsi="Arial" w:cs="Arial"/>
                <w:b/>
                <w:bCs/>
                <w:color w:val="000000"/>
                <w:sz w:val="17"/>
                <w:szCs w:val="17"/>
              </w:rPr>
              <w:t>1,023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9F4"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9F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9F6" w14:textId="77777777" w:rsidR="008E7A10" w:rsidRDefault="00E047B2">
            <w:pPr>
              <w:jc w:val="right"/>
              <w:textAlignment w:val="bottom"/>
            </w:pPr>
            <w:r>
              <w:rPr>
                <w:rFonts w:ascii="Arial" w:eastAsia="宋体" w:hAnsi="Arial" w:cs="Arial"/>
                <w:b/>
                <w:bCs/>
                <w:color w:val="000000"/>
                <w:sz w:val="17"/>
                <w:szCs w:val="17"/>
              </w:rPr>
              <w:t>875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9F7"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9F8" w14:textId="77777777" w:rsidR="008E7A10" w:rsidRDefault="00E047B2">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9F9"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9FA" w14:textId="77777777" w:rsidR="008E7A10" w:rsidRDefault="008E7A10">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9FB"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9F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9FD" w14:textId="77777777" w:rsidR="008E7A10" w:rsidRDefault="00E047B2">
            <w:pPr>
              <w:jc w:val="right"/>
              <w:textAlignment w:val="bottom"/>
            </w:pPr>
            <w:r>
              <w:rPr>
                <w:rFonts w:ascii="Arial" w:eastAsia="宋体" w:hAnsi="Arial" w:cs="Arial"/>
                <w:b/>
                <w:bCs/>
                <w:color w:val="000000"/>
                <w:sz w:val="17"/>
                <w:szCs w:val="17"/>
              </w:rPr>
              <w:t>2,325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9FE"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9F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A00" w14:textId="77777777" w:rsidR="008E7A10" w:rsidRDefault="00E047B2">
            <w:pPr>
              <w:jc w:val="right"/>
              <w:textAlignment w:val="bottom"/>
            </w:pPr>
            <w:r>
              <w:rPr>
                <w:rFonts w:ascii="Arial" w:eastAsia="宋体" w:hAnsi="Arial" w:cs="Arial"/>
                <w:b/>
                <w:bCs/>
                <w:color w:val="000000"/>
                <w:sz w:val="17"/>
                <w:szCs w:val="17"/>
              </w:rPr>
              <w:t>1,975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A01"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A02" w14:textId="77777777" w:rsidR="008E7A10" w:rsidRDefault="00E047B2">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A03"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A04" w14:textId="77777777" w:rsidR="008E7A10" w:rsidRDefault="008E7A10">
            <w:pPr>
              <w:rPr>
                <w:rFonts w:ascii="宋体"/>
              </w:rPr>
            </w:pPr>
          </w:p>
        </w:tc>
      </w:tr>
    </w:tbl>
    <w:p w14:paraId="746F1A06" w14:textId="77777777" w:rsidR="008E7A10" w:rsidRDefault="00E047B2">
      <w:pPr>
        <w:spacing w:before="120" w:after="120"/>
      </w:pPr>
      <w:r>
        <w:rPr>
          <w:rFonts w:ascii="Arial" w:eastAsia="宋体" w:hAnsi="Arial" w:cs="Arial"/>
          <w:color w:val="000000"/>
          <w:sz w:val="17"/>
          <w:szCs w:val="17"/>
        </w:rPr>
        <w:t>We believe there continues to be a meaningful shift in the way consumers shop fo</w:t>
      </w:r>
      <w:r>
        <w:rPr>
          <w:rFonts w:ascii="Arial" w:eastAsia="宋体" w:hAnsi="Arial" w:cs="Arial"/>
          <w:color w:val="000000"/>
          <w:sz w:val="17"/>
          <w:szCs w:val="17"/>
        </w:rPr>
        <w:t>r product and make purchasing decisions across each of our geographies. Consumers are demanding a constant flow of fresh and innovative product, and have an expectation for superior service and rapid delivery, all fueled by the shift toward digital and mon</w:t>
      </w:r>
      <w:r>
        <w:rPr>
          <w:rFonts w:ascii="Arial" w:eastAsia="宋体" w:hAnsi="Arial" w:cs="Arial"/>
          <w:color w:val="000000"/>
          <w:sz w:val="17"/>
          <w:szCs w:val="17"/>
        </w:rPr>
        <w:t>o-brand experiences in NIKE Direct. We anticipate continued evolution within the retail landscape, driven by shifting consumer traffic patterns across digital and physical channels. Specifically in North America, we remain focused on building long-term mom</w:t>
      </w:r>
      <w:r>
        <w:rPr>
          <w:rFonts w:ascii="Arial" w:eastAsia="宋体" w:hAnsi="Arial" w:cs="Arial"/>
          <w:color w:val="000000"/>
          <w:sz w:val="17"/>
          <w:szCs w:val="17"/>
        </w:rPr>
        <w:t xml:space="preserve">entum with our differentiated strategic wholesale customers and over the last three years have significantly reduced the number of undifferentiated accounts. Additionally, during the second quarter of fiscal 2021, we took further steps towards account and </w:t>
      </w:r>
      <w:r>
        <w:rPr>
          <w:rFonts w:ascii="Arial" w:eastAsia="宋体" w:hAnsi="Arial" w:cs="Arial"/>
          <w:color w:val="000000"/>
          <w:sz w:val="17"/>
          <w:szCs w:val="17"/>
        </w:rPr>
        <w:t>channel consolidation by reprioritizing product allocation to benefit NIKE Direct and our differentiated strategic wholesale customers. We expect over the next two fiscal years, we will more aggressively accelerate these changes as we work to reprofile the</w:t>
      </w:r>
      <w:r>
        <w:rPr>
          <w:rFonts w:ascii="Arial" w:eastAsia="宋体" w:hAnsi="Arial" w:cs="Arial"/>
          <w:color w:val="000000"/>
          <w:sz w:val="17"/>
          <w:szCs w:val="17"/>
        </w:rPr>
        <w:t xml:space="preserve"> shape of the marketplace and recapture wholesale revenue declines over time.</w:t>
      </w:r>
    </w:p>
    <w:p w14:paraId="746F1A07" w14:textId="77777777" w:rsidR="008E7A10" w:rsidRDefault="00E047B2">
      <w:pPr>
        <w:spacing w:before="120"/>
      </w:pPr>
      <w:r>
        <w:rPr>
          <w:rFonts w:ascii="sans-serif" w:eastAsia="sans-serif" w:hAnsi="sans-serif" w:cs="sans-serif"/>
          <w:b/>
          <w:bCs/>
          <w:color w:val="808080"/>
          <w:sz w:val="22"/>
          <w:szCs w:val="22"/>
        </w:rPr>
        <w:t>SECOND QUARTER OF FISCAL 2021 COMPARED TO SECOND QUARTER OF FISCAL 2020</w:t>
      </w:r>
    </w:p>
    <w:p w14:paraId="746F1A08" w14:textId="77777777" w:rsidR="008E7A10" w:rsidRDefault="00E047B2">
      <w:pPr>
        <w:spacing w:after="120"/>
      </w:pPr>
      <w:r>
        <w:rPr>
          <w:rFonts w:ascii="Arial" w:eastAsia="宋体" w:hAnsi="Arial" w:cs="Arial"/>
          <w:color w:val="000000"/>
          <w:sz w:val="17"/>
          <w:szCs w:val="17"/>
        </w:rPr>
        <w:t>On a currency-neutral basis, North America revenues for the second quarter of fiscal 2021 increased 1%, largely driven by significant growth in digital. NIKE Direct revenues increased 32% as strong digital sales growth of 107% more than offset an 11% decli</w:t>
      </w:r>
      <w:r>
        <w:rPr>
          <w:rFonts w:ascii="Arial" w:eastAsia="宋体" w:hAnsi="Arial" w:cs="Arial"/>
          <w:color w:val="000000"/>
          <w:sz w:val="17"/>
          <w:szCs w:val="17"/>
        </w:rPr>
        <w:t xml:space="preserve">ne in comparable store sales </w:t>
      </w:r>
      <w:r>
        <w:rPr>
          <w:rFonts w:ascii="Arial" w:eastAsia="宋体" w:hAnsi="Arial" w:cs="Arial"/>
          <w:color w:val="212529"/>
          <w:sz w:val="17"/>
          <w:szCs w:val="17"/>
        </w:rPr>
        <w:t>primarily due to reduced physical retail traffic, in part resulting from safety-related measures in response to COVID-19</w:t>
      </w:r>
      <w:r>
        <w:rPr>
          <w:rFonts w:ascii="Arial" w:eastAsia="宋体" w:hAnsi="Arial" w:cs="Arial"/>
          <w:color w:val="000000"/>
          <w:sz w:val="17"/>
          <w:szCs w:val="17"/>
        </w:rPr>
        <w:t>.</w:t>
      </w:r>
    </w:p>
    <w:p w14:paraId="746F1A09" w14:textId="77777777" w:rsidR="008E7A10" w:rsidRDefault="00E047B2">
      <w:pPr>
        <w:spacing w:before="120" w:after="120"/>
      </w:pPr>
      <w:r>
        <w:rPr>
          <w:rFonts w:ascii="Arial" w:eastAsia="宋体" w:hAnsi="Arial" w:cs="Arial"/>
          <w:color w:val="000000"/>
          <w:sz w:val="17"/>
          <w:szCs w:val="17"/>
        </w:rPr>
        <w:t>Footwear revenues increased 4% on a currency-neutral basis, largely driven by significant growth in digit</w:t>
      </w:r>
      <w:r>
        <w:rPr>
          <w:rFonts w:ascii="Arial" w:eastAsia="宋体" w:hAnsi="Arial" w:cs="Arial"/>
          <w:color w:val="000000"/>
          <w:sz w:val="17"/>
          <w:szCs w:val="17"/>
        </w:rPr>
        <w:t>al. Unit sales of footwear decreased 4%, while higher ASP per pair contributed approximately 8 percentage points of footwear revenue growth. Higher ASP per pair was primarily due to the favorable impact of growth in our NIKE Direct business, as well as hig</w:t>
      </w:r>
      <w:r>
        <w:rPr>
          <w:rFonts w:ascii="Arial" w:eastAsia="宋体" w:hAnsi="Arial" w:cs="Arial"/>
          <w:color w:val="000000"/>
          <w:sz w:val="17"/>
          <w:szCs w:val="17"/>
        </w:rPr>
        <w:t>her NIKE Direct and full-price ASPs.</w:t>
      </w:r>
    </w:p>
    <w:p w14:paraId="746F1A0A" w14:textId="77777777" w:rsidR="008E7A10" w:rsidRDefault="00E047B2">
      <w:pPr>
        <w:spacing w:before="120" w:after="120"/>
        <w:jc w:val="right"/>
      </w:pPr>
      <w:r>
        <w:rPr>
          <w:rFonts w:ascii="Arial" w:eastAsia="宋体" w:hAnsi="Arial" w:cs="Arial"/>
          <w:color w:val="E87722"/>
          <w:sz w:val="17"/>
          <w:szCs w:val="17"/>
        </w:rPr>
        <w:t>33</w:t>
      </w:r>
    </w:p>
    <w:p w14:paraId="746F1A0B" w14:textId="77777777" w:rsidR="008E7A10" w:rsidRDefault="00E047B2">
      <w:r>
        <w:pict w14:anchorId="746F2029">
          <v:rect id="_x0000_i1059" style="width:415.3pt;height:1.5pt" o:hralign="center" o:hrstd="t" o:hr="t" fillcolor="#a0a0a0" stroked="f"/>
        </w:pict>
      </w:r>
    </w:p>
    <w:p w14:paraId="746F1A0C" w14:textId="77777777" w:rsidR="008E7A10" w:rsidRDefault="008E7A10"/>
    <w:p w14:paraId="746F1A0D" w14:textId="77777777" w:rsidR="008E7A10" w:rsidRDefault="00E047B2">
      <w:hyperlink r:id="rId104" w:anchor="i31a624617c6c41b38f8f700fa0df5bde_7" w:history="1">
        <w:r>
          <w:rPr>
            <w:rStyle w:val="a5"/>
            <w:rFonts w:ascii="sans-serif" w:eastAsia="sans-serif" w:hAnsi="sans-serif" w:cs="sans-serif"/>
            <w:sz w:val="17"/>
            <w:szCs w:val="17"/>
          </w:rPr>
          <w:t>Table of Contents</w:t>
        </w:r>
      </w:hyperlink>
    </w:p>
    <w:p w14:paraId="746F1A0E" w14:textId="77777777" w:rsidR="008E7A10" w:rsidRDefault="008E7A10"/>
    <w:p w14:paraId="746F1A0F" w14:textId="77777777" w:rsidR="008E7A10" w:rsidRDefault="00E047B2">
      <w:pPr>
        <w:spacing w:before="120" w:after="120"/>
      </w:pPr>
      <w:r>
        <w:rPr>
          <w:rFonts w:ascii="Arial" w:eastAsia="宋体" w:hAnsi="Arial" w:cs="Arial"/>
          <w:color w:val="000000"/>
          <w:sz w:val="17"/>
          <w:szCs w:val="17"/>
        </w:rPr>
        <w:t>On a currency-neutral basis, apparel revenues decreased 3%, as growth in Sportswear w</w:t>
      </w:r>
      <w:r>
        <w:rPr>
          <w:rFonts w:ascii="Arial" w:eastAsia="宋体" w:hAnsi="Arial" w:cs="Arial"/>
          <w:color w:val="000000"/>
          <w:sz w:val="17"/>
          <w:szCs w:val="17"/>
        </w:rPr>
        <w:t>as more than offset by lower revenues in several key categories, led by Training, and the divestiture of Hurley in the prior year. Unit sales of apparel were flat while lower ASP per unit reduced apparel revenues by approximately 3 percentage points. The d</w:t>
      </w:r>
      <w:r>
        <w:rPr>
          <w:rFonts w:ascii="Arial" w:eastAsia="宋体" w:hAnsi="Arial" w:cs="Arial"/>
          <w:color w:val="000000"/>
          <w:sz w:val="17"/>
          <w:szCs w:val="17"/>
        </w:rPr>
        <w:t>ecrease in ASP per unit was primarily driven by lower full-price ASP, in part reflecting higher discounts, partially offset by the favorable impact of growth in our NIKE Direct business and higher NIKE Direct ASP.</w:t>
      </w:r>
    </w:p>
    <w:p w14:paraId="746F1A10" w14:textId="77777777" w:rsidR="008E7A10" w:rsidRDefault="00E047B2">
      <w:r>
        <w:rPr>
          <w:rFonts w:ascii="Arial" w:eastAsia="宋体" w:hAnsi="Arial" w:cs="Arial"/>
          <w:color w:val="000000"/>
          <w:sz w:val="17"/>
          <w:szCs w:val="17"/>
        </w:rPr>
        <w:t>Reported EBIT increased 17% driven by lowe</w:t>
      </w:r>
      <w:r>
        <w:rPr>
          <w:rFonts w:ascii="Arial" w:eastAsia="宋体" w:hAnsi="Arial" w:cs="Arial"/>
          <w:color w:val="000000"/>
          <w:sz w:val="17"/>
          <w:szCs w:val="17"/>
        </w:rPr>
        <w:t>r selling and administrative expense, gross margin expansion and higher revenues. Gross margin increased approximately 100 basis points primarily due to lower product costs reflecting the impact of lower air freight and reduced tariffs, as well as lower in</w:t>
      </w:r>
      <w:r>
        <w:rPr>
          <w:rFonts w:ascii="Arial" w:eastAsia="宋体" w:hAnsi="Arial" w:cs="Arial"/>
          <w:color w:val="000000"/>
          <w:sz w:val="17"/>
          <w:szCs w:val="17"/>
        </w:rPr>
        <w:t xml:space="preserve">ventory obsolescence. These impacts were partially offset by lower full-price ASP, reflecting higher discounts to reduce excess inventory due to COVID-19 and a lower mix of full-price sales. Selling and administrative expense decreased due to lower demand </w:t>
      </w:r>
      <w:r>
        <w:rPr>
          <w:rFonts w:ascii="Arial" w:eastAsia="宋体" w:hAnsi="Arial" w:cs="Arial"/>
          <w:color w:val="000000"/>
          <w:sz w:val="17"/>
          <w:szCs w:val="17"/>
        </w:rPr>
        <w:t>creation and operating overhead expense. The decrease in demand creation expense reflected lower advertising and marketing costs, as well as a decline in retail brand presentation costs, partially offset by continued investments in digital marketing to sup</w:t>
      </w:r>
      <w:r>
        <w:rPr>
          <w:rFonts w:ascii="Arial" w:eastAsia="宋体" w:hAnsi="Arial" w:cs="Arial"/>
          <w:color w:val="000000"/>
          <w:sz w:val="17"/>
          <w:szCs w:val="17"/>
        </w:rPr>
        <w:t xml:space="preserve">port heightened digital demand. Operating overhead expense decreased primarily as a result of lower wage-related expense, partially offset by an increase in professional services costs. </w:t>
      </w:r>
    </w:p>
    <w:p w14:paraId="746F1A11" w14:textId="77777777" w:rsidR="008E7A10" w:rsidRDefault="00E047B2">
      <w:pPr>
        <w:spacing w:before="120"/>
      </w:pPr>
      <w:r>
        <w:rPr>
          <w:rFonts w:ascii="sans-serif" w:eastAsia="sans-serif" w:hAnsi="sans-serif" w:cs="sans-serif"/>
          <w:b/>
          <w:bCs/>
          <w:color w:val="808080"/>
          <w:sz w:val="22"/>
          <w:szCs w:val="22"/>
        </w:rPr>
        <w:t>FIRST SIX MONTHS OF FISCAL 2021 COMPARED TO FIRST SIX MONTHS OF FISCA</w:t>
      </w:r>
      <w:r>
        <w:rPr>
          <w:rFonts w:ascii="sans-serif" w:eastAsia="sans-serif" w:hAnsi="sans-serif" w:cs="sans-serif"/>
          <w:b/>
          <w:bCs/>
          <w:color w:val="808080"/>
          <w:sz w:val="22"/>
          <w:szCs w:val="22"/>
        </w:rPr>
        <w:t>L 2020</w:t>
      </w:r>
    </w:p>
    <w:p w14:paraId="746F1A12" w14:textId="77777777" w:rsidR="008E7A10" w:rsidRDefault="00E047B2">
      <w:pPr>
        <w:spacing w:after="120"/>
      </w:pPr>
      <w:r>
        <w:rPr>
          <w:rFonts w:ascii="Arial" w:eastAsia="宋体" w:hAnsi="Arial" w:cs="Arial"/>
          <w:color w:val="000000"/>
          <w:sz w:val="17"/>
          <w:szCs w:val="17"/>
        </w:rPr>
        <w:t>On a currency-neutral basis, North America revenues for the first six months of fiscal 2021 were flat as growth in Sportswear was offset by declines in nearly all other key categories, led by Training and Running. NIKE Direct revenues increased 18%,</w:t>
      </w:r>
      <w:r>
        <w:rPr>
          <w:rFonts w:ascii="Arial" w:eastAsia="宋体" w:hAnsi="Arial" w:cs="Arial"/>
          <w:color w:val="000000"/>
          <w:sz w:val="17"/>
          <w:szCs w:val="17"/>
        </w:rPr>
        <w:t xml:space="preserve"> primarily due to digital sales growth of 103%, partially offset by comparable store sales contraction of 25%, </w:t>
      </w:r>
      <w:r>
        <w:rPr>
          <w:rFonts w:ascii="Arial" w:eastAsia="宋体" w:hAnsi="Arial" w:cs="Arial"/>
          <w:color w:val="212529"/>
          <w:sz w:val="17"/>
          <w:szCs w:val="17"/>
        </w:rPr>
        <w:t>primarily due to reduced physical retail traffic, in part resulting from safety-related measures in response to COVID-19</w:t>
      </w:r>
      <w:r>
        <w:rPr>
          <w:rFonts w:ascii="Arial" w:eastAsia="宋体" w:hAnsi="Arial" w:cs="Arial"/>
          <w:color w:val="000000"/>
          <w:sz w:val="17"/>
          <w:szCs w:val="17"/>
        </w:rPr>
        <w:t>.</w:t>
      </w:r>
    </w:p>
    <w:p w14:paraId="746F1A13" w14:textId="77777777" w:rsidR="008E7A10" w:rsidRDefault="00E047B2">
      <w:pPr>
        <w:spacing w:before="120" w:after="120"/>
      </w:pPr>
      <w:r>
        <w:rPr>
          <w:rFonts w:ascii="Arial" w:eastAsia="宋体" w:hAnsi="Arial" w:cs="Arial"/>
          <w:color w:val="000000"/>
          <w:sz w:val="17"/>
          <w:szCs w:val="17"/>
        </w:rPr>
        <w:t>Footwear revenues incre</w:t>
      </w:r>
      <w:r>
        <w:rPr>
          <w:rFonts w:ascii="Arial" w:eastAsia="宋体" w:hAnsi="Arial" w:cs="Arial"/>
          <w:color w:val="000000"/>
          <w:sz w:val="17"/>
          <w:szCs w:val="17"/>
        </w:rPr>
        <w:t>ased 7% on a currency-neutral basis as growth in Sportswear was partially offset by declines in nearly all other key categories, led by Running. Unit sales of footwear increased 2%, while higher ASP per pair contributed approximately 5 percentage points of</w:t>
      </w:r>
      <w:r>
        <w:rPr>
          <w:rFonts w:ascii="Arial" w:eastAsia="宋体" w:hAnsi="Arial" w:cs="Arial"/>
          <w:color w:val="000000"/>
          <w:sz w:val="17"/>
          <w:szCs w:val="17"/>
        </w:rPr>
        <w:t xml:space="preserve"> footwear revenue growth. Higher ASP per pair was primarily due to higher NIKE Direct and full-price ASPs, as well as the favorable impact of growth in our NIKE Direct business.</w:t>
      </w:r>
    </w:p>
    <w:p w14:paraId="746F1A14" w14:textId="77777777" w:rsidR="008E7A10" w:rsidRDefault="00E047B2">
      <w:pPr>
        <w:spacing w:before="120" w:after="120"/>
      </w:pPr>
      <w:r>
        <w:rPr>
          <w:rFonts w:ascii="Arial" w:eastAsia="宋体" w:hAnsi="Arial" w:cs="Arial"/>
          <w:color w:val="000000"/>
          <w:sz w:val="17"/>
          <w:szCs w:val="17"/>
        </w:rPr>
        <w:t>On a currency-neutral basis, apparel revenues decreased 12%, driven by decline</w:t>
      </w:r>
      <w:r>
        <w:rPr>
          <w:rFonts w:ascii="Arial" w:eastAsia="宋体" w:hAnsi="Arial" w:cs="Arial"/>
          <w:color w:val="000000"/>
          <w:sz w:val="17"/>
          <w:szCs w:val="17"/>
        </w:rPr>
        <w:t>s in most key categories, led by Training, NIKE Basketball, as well as the divestiture of Hurley in the prior year. Unit sales of apparel declined 10% and lower ASP per unit reduced apparel revenues by approximately 2 percentage points. The decrease in ASP</w:t>
      </w:r>
      <w:r>
        <w:rPr>
          <w:rFonts w:ascii="Arial" w:eastAsia="宋体" w:hAnsi="Arial" w:cs="Arial"/>
          <w:color w:val="000000"/>
          <w:sz w:val="17"/>
          <w:szCs w:val="17"/>
        </w:rPr>
        <w:t xml:space="preserve"> per unit was driven by lower full-price ASP and a lower mix of full-price sales, partially offset by the favorable impact of growth in our NIKE Direct business and higher NIKE Direct ASP.</w:t>
      </w:r>
    </w:p>
    <w:p w14:paraId="746F1A15" w14:textId="77777777" w:rsidR="008E7A10" w:rsidRDefault="00E047B2">
      <w:pPr>
        <w:spacing w:before="120" w:after="120"/>
      </w:pPr>
      <w:r>
        <w:rPr>
          <w:rFonts w:ascii="Arial" w:eastAsia="宋体" w:hAnsi="Arial" w:cs="Arial"/>
          <w:color w:val="000000"/>
          <w:sz w:val="17"/>
          <w:szCs w:val="17"/>
        </w:rPr>
        <w:t>Reported EBIT increased 18% driven by lower selling and administrat</w:t>
      </w:r>
      <w:r>
        <w:rPr>
          <w:rFonts w:ascii="Arial" w:eastAsia="宋体" w:hAnsi="Arial" w:cs="Arial"/>
          <w:color w:val="000000"/>
          <w:sz w:val="17"/>
          <w:szCs w:val="17"/>
        </w:rPr>
        <w:t>ive expense and gross margin expansion. Gross margin increased approximately 130 basis points due to higher full-price ASP and lower other costs, partially offset by lower margin in our NIKE Direct business and a lower mix of full-price sales. The decrease</w:t>
      </w:r>
      <w:r>
        <w:rPr>
          <w:rFonts w:ascii="Arial" w:eastAsia="宋体" w:hAnsi="Arial" w:cs="Arial"/>
          <w:color w:val="000000"/>
          <w:sz w:val="17"/>
          <w:szCs w:val="17"/>
        </w:rPr>
        <w:t xml:space="preserve"> in other costs was primarily a result of lower inventory obsolescence and the favorable impact from the release of factory cancellation cost accruals due to an increase in consumer demand. Selling and administrative expense decreased due to lower demand c</w:t>
      </w:r>
      <w:r>
        <w:rPr>
          <w:rFonts w:ascii="Arial" w:eastAsia="宋体" w:hAnsi="Arial" w:cs="Arial"/>
          <w:color w:val="000000"/>
          <w:sz w:val="17"/>
          <w:szCs w:val="17"/>
        </w:rPr>
        <w:t>reation expense and operating overhead expense. The decrease in demand creation expense was primarily due to lower advertising and marketing costs, retail brand presentation costs and sports marketing expense, partially offset by continued investments in d</w:t>
      </w:r>
      <w:r>
        <w:rPr>
          <w:rFonts w:ascii="Arial" w:eastAsia="宋体" w:hAnsi="Arial" w:cs="Arial"/>
          <w:color w:val="000000"/>
          <w:sz w:val="17"/>
          <w:szCs w:val="17"/>
        </w:rPr>
        <w:t>igital marketing to support heightened digital demand. Operating overhead expense decreased primarily as a result of lower wage-related expense, partially offset by an increase in professional services costs.</w:t>
      </w:r>
    </w:p>
    <w:p w14:paraId="746F1A16" w14:textId="77777777" w:rsidR="008E7A10" w:rsidRDefault="00E047B2">
      <w:pPr>
        <w:spacing w:before="240" w:after="120"/>
      </w:pPr>
      <w:r>
        <w:rPr>
          <w:rFonts w:ascii="sans-serif" w:eastAsia="sans-serif" w:hAnsi="sans-serif" w:cs="sans-serif"/>
          <w:b/>
          <w:bCs/>
          <w:color w:val="000000"/>
          <w:sz w:val="28"/>
          <w:szCs w:val="28"/>
        </w:rPr>
        <w:t>EUROPE, MIDDLE EAST &amp; AFRICA</w:t>
      </w:r>
    </w:p>
    <w:tbl>
      <w:tblPr>
        <w:tblW w:w="5000" w:type="pct"/>
        <w:tblCellMar>
          <w:top w:w="15" w:type="dxa"/>
          <w:left w:w="15" w:type="dxa"/>
          <w:bottom w:w="15" w:type="dxa"/>
          <w:right w:w="15" w:type="dxa"/>
        </w:tblCellMar>
        <w:tblLook w:val="04A0" w:firstRow="1" w:lastRow="0" w:firstColumn="1" w:lastColumn="0" w:noHBand="0" w:noVBand="1"/>
      </w:tblPr>
      <w:tblGrid>
        <w:gridCol w:w="43"/>
        <w:gridCol w:w="1983"/>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tblGrid>
      <w:tr w:rsidR="008E7A10" w14:paraId="746F1A35" w14:textId="77777777">
        <w:tc>
          <w:tcPr>
            <w:tcW w:w="50" w:type="pct"/>
            <w:shd w:val="clear" w:color="auto" w:fill="auto"/>
          </w:tcPr>
          <w:p w14:paraId="746F1A17" w14:textId="77777777" w:rsidR="008E7A10" w:rsidRDefault="008E7A10">
            <w:pPr>
              <w:rPr>
                <w:rFonts w:ascii="宋体"/>
              </w:rPr>
            </w:pPr>
          </w:p>
        </w:tc>
        <w:tc>
          <w:tcPr>
            <w:tcW w:w="1387" w:type="pct"/>
            <w:shd w:val="clear" w:color="auto" w:fill="auto"/>
          </w:tcPr>
          <w:p w14:paraId="746F1A18" w14:textId="77777777" w:rsidR="008E7A10" w:rsidRDefault="008E7A10">
            <w:pPr>
              <w:rPr>
                <w:rFonts w:ascii="宋体"/>
              </w:rPr>
            </w:pPr>
          </w:p>
        </w:tc>
        <w:tc>
          <w:tcPr>
            <w:tcW w:w="5" w:type="pct"/>
            <w:shd w:val="clear" w:color="auto" w:fill="auto"/>
          </w:tcPr>
          <w:p w14:paraId="746F1A19" w14:textId="77777777" w:rsidR="008E7A10" w:rsidRDefault="008E7A10">
            <w:pPr>
              <w:rPr>
                <w:rFonts w:ascii="宋体"/>
              </w:rPr>
            </w:pPr>
          </w:p>
        </w:tc>
        <w:tc>
          <w:tcPr>
            <w:tcW w:w="50" w:type="pct"/>
            <w:shd w:val="clear" w:color="auto" w:fill="auto"/>
          </w:tcPr>
          <w:p w14:paraId="746F1A1A" w14:textId="77777777" w:rsidR="008E7A10" w:rsidRDefault="008E7A10">
            <w:pPr>
              <w:rPr>
                <w:rFonts w:ascii="宋体"/>
              </w:rPr>
            </w:pPr>
          </w:p>
        </w:tc>
        <w:tc>
          <w:tcPr>
            <w:tcW w:w="384" w:type="pct"/>
            <w:shd w:val="clear" w:color="auto" w:fill="auto"/>
          </w:tcPr>
          <w:p w14:paraId="746F1A1B" w14:textId="77777777" w:rsidR="008E7A10" w:rsidRDefault="008E7A10">
            <w:pPr>
              <w:rPr>
                <w:rFonts w:ascii="宋体"/>
              </w:rPr>
            </w:pPr>
          </w:p>
        </w:tc>
        <w:tc>
          <w:tcPr>
            <w:tcW w:w="5" w:type="pct"/>
            <w:shd w:val="clear" w:color="auto" w:fill="auto"/>
          </w:tcPr>
          <w:p w14:paraId="746F1A1C" w14:textId="77777777" w:rsidR="008E7A10" w:rsidRDefault="008E7A10">
            <w:pPr>
              <w:rPr>
                <w:rFonts w:ascii="宋体"/>
              </w:rPr>
            </w:pPr>
          </w:p>
        </w:tc>
        <w:tc>
          <w:tcPr>
            <w:tcW w:w="50" w:type="pct"/>
            <w:shd w:val="clear" w:color="auto" w:fill="auto"/>
          </w:tcPr>
          <w:p w14:paraId="746F1A1D" w14:textId="77777777" w:rsidR="008E7A10" w:rsidRDefault="008E7A10">
            <w:pPr>
              <w:rPr>
                <w:rFonts w:ascii="宋体"/>
              </w:rPr>
            </w:pPr>
          </w:p>
        </w:tc>
        <w:tc>
          <w:tcPr>
            <w:tcW w:w="384" w:type="pct"/>
            <w:shd w:val="clear" w:color="auto" w:fill="auto"/>
          </w:tcPr>
          <w:p w14:paraId="746F1A1E" w14:textId="77777777" w:rsidR="008E7A10" w:rsidRDefault="008E7A10">
            <w:pPr>
              <w:rPr>
                <w:rFonts w:ascii="宋体"/>
              </w:rPr>
            </w:pPr>
          </w:p>
        </w:tc>
        <w:tc>
          <w:tcPr>
            <w:tcW w:w="5" w:type="pct"/>
            <w:shd w:val="clear" w:color="auto" w:fill="auto"/>
          </w:tcPr>
          <w:p w14:paraId="746F1A1F" w14:textId="77777777" w:rsidR="008E7A10" w:rsidRDefault="008E7A10">
            <w:pPr>
              <w:rPr>
                <w:rFonts w:ascii="宋体"/>
              </w:rPr>
            </w:pPr>
          </w:p>
        </w:tc>
        <w:tc>
          <w:tcPr>
            <w:tcW w:w="50" w:type="pct"/>
            <w:shd w:val="clear" w:color="auto" w:fill="auto"/>
          </w:tcPr>
          <w:p w14:paraId="746F1A20" w14:textId="77777777" w:rsidR="008E7A10" w:rsidRDefault="008E7A10">
            <w:pPr>
              <w:rPr>
                <w:rFonts w:ascii="宋体"/>
              </w:rPr>
            </w:pPr>
          </w:p>
        </w:tc>
        <w:tc>
          <w:tcPr>
            <w:tcW w:w="384" w:type="pct"/>
            <w:shd w:val="clear" w:color="auto" w:fill="auto"/>
          </w:tcPr>
          <w:p w14:paraId="746F1A21" w14:textId="77777777" w:rsidR="008E7A10" w:rsidRDefault="008E7A10">
            <w:pPr>
              <w:rPr>
                <w:rFonts w:ascii="宋体"/>
              </w:rPr>
            </w:pPr>
          </w:p>
        </w:tc>
        <w:tc>
          <w:tcPr>
            <w:tcW w:w="5" w:type="pct"/>
            <w:shd w:val="clear" w:color="auto" w:fill="auto"/>
          </w:tcPr>
          <w:p w14:paraId="746F1A22" w14:textId="77777777" w:rsidR="008E7A10" w:rsidRDefault="008E7A10">
            <w:pPr>
              <w:rPr>
                <w:rFonts w:ascii="宋体"/>
              </w:rPr>
            </w:pPr>
          </w:p>
        </w:tc>
        <w:tc>
          <w:tcPr>
            <w:tcW w:w="50" w:type="pct"/>
            <w:shd w:val="clear" w:color="auto" w:fill="auto"/>
          </w:tcPr>
          <w:p w14:paraId="746F1A23" w14:textId="77777777" w:rsidR="008E7A10" w:rsidRDefault="008E7A10">
            <w:pPr>
              <w:rPr>
                <w:rFonts w:ascii="宋体"/>
              </w:rPr>
            </w:pPr>
          </w:p>
        </w:tc>
        <w:tc>
          <w:tcPr>
            <w:tcW w:w="384" w:type="pct"/>
            <w:shd w:val="clear" w:color="auto" w:fill="auto"/>
          </w:tcPr>
          <w:p w14:paraId="746F1A24" w14:textId="77777777" w:rsidR="008E7A10" w:rsidRDefault="008E7A10">
            <w:pPr>
              <w:rPr>
                <w:rFonts w:ascii="宋体"/>
              </w:rPr>
            </w:pPr>
          </w:p>
        </w:tc>
        <w:tc>
          <w:tcPr>
            <w:tcW w:w="5" w:type="pct"/>
            <w:shd w:val="clear" w:color="auto" w:fill="auto"/>
          </w:tcPr>
          <w:p w14:paraId="746F1A25" w14:textId="77777777" w:rsidR="008E7A10" w:rsidRDefault="008E7A10">
            <w:pPr>
              <w:rPr>
                <w:rFonts w:ascii="宋体"/>
              </w:rPr>
            </w:pPr>
          </w:p>
        </w:tc>
        <w:tc>
          <w:tcPr>
            <w:tcW w:w="5" w:type="pct"/>
            <w:shd w:val="clear" w:color="auto" w:fill="auto"/>
          </w:tcPr>
          <w:p w14:paraId="746F1A26" w14:textId="77777777" w:rsidR="008E7A10" w:rsidRDefault="008E7A10">
            <w:pPr>
              <w:rPr>
                <w:rFonts w:ascii="宋体"/>
              </w:rPr>
            </w:pPr>
          </w:p>
        </w:tc>
        <w:tc>
          <w:tcPr>
            <w:tcW w:w="28" w:type="pct"/>
            <w:shd w:val="clear" w:color="auto" w:fill="auto"/>
          </w:tcPr>
          <w:p w14:paraId="746F1A27" w14:textId="77777777" w:rsidR="008E7A10" w:rsidRDefault="008E7A10">
            <w:pPr>
              <w:rPr>
                <w:rFonts w:ascii="宋体"/>
              </w:rPr>
            </w:pPr>
          </w:p>
        </w:tc>
        <w:tc>
          <w:tcPr>
            <w:tcW w:w="5" w:type="pct"/>
            <w:shd w:val="clear" w:color="auto" w:fill="auto"/>
          </w:tcPr>
          <w:p w14:paraId="746F1A28" w14:textId="77777777" w:rsidR="008E7A10" w:rsidRDefault="008E7A10">
            <w:pPr>
              <w:rPr>
                <w:rFonts w:ascii="宋体"/>
              </w:rPr>
            </w:pPr>
          </w:p>
        </w:tc>
        <w:tc>
          <w:tcPr>
            <w:tcW w:w="50" w:type="pct"/>
            <w:shd w:val="clear" w:color="auto" w:fill="auto"/>
          </w:tcPr>
          <w:p w14:paraId="746F1A29" w14:textId="77777777" w:rsidR="008E7A10" w:rsidRDefault="008E7A10">
            <w:pPr>
              <w:rPr>
                <w:rFonts w:ascii="宋体"/>
              </w:rPr>
            </w:pPr>
          </w:p>
        </w:tc>
        <w:tc>
          <w:tcPr>
            <w:tcW w:w="384" w:type="pct"/>
            <w:shd w:val="clear" w:color="auto" w:fill="auto"/>
          </w:tcPr>
          <w:p w14:paraId="746F1A2A" w14:textId="77777777" w:rsidR="008E7A10" w:rsidRDefault="008E7A10">
            <w:pPr>
              <w:rPr>
                <w:rFonts w:ascii="宋体"/>
              </w:rPr>
            </w:pPr>
          </w:p>
        </w:tc>
        <w:tc>
          <w:tcPr>
            <w:tcW w:w="5" w:type="pct"/>
            <w:shd w:val="clear" w:color="auto" w:fill="auto"/>
          </w:tcPr>
          <w:p w14:paraId="746F1A2B" w14:textId="77777777" w:rsidR="008E7A10" w:rsidRDefault="008E7A10">
            <w:pPr>
              <w:rPr>
                <w:rFonts w:ascii="宋体"/>
              </w:rPr>
            </w:pPr>
          </w:p>
        </w:tc>
        <w:tc>
          <w:tcPr>
            <w:tcW w:w="50" w:type="pct"/>
            <w:shd w:val="clear" w:color="auto" w:fill="auto"/>
          </w:tcPr>
          <w:p w14:paraId="746F1A2C" w14:textId="77777777" w:rsidR="008E7A10" w:rsidRDefault="008E7A10">
            <w:pPr>
              <w:rPr>
                <w:rFonts w:ascii="宋体"/>
              </w:rPr>
            </w:pPr>
          </w:p>
        </w:tc>
        <w:tc>
          <w:tcPr>
            <w:tcW w:w="384" w:type="pct"/>
            <w:shd w:val="clear" w:color="auto" w:fill="auto"/>
          </w:tcPr>
          <w:p w14:paraId="746F1A2D" w14:textId="77777777" w:rsidR="008E7A10" w:rsidRDefault="008E7A10">
            <w:pPr>
              <w:rPr>
                <w:rFonts w:ascii="宋体"/>
              </w:rPr>
            </w:pPr>
          </w:p>
        </w:tc>
        <w:tc>
          <w:tcPr>
            <w:tcW w:w="5" w:type="pct"/>
            <w:shd w:val="clear" w:color="auto" w:fill="auto"/>
          </w:tcPr>
          <w:p w14:paraId="746F1A2E" w14:textId="77777777" w:rsidR="008E7A10" w:rsidRDefault="008E7A10">
            <w:pPr>
              <w:rPr>
                <w:rFonts w:ascii="宋体"/>
              </w:rPr>
            </w:pPr>
          </w:p>
        </w:tc>
        <w:tc>
          <w:tcPr>
            <w:tcW w:w="50" w:type="pct"/>
            <w:shd w:val="clear" w:color="auto" w:fill="auto"/>
          </w:tcPr>
          <w:p w14:paraId="746F1A2F" w14:textId="77777777" w:rsidR="008E7A10" w:rsidRDefault="008E7A10">
            <w:pPr>
              <w:rPr>
                <w:rFonts w:ascii="宋体"/>
              </w:rPr>
            </w:pPr>
          </w:p>
        </w:tc>
        <w:tc>
          <w:tcPr>
            <w:tcW w:w="384" w:type="pct"/>
            <w:shd w:val="clear" w:color="auto" w:fill="auto"/>
          </w:tcPr>
          <w:p w14:paraId="746F1A30" w14:textId="77777777" w:rsidR="008E7A10" w:rsidRDefault="008E7A10">
            <w:pPr>
              <w:rPr>
                <w:rFonts w:ascii="宋体"/>
              </w:rPr>
            </w:pPr>
          </w:p>
        </w:tc>
        <w:tc>
          <w:tcPr>
            <w:tcW w:w="5" w:type="pct"/>
            <w:shd w:val="clear" w:color="auto" w:fill="auto"/>
          </w:tcPr>
          <w:p w14:paraId="746F1A31" w14:textId="77777777" w:rsidR="008E7A10" w:rsidRDefault="008E7A10">
            <w:pPr>
              <w:rPr>
                <w:rFonts w:ascii="宋体"/>
              </w:rPr>
            </w:pPr>
          </w:p>
        </w:tc>
        <w:tc>
          <w:tcPr>
            <w:tcW w:w="50" w:type="pct"/>
            <w:shd w:val="clear" w:color="auto" w:fill="auto"/>
          </w:tcPr>
          <w:p w14:paraId="746F1A32" w14:textId="77777777" w:rsidR="008E7A10" w:rsidRDefault="008E7A10">
            <w:pPr>
              <w:rPr>
                <w:rFonts w:ascii="宋体"/>
              </w:rPr>
            </w:pPr>
          </w:p>
        </w:tc>
        <w:tc>
          <w:tcPr>
            <w:tcW w:w="384" w:type="pct"/>
            <w:shd w:val="clear" w:color="auto" w:fill="auto"/>
          </w:tcPr>
          <w:p w14:paraId="746F1A33" w14:textId="77777777" w:rsidR="008E7A10" w:rsidRDefault="008E7A10">
            <w:pPr>
              <w:rPr>
                <w:rFonts w:ascii="宋体"/>
              </w:rPr>
            </w:pPr>
          </w:p>
        </w:tc>
        <w:tc>
          <w:tcPr>
            <w:tcW w:w="5" w:type="pct"/>
            <w:shd w:val="clear" w:color="auto" w:fill="auto"/>
          </w:tcPr>
          <w:p w14:paraId="746F1A34" w14:textId="77777777" w:rsidR="008E7A10" w:rsidRDefault="008E7A10">
            <w:pPr>
              <w:rPr>
                <w:rFonts w:ascii="宋体"/>
              </w:rPr>
            </w:pPr>
          </w:p>
        </w:tc>
      </w:tr>
      <w:tr w:rsidR="008E7A10" w14:paraId="746F1A3A" w14:textId="77777777">
        <w:tc>
          <w:tcPr>
            <w:tcW w:w="0" w:type="auto"/>
            <w:gridSpan w:val="3"/>
            <w:shd w:val="clear" w:color="auto" w:fill="auto"/>
            <w:tcMar>
              <w:top w:w="0" w:type="dxa"/>
              <w:left w:w="20" w:type="dxa"/>
              <w:bottom w:w="0" w:type="dxa"/>
              <w:right w:w="20" w:type="dxa"/>
            </w:tcMar>
          </w:tcPr>
          <w:p w14:paraId="746F1A36"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A37"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A38"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A39"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A45" w14:textId="77777777">
        <w:tc>
          <w:tcPr>
            <w:tcW w:w="0" w:type="auto"/>
            <w:gridSpan w:val="3"/>
            <w:shd w:val="clear" w:color="auto" w:fill="auto"/>
            <w:tcMar>
              <w:top w:w="40" w:type="dxa"/>
              <w:left w:w="20" w:type="dxa"/>
              <w:bottom w:w="40" w:type="dxa"/>
              <w:right w:w="20" w:type="dxa"/>
            </w:tcMar>
            <w:vAlign w:val="bottom"/>
          </w:tcPr>
          <w:p w14:paraId="746F1A3B"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3C"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3D"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3E"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3F" w14:textId="77777777" w:rsidR="008E7A10" w:rsidRDefault="00E047B2">
            <w:pPr>
              <w:jc w:val="right"/>
              <w:textAlignment w:val="bottom"/>
            </w:pPr>
            <w:r>
              <w:rPr>
                <w:rFonts w:ascii="sans-serif" w:eastAsia="sans-serif" w:hAnsi="sans-serif" w:cs="sans-serif"/>
                <w:b/>
                <w:bCs/>
                <w:color w:val="000000"/>
                <w:sz w:val="17"/>
                <w:szCs w:val="17"/>
              </w:rPr>
              <w:t xml:space="preserve">% </w:t>
            </w:r>
            <w:r>
              <w:rPr>
                <w:rFonts w:ascii="sans-serif" w:eastAsia="sans-serif" w:hAnsi="sans-serif" w:cs="sans-serif"/>
                <w:b/>
                <w:bCs/>
                <w:color w:val="000000"/>
                <w:sz w:val="17"/>
                <w:szCs w:val="17"/>
              </w:rPr>
              <w:t>CHANGE EXCLUDING CURRENCY CHANGES</w:t>
            </w:r>
          </w:p>
        </w:tc>
        <w:tc>
          <w:tcPr>
            <w:tcW w:w="0" w:type="auto"/>
            <w:gridSpan w:val="3"/>
            <w:shd w:val="clear" w:color="auto" w:fill="auto"/>
            <w:tcMar>
              <w:top w:w="0" w:type="dxa"/>
              <w:left w:w="20" w:type="dxa"/>
              <w:bottom w:w="0" w:type="dxa"/>
              <w:right w:w="20" w:type="dxa"/>
            </w:tcMar>
          </w:tcPr>
          <w:p w14:paraId="746F1A40"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41"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42"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43"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44" w14:textId="77777777" w:rsidR="008E7A10" w:rsidRDefault="00E047B2">
            <w:pPr>
              <w:jc w:val="right"/>
              <w:textAlignment w:val="bottom"/>
            </w:pPr>
            <w:r>
              <w:rPr>
                <w:rFonts w:ascii="sans-serif" w:eastAsia="sans-serif" w:hAnsi="sans-serif" w:cs="sans-serif"/>
                <w:b/>
                <w:bCs/>
                <w:color w:val="000000"/>
                <w:sz w:val="17"/>
                <w:szCs w:val="17"/>
              </w:rPr>
              <w:t>% CHANGE EXCLUDING CURRENCY CHANGES</w:t>
            </w:r>
          </w:p>
        </w:tc>
      </w:tr>
      <w:tr w:rsidR="008E7A10" w14:paraId="746F1A5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46"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746F1A47"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4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49"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4A"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4B"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A4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4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4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4F" w14:textId="77777777" w:rsidR="008E7A10" w:rsidRDefault="008E7A10">
            <w:pPr>
              <w:rPr>
                <w:rFonts w:ascii="宋体"/>
              </w:rPr>
            </w:pPr>
          </w:p>
        </w:tc>
      </w:tr>
      <w:tr w:rsidR="008E7A10" w14:paraId="746F1A67"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A51" w14:textId="77777777" w:rsidR="008E7A10" w:rsidRDefault="00E047B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A5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A53" w14:textId="77777777" w:rsidR="008E7A10" w:rsidRDefault="00E047B2">
            <w:pPr>
              <w:jc w:val="right"/>
              <w:textAlignment w:val="bottom"/>
            </w:pPr>
            <w:r>
              <w:rPr>
                <w:rFonts w:ascii="Arial" w:eastAsia="宋体" w:hAnsi="Arial" w:cs="Arial"/>
                <w:color w:val="000000"/>
                <w:sz w:val="17"/>
                <w:szCs w:val="17"/>
              </w:rPr>
              <w:t>1,731 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A54"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A5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A56" w14:textId="77777777" w:rsidR="008E7A10" w:rsidRDefault="00E047B2">
            <w:pPr>
              <w:jc w:val="right"/>
              <w:textAlignment w:val="bottom"/>
            </w:pPr>
            <w:r>
              <w:rPr>
                <w:rFonts w:ascii="Arial" w:eastAsia="宋体" w:hAnsi="Arial" w:cs="Arial"/>
                <w:color w:val="000000"/>
                <w:sz w:val="17"/>
                <w:szCs w:val="17"/>
              </w:rPr>
              <w:t>1,536 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5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58" w14:textId="77777777" w:rsidR="008E7A10" w:rsidRDefault="00E047B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59"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5A"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5B"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A5C"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A5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A5E" w14:textId="77777777" w:rsidR="008E7A10" w:rsidRDefault="00E047B2">
            <w:pPr>
              <w:jc w:val="right"/>
              <w:textAlignment w:val="bottom"/>
            </w:pPr>
            <w:r>
              <w:rPr>
                <w:rFonts w:ascii="Arial" w:eastAsia="宋体" w:hAnsi="Arial" w:cs="Arial"/>
                <w:color w:val="000000"/>
                <w:sz w:val="17"/>
                <w:szCs w:val="17"/>
              </w:rPr>
              <w:t>3,533 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A5F"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A6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A61" w14:textId="77777777" w:rsidR="008E7A10" w:rsidRDefault="00E047B2">
            <w:pPr>
              <w:jc w:val="right"/>
              <w:textAlignment w:val="bottom"/>
            </w:pPr>
            <w:r>
              <w:rPr>
                <w:rFonts w:ascii="Arial" w:eastAsia="宋体" w:hAnsi="Arial" w:cs="Arial"/>
                <w:color w:val="000000"/>
                <w:sz w:val="17"/>
                <w:szCs w:val="17"/>
              </w:rPr>
              <w:t>3,294 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6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63"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64"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65"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66" w14:textId="77777777" w:rsidR="008E7A10" w:rsidRDefault="00E047B2">
            <w:pPr>
              <w:jc w:val="right"/>
              <w:textAlignment w:val="bottom"/>
            </w:pPr>
            <w:r>
              <w:rPr>
                <w:rFonts w:ascii="Arial" w:eastAsia="宋体" w:hAnsi="Arial" w:cs="Arial"/>
                <w:color w:val="000000"/>
                <w:sz w:val="17"/>
                <w:szCs w:val="17"/>
              </w:rPr>
              <w:t>%</w:t>
            </w:r>
          </w:p>
        </w:tc>
      </w:tr>
      <w:tr w:rsidR="008E7A10" w14:paraId="746F1A7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A68" w14:textId="77777777" w:rsidR="008E7A10" w:rsidRDefault="00E047B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A69" w14:textId="77777777" w:rsidR="008E7A10" w:rsidRDefault="00E047B2">
            <w:pPr>
              <w:jc w:val="right"/>
              <w:textAlignment w:val="bottom"/>
            </w:pPr>
            <w:r>
              <w:rPr>
                <w:rFonts w:ascii="Arial" w:eastAsia="宋体" w:hAnsi="Arial" w:cs="Arial"/>
                <w:color w:val="000000"/>
                <w:sz w:val="17"/>
                <w:szCs w:val="17"/>
              </w:rPr>
              <w:t>1,104 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A6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6B" w14:textId="77777777" w:rsidR="008E7A10" w:rsidRDefault="00E047B2">
            <w:pPr>
              <w:jc w:val="right"/>
              <w:textAlignment w:val="bottom"/>
            </w:pPr>
            <w:r>
              <w:rPr>
                <w:rFonts w:ascii="Arial" w:eastAsia="宋体" w:hAnsi="Arial" w:cs="Arial"/>
                <w:color w:val="000000"/>
                <w:sz w:val="17"/>
                <w:szCs w:val="17"/>
              </w:rPr>
              <w:t>897 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6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6D" w14:textId="77777777" w:rsidR="008E7A10" w:rsidRDefault="00E047B2">
            <w:pPr>
              <w:jc w:val="right"/>
              <w:textAlignment w:val="bottom"/>
            </w:pPr>
            <w:r>
              <w:rPr>
                <w:rFonts w:ascii="Arial" w:eastAsia="宋体" w:hAnsi="Arial" w:cs="Arial"/>
                <w:color w:val="000000"/>
                <w:sz w:val="17"/>
                <w:szCs w:val="17"/>
              </w:rPr>
              <w:t>23 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6E"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6F" w14:textId="77777777" w:rsidR="008E7A10" w:rsidRDefault="00E047B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70"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A71"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A72" w14:textId="77777777" w:rsidR="008E7A10" w:rsidRDefault="00E047B2">
            <w:pPr>
              <w:jc w:val="right"/>
              <w:textAlignment w:val="bottom"/>
            </w:pPr>
            <w:r>
              <w:rPr>
                <w:rFonts w:ascii="Arial" w:eastAsia="宋体" w:hAnsi="Arial" w:cs="Arial"/>
                <w:color w:val="000000"/>
                <w:sz w:val="17"/>
                <w:szCs w:val="17"/>
              </w:rPr>
              <w:t>2,075 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A7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74" w14:textId="77777777" w:rsidR="008E7A10" w:rsidRDefault="00E047B2">
            <w:pPr>
              <w:jc w:val="right"/>
              <w:textAlignment w:val="bottom"/>
            </w:pPr>
            <w:r>
              <w:rPr>
                <w:rFonts w:ascii="Arial" w:eastAsia="宋体" w:hAnsi="Arial" w:cs="Arial"/>
                <w:color w:val="000000"/>
                <w:sz w:val="17"/>
                <w:szCs w:val="17"/>
              </w:rPr>
              <w:t>1,766 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7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76"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77"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78" w14:textId="77777777" w:rsidR="008E7A10" w:rsidRDefault="00E047B2">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79" w14:textId="77777777" w:rsidR="008E7A10" w:rsidRDefault="00E047B2">
            <w:pPr>
              <w:jc w:val="right"/>
              <w:textAlignment w:val="bottom"/>
            </w:pPr>
            <w:r>
              <w:rPr>
                <w:rFonts w:ascii="Arial" w:eastAsia="宋体" w:hAnsi="Arial" w:cs="Arial"/>
                <w:color w:val="000000"/>
                <w:sz w:val="17"/>
                <w:szCs w:val="17"/>
              </w:rPr>
              <w:t>%</w:t>
            </w:r>
          </w:p>
        </w:tc>
      </w:tr>
      <w:tr w:rsidR="008E7A10" w14:paraId="746F1A8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A7B" w14:textId="77777777" w:rsidR="008E7A10" w:rsidRDefault="00E047B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A7C" w14:textId="77777777" w:rsidR="008E7A10" w:rsidRDefault="00E047B2">
            <w:pPr>
              <w:jc w:val="right"/>
              <w:textAlignment w:val="bottom"/>
            </w:pPr>
            <w:r>
              <w:rPr>
                <w:rFonts w:ascii="Arial" w:eastAsia="宋体" w:hAnsi="Arial" w:cs="Arial"/>
                <w:color w:val="000000"/>
                <w:sz w:val="17"/>
                <w:szCs w:val="17"/>
              </w:rPr>
              <w:t>123 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A7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7E" w14:textId="77777777" w:rsidR="008E7A10" w:rsidRDefault="00E047B2">
            <w:pPr>
              <w:jc w:val="right"/>
              <w:textAlignment w:val="bottom"/>
            </w:pPr>
            <w:r>
              <w:rPr>
                <w:rFonts w:ascii="Arial" w:eastAsia="宋体" w:hAnsi="Arial" w:cs="Arial"/>
                <w:color w:val="000000"/>
                <w:sz w:val="17"/>
                <w:szCs w:val="17"/>
              </w:rPr>
              <w:t>104 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7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80" w14:textId="77777777" w:rsidR="008E7A10" w:rsidRDefault="00E047B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81"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82"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83"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A84"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A85" w14:textId="77777777" w:rsidR="008E7A10" w:rsidRDefault="00E047B2">
            <w:pPr>
              <w:jc w:val="right"/>
              <w:textAlignment w:val="bottom"/>
            </w:pPr>
            <w:r>
              <w:rPr>
                <w:rFonts w:ascii="Arial" w:eastAsia="宋体" w:hAnsi="Arial" w:cs="Arial"/>
                <w:color w:val="000000"/>
                <w:sz w:val="17"/>
                <w:szCs w:val="17"/>
              </w:rPr>
              <w:t>260 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A8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87" w14:textId="77777777" w:rsidR="008E7A10" w:rsidRDefault="00E047B2">
            <w:pPr>
              <w:jc w:val="right"/>
              <w:textAlignment w:val="bottom"/>
            </w:pPr>
            <w:r>
              <w:rPr>
                <w:rFonts w:ascii="Arial" w:eastAsia="宋体" w:hAnsi="Arial" w:cs="Arial"/>
                <w:color w:val="000000"/>
                <w:sz w:val="17"/>
                <w:szCs w:val="17"/>
              </w:rPr>
              <w:t>250 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8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89"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8A"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8B"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8C" w14:textId="77777777" w:rsidR="008E7A10" w:rsidRDefault="00E047B2">
            <w:pPr>
              <w:jc w:val="right"/>
              <w:textAlignment w:val="bottom"/>
            </w:pPr>
            <w:r>
              <w:rPr>
                <w:rFonts w:ascii="Arial" w:eastAsia="宋体" w:hAnsi="Arial" w:cs="Arial"/>
                <w:color w:val="000000"/>
                <w:sz w:val="17"/>
                <w:szCs w:val="17"/>
              </w:rPr>
              <w:t>%</w:t>
            </w:r>
          </w:p>
        </w:tc>
      </w:tr>
      <w:tr w:rsidR="008E7A10" w14:paraId="746F1AA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8E"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A8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A90" w14:textId="77777777" w:rsidR="008E7A10" w:rsidRDefault="00E047B2">
            <w:pPr>
              <w:jc w:val="right"/>
              <w:textAlignment w:val="bottom"/>
            </w:pPr>
            <w:r>
              <w:rPr>
                <w:rFonts w:ascii="Arial" w:eastAsia="宋体" w:hAnsi="Arial" w:cs="Arial"/>
                <w:b/>
                <w:bCs/>
                <w:color w:val="000000"/>
                <w:sz w:val="17"/>
                <w:szCs w:val="17"/>
              </w:rPr>
              <w:t>2,958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A91"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A9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A93" w14:textId="77777777" w:rsidR="008E7A10" w:rsidRDefault="00E047B2">
            <w:pPr>
              <w:jc w:val="right"/>
              <w:textAlignment w:val="bottom"/>
            </w:pPr>
            <w:r>
              <w:rPr>
                <w:rFonts w:ascii="Arial" w:eastAsia="宋体" w:hAnsi="Arial" w:cs="Arial"/>
                <w:b/>
                <w:bCs/>
                <w:color w:val="000000"/>
                <w:sz w:val="17"/>
                <w:szCs w:val="17"/>
              </w:rPr>
              <w:t>2,537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94"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A95" w14:textId="77777777" w:rsidR="008E7A10" w:rsidRDefault="00E047B2">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96"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A97" w14:textId="77777777" w:rsidR="008E7A10" w:rsidRDefault="00E047B2">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98"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A99"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A9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A9B" w14:textId="77777777" w:rsidR="008E7A10" w:rsidRDefault="00E047B2">
            <w:pPr>
              <w:jc w:val="right"/>
              <w:textAlignment w:val="bottom"/>
            </w:pPr>
            <w:r>
              <w:rPr>
                <w:rFonts w:ascii="Arial" w:eastAsia="宋体" w:hAnsi="Arial" w:cs="Arial"/>
                <w:b/>
                <w:bCs/>
                <w:color w:val="000000"/>
                <w:sz w:val="17"/>
                <w:szCs w:val="17"/>
              </w:rPr>
              <w:t>5,868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A9C"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A9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A9E" w14:textId="77777777" w:rsidR="008E7A10" w:rsidRDefault="00E047B2">
            <w:pPr>
              <w:jc w:val="right"/>
              <w:textAlignment w:val="bottom"/>
            </w:pPr>
            <w:r>
              <w:rPr>
                <w:rFonts w:ascii="Arial" w:eastAsia="宋体" w:hAnsi="Arial" w:cs="Arial"/>
                <w:b/>
                <w:bCs/>
                <w:color w:val="000000"/>
                <w:sz w:val="17"/>
                <w:szCs w:val="17"/>
              </w:rPr>
              <w:t>5,310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9F"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AA0" w14:textId="77777777" w:rsidR="008E7A10" w:rsidRDefault="00E047B2">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A1"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AA2" w14:textId="77777777" w:rsidR="008E7A10" w:rsidRDefault="00E047B2">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A3" w14:textId="77777777" w:rsidR="008E7A10" w:rsidRDefault="00E047B2">
            <w:pPr>
              <w:jc w:val="right"/>
              <w:textAlignment w:val="bottom"/>
            </w:pPr>
            <w:r>
              <w:rPr>
                <w:rFonts w:ascii="Arial" w:eastAsia="宋体" w:hAnsi="Arial" w:cs="Arial"/>
                <w:b/>
                <w:bCs/>
                <w:color w:val="000000"/>
                <w:sz w:val="17"/>
                <w:szCs w:val="17"/>
              </w:rPr>
              <w:t>%</w:t>
            </w:r>
          </w:p>
        </w:tc>
      </w:tr>
      <w:tr w:rsidR="008E7A10" w14:paraId="746F1AA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A5"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746F1AA6" w14:textId="77777777" w:rsidR="008E7A10" w:rsidRDefault="00E047B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A7" w14:textId="77777777" w:rsidR="008E7A10" w:rsidRDefault="00E047B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tcPr>
          <w:p w14:paraId="746F1AA8"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A9"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AA"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AA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A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A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AAE" w14:textId="77777777" w:rsidR="008E7A10" w:rsidRDefault="008E7A10">
            <w:pPr>
              <w:rPr>
                <w:rFonts w:ascii="宋体"/>
              </w:rPr>
            </w:pPr>
          </w:p>
        </w:tc>
      </w:tr>
      <w:tr w:rsidR="008E7A10" w14:paraId="746F1AC6"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AB0" w14:textId="77777777" w:rsidR="008E7A10" w:rsidRDefault="00E047B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AB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AB2" w14:textId="77777777" w:rsidR="008E7A10" w:rsidRDefault="00E047B2">
            <w:pPr>
              <w:jc w:val="right"/>
              <w:textAlignment w:val="bottom"/>
            </w:pPr>
            <w:r>
              <w:rPr>
                <w:rFonts w:ascii="Arial" w:eastAsia="宋体" w:hAnsi="Arial" w:cs="Arial"/>
                <w:color w:val="000000"/>
                <w:sz w:val="17"/>
                <w:szCs w:val="17"/>
              </w:rPr>
              <w:t>1,985 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AB3"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AB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AB5" w14:textId="77777777" w:rsidR="008E7A10" w:rsidRDefault="00E047B2">
            <w:pPr>
              <w:jc w:val="right"/>
              <w:textAlignment w:val="bottom"/>
            </w:pPr>
            <w:r>
              <w:rPr>
                <w:rFonts w:ascii="Arial" w:eastAsia="宋体" w:hAnsi="Arial" w:cs="Arial"/>
                <w:color w:val="000000"/>
                <w:sz w:val="17"/>
                <w:szCs w:val="17"/>
              </w:rPr>
              <w:t>1,794 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B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B7"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B8"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B9" w14:textId="77777777" w:rsidR="008E7A10" w:rsidRDefault="00E047B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BA"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ABB"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AB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ABD" w14:textId="77777777" w:rsidR="008E7A10" w:rsidRDefault="00E047B2">
            <w:pPr>
              <w:jc w:val="right"/>
              <w:textAlignment w:val="bottom"/>
            </w:pPr>
            <w:r>
              <w:rPr>
                <w:rFonts w:ascii="Arial" w:eastAsia="宋体" w:hAnsi="Arial" w:cs="Arial"/>
                <w:color w:val="000000"/>
                <w:sz w:val="17"/>
                <w:szCs w:val="17"/>
              </w:rPr>
              <w:t>3,958 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ABE"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AB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AC0" w14:textId="77777777" w:rsidR="008E7A10" w:rsidRDefault="00E047B2">
            <w:pPr>
              <w:jc w:val="right"/>
              <w:textAlignment w:val="bottom"/>
            </w:pPr>
            <w:r>
              <w:rPr>
                <w:rFonts w:ascii="Arial" w:eastAsia="宋体" w:hAnsi="Arial" w:cs="Arial"/>
                <w:color w:val="000000"/>
                <w:sz w:val="17"/>
                <w:szCs w:val="17"/>
              </w:rPr>
              <w:t>3,836 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C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C2"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C3"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C4"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C5" w14:textId="77777777" w:rsidR="008E7A10" w:rsidRDefault="00E047B2">
            <w:pPr>
              <w:jc w:val="right"/>
              <w:textAlignment w:val="bottom"/>
            </w:pPr>
            <w:r>
              <w:rPr>
                <w:rFonts w:ascii="Arial" w:eastAsia="宋体" w:hAnsi="Arial" w:cs="Arial"/>
                <w:color w:val="000000"/>
                <w:sz w:val="17"/>
                <w:szCs w:val="17"/>
              </w:rPr>
              <w:t>%</w:t>
            </w:r>
          </w:p>
        </w:tc>
      </w:tr>
      <w:tr w:rsidR="008E7A10" w14:paraId="746F1AD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AC7" w14:textId="77777777" w:rsidR="008E7A10" w:rsidRDefault="00E047B2">
            <w:pPr>
              <w:textAlignment w:val="bottom"/>
            </w:pPr>
            <w:r>
              <w:rPr>
                <w:rFonts w:ascii="Arial" w:eastAsia="宋体" w:hAnsi="Arial" w:cs="Arial"/>
                <w:color w:val="000000"/>
                <w:sz w:val="17"/>
                <w:szCs w:val="17"/>
              </w:rPr>
              <w:t xml:space="preserve">Sales </w:t>
            </w:r>
            <w:r>
              <w:rPr>
                <w:rFonts w:ascii="Arial" w:eastAsia="宋体" w:hAnsi="Arial" w:cs="Arial"/>
                <w:color w:val="000000"/>
                <w:sz w:val="17"/>
                <w:szCs w:val="17"/>
              </w:rPr>
              <w:t>through 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AC8" w14:textId="77777777" w:rsidR="008E7A10" w:rsidRDefault="00E047B2">
            <w:pPr>
              <w:jc w:val="right"/>
              <w:textAlignment w:val="bottom"/>
            </w:pPr>
            <w:r>
              <w:rPr>
                <w:rFonts w:ascii="Arial" w:eastAsia="宋体" w:hAnsi="Arial" w:cs="Arial"/>
                <w:color w:val="000000"/>
                <w:sz w:val="17"/>
                <w:szCs w:val="17"/>
              </w:rPr>
              <w:t>973 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AC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CA" w14:textId="77777777" w:rsidR="008E7A10" w:rsidRDefault="00E047B2">
            <w:pPr>
              <w:jc w:val="right"/>
              <w:textAlignment w:val="bottom"/>
            </w:pPr>
            <w:r>
              <w:rPr>
                <w:rFonts w:ascii="Arial" w:eastAsia="宋体" w:hAnsi="Arial" w:cs="Arial"/>
                <w:color w:val="000000"/>
                <w:sz w:val="17"/>
                <w:szCs w:val="17"/>
              </w:rPr>
              <w:t>743 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C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CC" w14:textId="77777777" w:rsidR="008E7A10" w:rsidRDefault="00E047B2">
            <w:pPr>
              <w:jc w:val="right"/>
              <w:textAlignment w:val="bottom"/>
            </w:pPr>
            <w:r>
              <w:rPr>
                <w:rFonts w:ascii="Arial" w:eastAsia="宋体" w:hAnsi="Arial" w:cs="Arial"/>
                <w:color w:val="000000"/>
                <w:sz w:val="17"/>
                <w:szCs w:val="17"/>
              </w:rPr>
              <w:t>31 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CD"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CE" w14:textId="77777777" w:rsidR="008E7A10" w:rsidRDefault="00E047B2">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CF"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AD0"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AD1" w14:textId="77777777" w:rsidR="008E7A10" w:rsidRDefault="00E047B2">
            <w:pPr>
              <w:jc w:val="right"/>
              <w:textAlignment w:val="bottom"/>
            </w:pPr>
            <w:r>
              <w:rPr>
                <w:rFonts w:ascii="Arial" w:eastAsia="宋体" w:hAnsi="Arial" w:cs="Arial"/>
                <w:color w:val="000000"/>
                <w:sz w:val="17"/>
                <w:szCs w:val="17"/>
              </w:rPr>
              <w:t>1,910 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AD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D3" w14:textId="77777777" w:rsidR="008E7A10" w:rsidRDefault="00E047B2">
            <w:pPr>
              <w:jc w:val="right"/>
              <w:textAlignment w:val="bottom"/>
            </w:pPr>
            <w:r>
              <w:rPr>
                <w:rFonts w:ascii="Arial" w:eastAsia="宋体" w:hAnsi="Arial" w:cs="Arial"/>
                <w:color w:val="000000"/>
                <w:sz w:val="17"/>
                <w:szCs w:val="17"/>
              </w:rPr>
              <w:t>1,474 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D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D5" w14:textId="77777777" w:rsidR="008E7A10" w:rsidRDefault="00E047B2">
            <w:pPr>
              <w:jc w:val="right"/>
              <w:textAlignment w:val="bottom"/>
            </w:pPr>
            <w:r>
              <w:rPr>
                <w:rFonts w:ascii="Arial" w:eastAsia="宋体" w:hAnsi="Arial" w:cs="Arial"/>
                <w:color w:val="000000"/>
                <w:sz w:val="17"/>
                <w:szCs w:val="17"/>
              </w:rPr>
              <w:t>30 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D6"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AD7" w14:textId="77777777" w:rsidR="008E7A10" w:rsidRDefault="00E047B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AD8" w14:textId="77777777" w:rsidR="008E7A10" w:rsidRDefault="00E047B2">
            <w:pPr>
              <w:jc w:val="right"/>
              <w:textAlignment w:val="bottom"/>
            </w:pPr>
            <w:r>
              <w:rPr>
                <w:rFonts w:ascii="Arial" w:eastAsia="宋体" w:hAnsi="Arial" w:cs="Arial"/>
                <w:color w:val="000000"/>
                <w:sz w:val="17"/>
                <w:szCs w:val="17"/>
              </w:rPr>
              <w:t>%</w:t>
            </w:r>
          </w:p>
        </w:tc>
      </w:tr>
      <w:tr w:rsidR="008E7A10" w14:paraId="746F1AF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ADA"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AD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ADC" w14:textId="77777777" w:rsidR="008E7A10" w:rsidRDefault="00E047B2">
            <w:pPr>
              <w:jc w:val="right"/>
              <w:textAlignment w:val="bottom"/>
            </w:pPr>
            <w:r>
              <w:rPr>
                <w:rFonts w:ascii="Arial" w:eastAsia="宋体" w:hAnsi="Arial" w:cs="Arial"/>
                <w:b/>
                <w:bCs/>
                <w:color w:val="000000"/>
                <w:sz w:val="17"/>
                <w:szCs w:val="17"/>
              </w:rPr>
              <w:t>2,958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ADD"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AD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ADF" w14:textId="77777777" w:rsidR="008E7A10" w:rsidRDefault="00E047B2">
            <w:pPr>
              <w:jc w:val="right"/>
              <w:textAlignment w:val="bottom"/>
            </w:pPr>
            <w:r>
              <w:rPr>
                <w:rFonts w:ascii="Arial" w:eastAsia="宋体" w:hAnsi="Arial" w:cs="Arial"/>
                <w:b/>
                <w:bCs/>
                <w:color w:val="000000"/>
                <w:sz w:val="17"/>
                <w:szCs w:val="17"/>
              </w:rPr>
              <w:t>2,537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E0"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AE1" w14:textId="77777777" w:rsidR="008E7A10" w:rsidRDefault="00E047B2">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E2"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AE3" w14:textId="77777777" w:rsidR="008E7A10" w:rsidRDefault="00E047B2">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E4"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AE5"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AE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AE7" w14:textId="77777777" w:rsidR="008E7A10" w:rsidRDefault="00E047B2">
            <w:pPr>
              <w:jc w:val="right"/>
              <w:textAlignment w:val="bottom"/>
            </w:pPr>
            <w:r>
              <w:rPr>
                <w:rFonts w:ascii="Arial" w:eastAsia="宋体" w:hAnsi="Arial" w:cs="Arial"/>
                <w:b/>
                <w:bCs/>
                <w:color w:val="000000"/>
                <w:sz w:val="17"/>
                <w:szCs w:val="17"/>
              </w:rPr>
              <w:t>5,868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AE8"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AE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AEA" w14:textId="77777777" w:rsidR="008E7A10" w:rsidRDefault="00E047B2">
            <w:pPr>
              <w:jc w:val="right"/>
              <w:textAlignment w:val="bottom"/>
            </w:pPr>
            <w:r>
              <w:rPr>
                <w:rFonts w:ascii="Arial" w:eastAsia="宋体" w:hAnsi="Arial" w:cs="Arial"/>
                <w:b/>
                <w:bCs/>
                <w:color w:val="000000"/>
                <w:sz w:val="17"/>
                <w:szCs w:val="17"/>
              </w:rPr>
              <w:t>5,310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EB"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AEC" w14:textId="77777777" w:rsidR="008E7A10" w:rsidRDefault="00E047B2">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ED"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AEE" w14:textId="77777777" w:rsidR="008E7A10" w:rsidRDefault="00E047B2">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AEF" w14:textId="77777777" w:rsidR="008E7A10" w:rsidRDefault="00E047B2">
            <w:pPr>
              <w:jc w:val="right"/>
              <w:textAlignment w:val="bottom"/>
            </w:pPr>
            <w:r>
              <w:rPr>
                <w:rFonts w:ascii="Arial" w:eastAsia="宋体" w:hAnsi="Arial" w:cs="Arial"/>
                <w:b/>
                <w:bCs/>
                <w:color w:val="000000"/>
                <w:sz w:val="17"/>
                <w:szCs w:val="17"/>
              </w:rPr>
              <w:t>%</w:t>
            </w:r>
          </w:p>
        </w:tc>
      </w:tr>
      <w:tr w:rsidR="008E7A10" w14:paraId="746F1B0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AF1" w14:textId="77777777" w:rsidR="008E7A10" w:rsidRDefault="00E047B2">
            <w:pPr>
              <w:textAlignment w:val="bottom"/>
            </w:pPr>
            <w:r>
              <w:rPr>
                <w:rFonts w:ascii="Arial" w:eastAsia="宋体" w:hAnsi="Arial" w:cs="Arial"/>
                <w:b/>
                <w:bCs/>
                <w:color w:val="000000"/>
                <w:sz w:val="17"/>
                <w:szCs w:val="17"/>
              </w:rPr>
              <w:t>EARNINGS BEFORE INT</w:t>
            </w:r>
            <w:r>
              <w:rPr>
                <w:rFonts w:ascii="Arial" w:eastAsia="宋体" w:hAnsi="Arial" w:cs="Arial"/>
                <w:b/>
                <w:bCs/>
                <w:color w:val="000000"/>
                <w:sz w:val="17"/>
                <w:szCs w:val="17"/>
              </w:rPr>
              <w: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AF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AF3" w14:textId="77777777" w:rsidR="008E7A10" w:rsidRDefault="00E047B2">
            <w:pPr>
              <w:jc w:val="right"/>
              <w:textAlignment w:val="bottom"/>
            </w:pPr>
            <w:r>
              <w:rPr>
                <w:rFonts w:ascii="Arial" w:eastAsia="宋体" w:hAnsi="Arial" w:cs="Arial"/>
                <w:b/>
                <w:bCs/>
                <w:color w:val="000000"/>
                <w:sz w:val="17"/>
                <w:szCs w:val="17"/>
              </w:rPr>
              <w:t>660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AF4"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AF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AF6" w14:textId="77777777" w:rsidR="008E7A10" w:rsidRDefault="00E047B2">
            <w:pPr>
              <w:jc w:val="right"/>
              <w:textAlignment w:val="bottom"/>
            </w:pPr>
            <w:r>
              <w:rPr>
                <w:rFonts w:ascii="Arial" w:eastAsia="宋体" w:hAnsi="Arial" w:cs="Arial"/>
                <w:b/>
                <w:bCs/>
                <w:color w:val="000000"/>
                <w:sz w:val="17"/>
                <w:szCs w:val="17"/>
              </w:rPr>
              <w:t>510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AF7"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AF8" w14:textId="77777777" w:rsidR="008E7A10" w:rsidRDefault="00E047B2">
            <w:pPr>
              <w:jc w:val="right"/>
              <w:textAlignment w:val="bottom"/>
            </w:pPr>
            <w:r>
              <w:rPr>
                <w:rFonts w:ascii="Arial" w:eastAsia="宋体" w:hAnsi="Arial" w:cs="Arial"/>
                <w:b/>
                <w:bCs/>
                <w:color w:val="000000"/>
                <w:sz w:val="17"/>
                <w:szCs w:val="17"/>
              </w:rPr>
              <w:t>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AF9"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AFA" w14:textId="77777777" w:rsidR="008E7A10" w:rsidRDefault="008E7A10">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AFB"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AF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AFD" w14:textId="77777777" w:rsidR="008E7A10" w:rsidRDefault="00E047B2">
            <w:pPr>
              <w:jc w:val="right"/>
              <w:textAlignment w:val="bottom"/>
            </w:pPr>
            <w:r>
              <w:rPr>
                <w:rFonts w:ascii="Arial" w:eastAsia="宋体" w:hAnsi="Arial" w:cs="Arial"/>
                <w:b/>
                <w:bCs/>
                <w:color w:val="000000"/>
                <w:sz w:val="17"/>
                <w:szCs w:val="17"/>
              </w:rPr>
              <w:t>1,352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AFE"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AF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B00" w14:textId="77777777" w:rsidR="008E7A10" w:rsidRDefault="00E047B2">
            <w:pPr>
              <w:jc w:val="right"/>
              <w:textAlignment w:val="bottom"/>
            </w:pPr>
            <w:r>
              <w:rPr>
                <w:rFonts w:ascii="Arial" w:eastAsia="宋体" w:hAnsi="Arial" w:cs="Arial"/>
                <w:b/>
                <w:bCs/>
                <w:color w:val="000000"/>
                <w:sz w:val="17"/>
                <w:szCs w:val="17"/>
              </w:rPr>
              <w:t>1,119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B01"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B02" w14:textId="77777777" w:rsidR="008E7A10" w:rsidRDefault="00E047B2">
            <w:pPr>
              <w:jc w:val="right"/>
              <w:textAlignment w:val="bottom"/>
            </w:pPr>
            <w:r>
              <w:rPr>
                <w:rFonts w:ascii="Arial" w:eastAsia="宋体" w:hAnsi="Arial" w:cs="Arial"/>
                <w:b/>
                <w:bCs/>
                <w:color w:val="000000"/>
                <w:sz w:val="17"/>
                <w:szCs w:val="17"/>
              </w:rPr>
              <w:t>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B03"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B04" w14:textId="77777777" w:rsidR="008E7A10" w:rsidRDefault="008E7A10">
            <w:pPr>
              <w:rPr>
                <w:rFonts w:ascii="宋体"/>
              </w:rPr>
            </w:pPr>
          </w:p>
        </w:tc>
      </w:tr>
    </w:tbl>
    <w:p w14:paraId="746F1B06" w14:textId="77777777" w:rsidR="008E7A10" w:rsidRDefault="00E047B2">
      <w:pPr>
        <w:spacing w:before="120" w:after="120"/>
      </w:pPr>
      <w:r>
        <w:rPr>
          <w:rFonts w:ascii="Arial" w:eastAsia="宋体" w:hAnsi="Arial" w:cs="Arial"/>
          <w:color w:val="E87722"/>
          <w:sz w:val="17"/>
          <w:szCs w:val="17"/>
        </w:rPr>
        <w:t>34</w:t>
      </w:r>
      <w:r>
        <w:rPr>
          <w:rFonts w:ascii="sans-serif" w:eastAsia="sans-serif" w:hAnsi="sans-serif" w:cs="sans-serif"/>
          <w:color w:val="000000"/>
          <w:sz w:val="17"/>
          <w:szCs w:val="17"/>
        </w:rPr>
        <w:t xml:space="preserve"> </w:t>
      </w:r>
    </w:p>
    <w:p w14:paraId="746F1B07" w14:textId="77777777" w:rsidR="008E7A10" w:rsidRDefault="00E047B2">
      <w:r>
        <w:pict w14:anchorId="746F202A">
          <v:rect id="_x0000_i1060" style="width:415.3pt;height:1.5pt" o:hralign="center" o:hrstd="t" o:hr="t" fillcolor="#a0a0a0" stroked="f"/>
        </w:pict>
      </w:r>
    </w:p>
    <w:p w14:paraId="746F1B08" w14:textId="77777777" w:rsidR="008E7A10" w:rsidRDefault="008E7A10"/>
    <w:p w14:paraId="746F1B09" w14:textId="77777777" w:rsidR="008E7A10" w:rsidRDefault="00E047B2">
      <w:hyperlink r:id="rId105" w:anchor="i31a624617c6c41b38f8f700fa0df5bde_7" w:history="1">
        <w:r>
          <w:rPr>
            <w:rStyle w:val="a5"/>
            <w:rFonts w:ascii="sans-serif" w:eastAsia="sans-serif" w:hAnsi="sans-serif" w:cs="sans-serif"/>
            <w:sz w:val="17"/>
            <w:szCs w:val="17"/>
          </w:rPr>
          <w:t>Table of Contents</w:t>
        </w:r>
      </w:hyperlink>
    </w:p>
    <w:p w14:paraId="746F1B0A" w14:textId="77777777" w:rsidR="008E7A10" w:rsidRDefault="008E7A10"/>
    <w:p w14:paraId="746F1B0B" w14:textId="77777777" w:rsidR="008E7A10" w:rsidRDefault="00E047B2">
      <w:pPr>
        <w:spacing w:before="120"/>
      </w:pPr>
      <w:r>
        <w:rPr>
          <w:rFonts w:ascii="sans-serif" w:eastAsia="sans-serif" w:hAnsi="sans-serif" w:cs="sans-serif"/>
          <w:b/>
          <w:bCs/>
          <w:color w:val="808080"/>
          <w:sz w:val="22"/>
          <w:szCs w:val="22"/>
        </w:rPr>
        <w:t>SECOND QUARTER OF FISCAL 2021 COMPARED TO SECOND QUARTER OF FISCAL 2020</w:t>
      </w:r>
    </w:p>
    <w:p w14:paraId="746F1B0C" w14:textId="77777777" w:rsidR="008E7A10" w:rsidRDefault="00E047B2">
      <w:pPr>
        <w:spacing w:after="120"/>
      </w:pPr>
      <w:r>
        <w:rPr>
          <w:rFonts w:ascii="Arial" w:eastAsia="宋体" w:hAnsi="Arial" w:cs="Arial"/>
          <w:color w:val="000000"/>
          <w:sz w:val="17"/>
          <w:szCs w:val="17"/>
        </w:rPr>
        <w:t>On a currency-neutral basis, EMEA revenues for the second quarter of fiscal 2021 grew 12%, driven by higher revenues across most territories, led by UK &amp; Ireland, Central Europe and Northern Europe, which grew 32%, 21% and 7%, respectively. Revenues increa</w:t>
      </w:r>
      <w:r>
        <w:rPr>
          <w:rFonts w:ascii="Arial" w:eastAsia="宋体" w:hAnsi="Arial" w:cs="Arial"/>
          <w:color w:val="000000"/>
          <w:sz w:val="17"/>
          <w:szCs w:val="17"/>
        </w:rPr>
        <w:t xml:space="preserve">sed in all key categories, led by Sportswear, Football (Soccer) and the Jordan Brand. NIKE Direct revenues increased 25% driven by strong digital sales growth of 96%, partially offset by comparable store sales contraction of 20% primarily </w:t>
      </w:r>
      <w:r>
        <w:rPr>
          <w:rFonts w:ascii="Arial" w:eastAsia="宋体" w:hAnsi="Arial" w:cs="Arial"/>
          <w:color w:val="212529"/>
          <w:sz w:val="17"/>
          <w:szCs w:val="17"/>
        </w:rPr>
        <w:t>due to reduced ph</w:t>
      </w:r>
      <w:r>
        <w:rPr>
          <w:rFonts w:ascii="Arial" w:eastAsia="宋体" w:hAnsi="Arial" w:cs="Arial"/>
          <w:color w:val="212529"/>
          <w:sz w:val="17"/>
          <w:szCs w:val="17"/>
        </w:rPr>
        <w:t>ysical retail traffic, in part resulting from safety-related measures in response to COVID-19</w:t>
      </w:r>
      <w:r>
        <w:rPr>
          <w:rFonts w:ascii="Arial" w:eastAsia="宋体" w:hAnsi="Arial" w:cs="Arial"/>
          <w:color w:val="000000"/>
          <w:sz w:val="17"/>
          <w:szCs w:val="17"/>
        </w:rPr>
        <w:t>.</w:t>
      </w:r>
    </w:p>
    <w:p w14:paraId="746F1B0D" w14:textId="77777777" w:rsidR="008E7A10" w:rsidRDefault="00E047B2">
      <w:pPr>
        <w:spacing w:before="120" w:after="120"/>
      </w:pPr>
      <w:r>
        <w:rPr>
          <w:rFonts w:ascii="Arial" w:eastAsia="宋体" w:hAnsi="Arial" w:cs="Arial"/>
          <w:color w:val="000000"/>
          <w:sz w:val="17"/>
          <w:szCs w:val="17"/>
        </w:rPr>
        <w:t xml:space="preserve">Currency-neutral footwear revenues grew 8%, driven by higher revenues in nearly all key categories, led by the Jordan Brand, Training and Sportswear. Unit sales </w:t>
      </w:r>
      <w:r>
        <w:rPr>
          <w:rFonts w:ascii="Arial" w:eastAsia="宋体" w:hAnsi="Arial" w:cs="Arial"/>
          <w:color w:val="000000"/>
          <w:sz w:val="17"/>
          <w:szCs w:val="17"/>
        </w:rPr>
        <w:t>of footwear increased 9%, while lower ASP per pair reduced footwear revenues by approximately 1 percentage point, primarily due to unfavorable full-price mix.</w:t>
      </w:r>
    </w:p>
    <w:p w14:paraId="746F1B0E" w14:textId="77777777" w:rsidR="008E7A10" w:rsidRDefault="00E047B2">
      <w:pPr>
        <w:spacing w:before="120" w:after="120"/>
      </w:pPr>
      <w:r>
        <w:rPr>
          <w:rFonts w:ascii="Arial" w:eastAsia="宋体" w:hAnsi="Arial" w:cs="Arial"/>
          <w:color w:val="000000"/>
          <w:sz w:val="17"/>
          <w:szCs w:val="17"/>
        </w:rPr>
        <w:t>Currency-neutral apparel revenues increased 18% due to growth in most key categories, led by Foot</w:t>
      </w:r>
      <w:r>
        <w:rPr>
          <w:rFonts w:ascii="Arial" w:eastAsia="宋体" w:hAnsi="Arial" w:cs="Arial"/>
          <w:color w:val="000000"/>
          <w:sz w:val="17"/>
          <w:szCs w:val="17"/>
        </w:rPr>
        <w:t>ball (Soccer) and Sportswear. Unit sales of apparel increased 19%, while lower ASP per unit reduced apparel revenues by approximately 1 percentage point. Lower ASP per unit was primarily due to lower NIKE Direct ASP and a lower mix of NIKE Direct sales, as</w:t>
      </w:r>
      <w:r>
        <w:rPr>
          <w:rFonts w:ascii="Arial" w:eastAsia="宋体" w:hAnsi="Arial" w:cs="Arial"/>
          <w:color w:val="000000"/>
          <w:sz w:val="17"/>
          <w:szCs w:val="17"/>
        </w:rPr>
        <w:t xml:space="preserve"> well as lower off-price ASP, which more than offset higher full-price ASP, in part reflecting lower discounts.</w:t>
      </w:r>
    </w:p>
    <w:p w14:paraId="746F1B0F" w14:textId="77777777" w:rsidR="008E7A10" w:rsidRDefault="00E047B2">
      <w:r>
        <w:rPr>
          <w:rFonts w:ascii="Arial" w:eastAsia="宋体" w:hAnsi="Arial" w:cs="Arial"/>
          <w:color w:val="000000"/>
          <w:sz w:val="17"/>
          <w:szCs w:val="17"/>
        </w:rPr>
        <w:t>Reported EBIT increased 29% as higher revenues and lower selling and administrative expense more than offset a decline in gross margin. Gross ma</w:t>
      </w:r>
      <w:r>
        <w:rPr>
          <w:rFonts w:ascii="Arial" w:eastAsia="宋体" w:hAnsi="Arial" w:cs="Arial"/>
          <w:color w:val="000000"/>
          <w:sz w:val="17"/>
          <w:szCs w:val="17"/>
        </w:rPr>
        <w:t>rgin decreased approximately 200 basis points as lower product costs due to favorable product mix were more than offset by unfavorable changes in standard foreign currency exchange rates, lower margin in our NIKE Direct business, and a lower mix of full-pr</w:t>
      </w:r>
      <w:r>
        <w:rPr>
          <w:rFonts w:ascii="Arial" w:eastAsia="宋体" w:hAnsi="Arial" w:cs="Arial"/>
          <w:color w:val="000000"/>
          <w:sz w:val="17"/>
          <w:szCs w:val="17"/>
        </w:rPr>
        <w:t>ice sales. Lower margin in our NIKE Direct business was driven by higher promotions to reduce excess inventory due to COVID-19. Selling and administrative expense decreased due to lower demand creation expense, while operating overhead expense was flat. Lo</w:t>
      </w:r>
      <w:r>
        <w:rPr>
          <w:rFonts w:ascii="Arial" w:eastAsia="宋体" w:hAnsi="Arial" w:cs="Arial"/>
          <w:color w:val="000000"/>
          <w:sz w:val="17"/>
          <w:szCs w:val="17"/>
        </w:rPr>
        <w:t>wer demand creation expense was driven by lower advertising and marketing expense.</w:t>
      </w:r>
    </w:p>
    <w:p w14:paraId="746F1B10" w14:textId="77777777" w:rsidR="008E7A10" w:rsidRDefault="00E047B2">
      <w:pPr>
        <w:spacing w:before="120"/>
      </w:pPr>
      <w:r>
        <w:rPr>
          <w:rFonts w:ascii="sans-serif" w:eastAsia="sans-serif" w:hAnsi="sans-serif" w:cs="sans-serif"/>
          <w:b/>
          <w:bCs/>
          <w:color w:val="808080"/>
          <w:sz w:val="22"/>
          <w:szCs w:val="22"/>
        </w:rPr>
        <w:t>FIRST SIX MONTHS OF FISCAL 2021 COMPARED TO FIRST SIX MONTHS OF FISCAL 2020</w:t>
      </w:r>
    </w:p>
    <w:p w14:paraId="746F1B11" w14:textId="77777777" w:rsidR="008E7A10" w:rsidRDefault="00E047B2">
      <w:pPr>
        <w:spacing w:after="120"/>
      </w:pPr>
      <w:r>
        <w:rPr>
          <w:rFonts w:ascii="Arial" w:eastAsia="宋体" w:hAnsi="Arial" w:cs="Arial"/>
          <w:color w:val="000000"/>
          <w:sz w:val="17"/>
          <w:szCs w:val="17"/>
        </w:rPr>
        <w:t>On a currency-neutral basis, EMEA revenues for the first six months of fiscal 2021 grew 8%, drive</w:t>
      </w:r>
      <w:r>
        <w:rPr>
          <w:rFonts w:ascii="Arial" w:eastAsia="宋体" w:hAnsi="Arial" w:cs="Arial"/>
          <w:color w:val="000000"/>
          <w:sz w:val="17"/>
          <w:szCs w:val="17"/>
        </w:rPr>
        <w:t xml:space="preserve">n by higher revenues across most territories, led by UK &amp; Ireland and Central Europe, which grew 31% and 17%, respectively. Revenues increased in all key categories, led by Sportswear, the Jordan Brand and Football (Soccer). NIKE Direct revenues increased </w:t>
      </w:r>
      <w:r>
        <w:rPr>
          <w:rFonts w:ascii="Arial" w:eastAsia="宋体" w:hAnsi="Arial" w:cs="Arial"/>
          <w:color w:val="000000"/>
          <w:sz w:val="17"/>
          <w:szCs w:val="17"/>
        </w:rPr>
        <w:t xml:space="preserve">26% driven by digital sales growth of 105%, partially offset by a 15% decline in comparable store sales primarily </w:t>
      </w:r>
      <w:r>
        <w:rPr>
          <w:rFonts w:ascii="Arial" w:eastAsia="宋体" w:hAnsi="Arial" w:cs="Arial"/>
          <w:color w:val="212529"/>
          <w:sz w:val="17"/>
          <w:szCs w:val="17"/>
        </w:rPr>
        <w:t>due to reduced physical retail traffic, in part resulting from safety-related measures in response to COVID-19</w:t>
      </w:r>
      <w:r>
        <w:rPr>
          <w:rFonts w:ascii="Arial" w:eastAsia="宋体" w:hAnsi="Arial" w:cs="Arial"/>
          <w:color w:val="000000"/>
          <w:sz w:val="17"/>
          <w:szCs w:val="17"/>
        </w:rPr>
        <w:t>.</w:t>
      </w:r>
    </w:p>
    <w:p w14:paraId="746F1B12" w14:textId="77777777" w:rsidR="008E7A10" w:rsidRDefault="00E047B2">
      <w:pPr>
        <w:spacing w:before="120" w:after="120"/>
      </w:pPr>
      <w:r>
        <w:rPr>
          <w:rFonts w:ascii="Arial" w:eastAsia="宋体" w:hAnsi="Arial" w:cs="Arial"/>
          <w:color w:val="000000"/>
          <w:sz w:val="17"/>
          <w:szCs w:val="17"/>
        </w:rPr>
        <w:t>Currency-neutral footwear reve</w:t>
      </w:r>
      <w:r>
        <w:rPr>
          <w:rFonts w:ascii="Arial" w:eastAsia="宋体" w:hAnsi="Arial" w:cs="Arial"/>
          <w:color w:val="000000"/>
          <w:sz w:val="17"/>
          <w:szCs w:val="17"/>
        </w:rPr>
        <w:t>nues grew 5%, driven by higher revenues in nearly all key categories, led by the Jordan Brand. Unit sales of footwear increased 1% and higher ASP per pair contributed approximately 4 percentage points of footwear revenue growth resulting from higher full-p</w:t>
      </w:r>
      <w:r>
        <w:rPr>
          <w:rFonts w:ascii="Arial" w:eastAsia="宋体" w:hAnsi="Arial" w:cs="Arial"/>
          <w:color w:val="000000"/>
          <w:sz w:val="17"/>
          <w:szCs w:val="17"/>
        </w:rPr>
        <w:t>rice ASP.</w:t>
      </w:r>
    </w:p>
    <w:p w14:paraId="746F1B13" w14:textId="77777777" w:rsidR="008E7A10" w:rsidRDefault="00E047B2">
      <w:pPr>
        <w:spacing w:before="120" w:after="120"/>
      </w:pPr>
      <w:r>
        <w:rPr>
          <w:rFonts w:ascii="Arial" w:eastAsia="宋体" w:hAnsi="Arial" w:cs="Arial"/>
          <w:color w:val="000000"/>
          <w:sz w:val="17"/>
          <w:szCs w:val="17"/>
        </w:rPr>
        <w:t>Currency-neutral apparel revenues increased 15% due to growth in all key categories, led by Football (Soccer) and Sportswear. Unit sales of apparel increased 14% and higher ASP per unit contributed approximately 1 percentage point of apparel reve</w:t>
      </w:r>
      <w:r>
        <w:rPr>
          <w:rFonts w:ascii="Arial" w:eastAsia="宋体" w:hAnsi="Arial" w:cs="Arial"/>
          <w:color w:val="000000"/>
          <w:sz w:val="17"/>
          <w:szCs w:val="17"/>
        </w:rPr>
        <w:t>nue growth. Higher ASP per unit was primarily due to higher full-price ASP, in part reflecting lower discounts.</w:t>
      </w:r>
    </w:p>
    <w:p w14:paraId="746F1B14" w14:textId="77777777" w:rsidR="008E7A10" w:rsidRDefault="00E047B2">
      <w:pPr>
        <w:spacing w:before="120" w:after="120"/>
      </w:pPr>
      <w:r>
        <w:rPr>
          <w:rFonts w:ascii="Arial" w:eastAsia="宋体" w:hAnsi="Arial" w:cs="Arial"/>
          <w:color w:val="000000"/>
          <w:sz w:val="17"/>
          <w:szCs w:val="17"/>
        </w:rPr>
        <w:t>Reported EBIT increased 21% for the first six months of fiscal 2021 as higher revenues and lower selling and administrative expense more than of</w:t>
      </w:r>
      <w:r>
        <w:rPr>
          <w:rFonts w:ascii="Arial" w:eastAsia="宋体" w:hAnsi="Arial" w:cs="Arial"/>
          <w:color w:val="000000"/>
          <w:sz w:val="17"/>
          <w:szCs w:val="17"/>
        </w:rPr>
        <w:t>fset a decline in gross margin. Gross margin decreased approximately 290 basis points as lower NIKE Direct margins driven by higher promotions to reduce excess inventory due to COVID-19, unfavorable changes in standard foreign currency exchange rates and a</w:t>
      </w:r>
      <w:r>
        <w:rPr>
          <w:rFonts w:ascii="Arial" w:eastAsia="宋体" w:hAnsi="Arial" w:cs="Arial"/>
          <w:color w:val="000000"/>
          <w:sz w:val="17"/>
          <w:szCs w:val="17"/>
        </w:rPr>
        <w:t xml:space="preserve"> lower mix of full-price sales, more than offset lower product costs. Selling and administrative expense decreased due to lower demand creation and operating overhead expense. The decrease in demand creation expense was driven by lower advertising and mark</w:t>
      </w:r>
      <w:r>
        <w:rPr>
          <w:rFonts w:ascii="Arial" w:eastAsia="宋体" w:hAnsi="Arial" w:cs="Arial"/>
          <w:color w:val="000000"/>
          <w:sz w:val="17"/>
          <w:szCs w:val="17"/>
        </w:rPr>
        <w:t>eting costs, as well as lower sports marketing expense. Lower operating overhead expense was primarily due to lower travel and related expenses, partially offset by increases in professional services costs.</w:t>
      </w:r>
    </w:p>
    <w:p w14:paraId="746F1B15" w14:textId="77777777" w:rsidR="008E7A10" w:rsidRDefault="00E047B2">
      <w:pPr>
        <w:spacing w:before="120" w:after="120"/>
        <w:jc w:val="right"/>
      </w:pPr>
      <w:r>
        <w:rPr>
          <w:rFonts w:ascii="Arial" w:eastAsia="宋体" w:hAnsi="Arial" w:cs="Arial"/>
          <w:color w:val="E87722"/>
          <w:sz w:val="17"/>
          <w:szCs w:val="17"/>
        </w:rPr>
        <w:t>35</w:t>
      </w:r>
    </w:p>
    <w:p w14:paraId="746F1B16" w14:textId="77777777" w:rsidR="008E7A10" w:rsidRDefault="00E047B2">
      <w:r>
        <w:pict w14:anchorId="746F202B">
          <v:rect id="_x0000_i1061" style="width:415.3pt;height:1.5pt" o:hralign="center" o:hrstd="t" o:hr="t" fillcolor="#a0a0a0" stroked="f"/>
        </w:pict>
      </w:r>
    </w:p>
    <w:p w14:paraId="746F1B17" w14:textId="77777777" w:rsidR="008E7A10" w:rsidRDefault="008E7A10"/>
    <w:p w14:paraId="746F1B18" w14:textId="77777777" w:rsidR="008E7A10" w:rsidRDefault="00E047B2">
      <w:hyperlink r:id="rId106" w:anchor="i31a624617c6c41b38f8f700fa0df5bde_7" w:history="1">
        <w:r>
          <w:rPr>
            <w:rStyle w:val="a5"/>
            <w:rFonts w:ascii="sans-serif" w:eastAsia="sans-serif" w:hAnsi="sans-serif" w:cs="sans-serif"/>
            <w:sz w:val="17"/>
            <w:szCs w:val="17"/>
          </w:rPr>
          <w:t>Table of Contents</w:t>
        </w:r>
      </w:hyperlink>
    </w:p>
    <w:p w14:paraId="746F1B19" w14:textId="77777777" w:rsidR="008E7A10" w:rsidRDefault="008E7A10"/>
    <w:p w14:paraId="746F1B1A" w14:textId="77777777" w:rsidR="008E7A10" w:rsidRDefault="00E047B2">
      <w:pPr>
        <w:spacing w:before="240" w:after="120"/>
      </w:pPr>
      <w:r>
        <w:rPr>
          <w:rFonts w:ascii="sans-serif" w:eastAsia="sans-serif" w:hAnsi="sans-serif" w:cs="sans-serif"/>
          <w:b/>
          <w:bCs/>
          <w:color w:val="000000"/>
          <w:sz w:val="28"/>
          <w:szCs w:val="28"/>
        </w:rPr>
        <w:t>GREATER CHINA</w:t>
      </w:r>
    </w:p>
    <w:tbl>
      <w:tblPr>
        <w:tblW w:w="5000" w:type="pct"/>
        <w:tblCellMar>
          <w:top w:w="15" w:type="dxa"/>
          <w:left w:w="15" w:type="dxa"/>
          <w:bottom w:w="15" w:type="dxa"/>
          <w:right w:w="15" w:type="dxa"/>
        </w:tblCellMar>
        <w:tblLook w:val="04A0" w:firstRow="1" w:lastRow="0" w:firstColumn="1" w:lastColumn="0" w:noHBand="0" w:noVBand="1"/>
      </w:tblPr>
      <w:tblGrid>
        <w:gridCol w:w="43"/>
        <w:gridCol w:w="1983"/>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tblGrid>
      <w:tr w:rsidR="008E7A10" w14:paraId="746F1B39" w14:textId="77777777">
        <w:tc>
          <w:tcPr>
            <w:tcW w:w="50" w:type="pct"/>
            <w:shd w:val="clear" w:color="auto" w:fill="auto"/>
          </w:tcPr>
          <w:p w14:paraId="746F1B1B" w14:textId="77777777" w:rsidR="008E7A10" w:rsidRDefault="008E7A10">
            <w:pPr>
              <w:rPr>
                <w:rFonts w:ascii="宋体"/>
              </w:rPr>
            </w:pPr>
          </w:p>
        </w:tc>
        <w:tc>
          <w:tcPr>
            <w:tcW w:w="1387" w:type="pct"/>
            <w:shd w:val="clear" w:color="auto" w:fill="auto"/>
          </w:tcPr>
          <w:p w14:paraId="746F1B1C" w14:textId="77777777" w:rsidR="008E7A10" w:rsidRDefault="008E7A10">
            <w:pPr>
              <w:rPr>
                <w:rFonts w:ascii="宋体"/>
              </w:rPr>
            </w:pPr>
          </w:p>
        </w:tc>
        <w:tc>
          <w:tcPr>
            <w:tcW w:w="5" w:type="pct"/>
            <w:shd w:val="clear" w:color="auto" w:fill="auto"/>
          </w:tcPr>
          <w:p w14:paraId="746F1B1D" w14:textId="77777777" w:rsidR="008E7A10" w:rsidRDefault="008E7A10">
            <w:pPr>
              <w:rPr>
                <w:rFonts w:ascii="宋体"/>
              </w:rPr>
            </w:pPr>
          </w:p>
        </w:tc>
        <w:tc>
          <w:tcPr>
            <w:tcW w:w="50" w:type="pct"/>
            <w:shd w:val="clear" w:color="auto" w:fill="auto"/>
          </w:tcPr>
          <w:p w14:paraId="746F1B1E" w14:textId="77777777" w:rsidR="008E7A10" w:rsidRDefault="008E7A10">
            <w:pPr>
              <w:rPr>
                <w:rFonts w:ascii="宋体"/>
              </w:rPr>
            </w:pPr>
          </w:p>
        </w:tc>
        <w:tc>
          <w:tcPr>
            <w:tcW w:w="384" w:type="pct"/>
            <w:shd w:val="clear" w:color="auto" w:fill="auto"/>
          </w:tcPr>
          <w:p w14:paraId="746F1B1F" w14:textId="77777777" w:rsidR="008E7A10" w:rsidRDefault="008E7A10">
            <w:pPr>
              <w:rPr>
                <w:rFonts w:ascii="宋体"/>
              </w:rPr>
            </w:pPr>
          </w:p>
        </w:tc>
        <w:tc>
          <w:tcPr>
            <w:tcW w:w="5" w:type="pct"/>
            <w:shd w:val="clear" w:color="auto" w:fill="auto"/>
          </w:tcPr>
          <w:p w14:paraId="746F1B20" w14:textId="77777777" w:rsidR="008E7A10" w:rsidRDefault="008E7A10">
            <w:pPr>
              <w:rPr>
                <w:rFonts w:ascii="宋体"/>
              </w:rPr>
            </w:pPr>
          </w:p>
        </w:tc>
        <w:tc>
          <w:tcPr>
            <w:tcW w:w="50" w:type="pct"/>
            <w:shd w:val="clear" w:color="auto" w:fill="auto"/>
          </w:tcPr>
          <w:p w14:paraId="746F1B21" w14:textId="77777777" w:rsidR="008E7A10" w:rsidRDefault="008E7A10">
            <w:pPr>
              <w:rPr>
                <w:rFonts w:ascii="宋体"/>
              </w:rPr>
            </w:pPr>
          </w:p>
        </w:tc>
        <w:tc>
          <w:tcPr>
            <w:tcW w:w="384" w:type="pct"/>
            <w:shd w:val="clear" w:color="auto" w:fill="auto"/>
          </w:tcPr>
          <w:p w14:paraId="746F1B22" w14:textId="77777777" w:rsidR="008E7A10" w:rsidRDefault="008E7A10">
            <w:pPr>
              <w:rPr>
                <w:rFonts w:ascii="宋体"/>
              </w:rPr>
            </w:pPr>
          </w:p>
        </w:tc>
        <w:tc>
          <w:tcPr>
            <w:tcW w:w="5" w:type="pct"/>
            <w:shd w:val="clear" w:color="auto" w:fill="auto"/>
          </w:tcPr>
          <w:p w14:paraId="746F1B23" w14:textId="77777777" w:rsidR="008E7A10" w:rsidRDefault="008E7A10">
            <w:pPr>
              <w:rPr>
                <w:rFonts w:ascii="宋体"/>
              </w:rPr>
            </w:pPr>
          </w:p>
        </w:tc>
        <w:tc>
          <w:tcPr>
            <w:tcW w:w="50" w:type="pct"/>
            <w:shd w:val="clear" w:color="auto" w:fill="auto"/>
          </w:tcPr>
          <w:p w14:paraId="746F1B24" w14:textId="77777777" w:rsidR="008E7A10" w:rsidRDefault="008E7A10">
            <w:pPr>
              <w:rPr>
                <w:rFonts w:ascii="宋体"/>
              </w:rPr>
            </w:pPr>
          </w:p>
        </w:tc>
        <w:tc>
          <w:tcPr>
            <w:tcW w:w="384" w:type="pct"/>
            <w:shd w:val="clear" w:color="auto" w:fill="auto"/>
          </w:tcPr>
          <w:p w14:paraId="746F1B25" w14:textId="77777777" w:rsidR="008E7A10" w:rsidRDefault="008E7A10">
            <w:pPr>
              <w:rPr>
                <w:rFonts w:ascii="宋体"/>
              </w:rPr>
            </w:pPr>
          </w:p>
        </w:tc>
        <w:tc>
          <w:tcPr>
            <w:tcW w:w="5" w:type="pct"/>
            <w:shd w:val="clear" w:color="auto" w:fill="auto"/>
          </w:tcPr>
          <w:p w14:paraId="746F1B26" w14:textId="77777777" w:rsidR="008E7A10" w:rsidRDefault="008E7A10">
            <w:pPr>
              <w:rPr>
                <w:rFonts w:ascii="宋体"/>
              </w:rPr>
            </w:pPr>
          </w:p>
        </w:tc>
        <w:tc>
          <w:tcPr>
            <w:tcW w:w="50" w:type="pct"/>
            <w:shd w:val="clear" w:color="auto" w:fill="auto"/>
          </w:tcPr>
          <w:p w14:paraId="746F1B27" w14:textId="77777777" w:rsidR="008E7A10" w:rsidRDefault="008E7A10">
            <w:pPr>
              <w:rPr>
                <w:rFonts w:ascii="宋体"/>
              </w:rPr>
            </w:pPr>
          </w:p>
        </w:tc>
        <w:tc>
          <w:tcPr>
            <w:tcW w:w="384" w:type="pct"/>
            <w:shd w:val="clear" w:color="auto" w:fill="auto"/>
          </w:tcPr>
          <w:p w14:paraId="746F1B28" w14:textId="77777777" w:rsidR="008E7A10" w:rsidRDefault="008E7A10">
            <w:pPr>
              <w:rPr>
                <w:rFonts w:ascii="宋体"/>
              </w:rPr>
            </w:pPr>
          </w:p>
        </w:tc>
        <w:tc>
          <w:tcPr>
            <w:tcW w:w="5" w:type="pct"/>
            <w:shd w:val="clear" w:color="auto" w:fill="auto"/>
          </w:tcPr>
          <w:p w14:paraId="746F1B29" w14:textId="77777777" w:rsidR="008E7A10" w:rsidRDefault="008E7A10">
            <w:pPr>
              <w:rPr>
                <w:rFonts w:ascii="宋体"/>
              </w:rPr>
            </w:pPr>
          </w:p>
        </w:tc>
        <w:tc>
          <w:tcPr>
            <w:tcW w:w="5" w:type="pct"/>
            <w:shd w:val="clear" w:color="auto" w:fill="auto"/>
          </w:tcPr>
          <w:p w14:paraId="746F1B2A" w14:textId="77777777" w:rsidR="008E7A10" w:rsidRDefault="008E7A10">
            <w:pPr>
              <w:rPr>
                <w:rFonts w:ascii="宋体"/>
              </w:rPr>
            </w:pPr>
          </w:p>
        </w:tc>
        <w:tc>
          <w:tcPr>
            <w:tcW w:w="28" w:type="pct"/>
            <w:shd w:val="clear" w:color="auto" w:fill="auto"/>
          </w:tcPr>
          <w:p w14:paraId="746F1B2B" w14:textId="77777777" w:rsidR="008E7A10" w:rsidRDefault="008E7A10">
            <w:pPr>
              <w:rPr>
                <w:rFonts w:ascii="宋体"/>
              </w:rPr>
            </w:pPr>
          </w:p>
        </w:tc>
        <w:tc>
          <w:tcPr>
            <w:tcW w:w="5" w:type="pct"/>
            <w:shd w:val="clear" w:color="auto" w:fill="auto"/>
          </w:tcPr>
          <w:p w14:paraId="746F1B2C" w14:textId="77777777" w:rsidR="008E7A10" w:rsidRDefault="008E7A10">
            <w:pPr>
              <w:rPr>
                <w:rFonts w:ascii="宋体"/>
              </w:rPr>
            </w:pPr>
          </w:p>
        </w:tc>
        <w:tc>
          <w:tcPr>
            <w:tcW w:w="50" w:type="pct"/>
            <w:shd w:val="clear" w:color="auto" w:fill="auto"/>
          </w:tcPr>
          <w:p w14:paraId="746F1B2D" w14:textId="77777777" w:rsidR="008E7A10" w:rsidRDefault="008E7A10">
            <w:pPr>
              <w:rPr>
                <w:rFonts w:ascii="宋体"/>
              </w:rPr>
            </w:pPr>
          </w:p>
        </w:tc>
        <w:tc>
          <w:tcPr>
            <w:tcW w:w="384" w:type="pct"/>
            <w:shd w:val="clear" w:color="auto" w:fill="auto"/>
          </w:tcPr>
          <w:p w14:paraId="746F1B2E" w14:textId="77777777" w:rsidR="008E7A10" w:rsidRDefault="008E7A10">
            <w:pPr>
              <w:rPr>
                <w:rFonts w:ascii="宋体"/>
              </w:rPr>
            </w:pPr>
          </w:p>
        </w:tc>
        <w:tc>
          <w:tcPr>
            <w:tcW w:w="5" w:type="pct"/>
            <w:shd w:val="clear" w:color="auto" w:fill="auto"/>
          </w:tcPr>
          <w:p w14:paraId="746F1B2F" w14:textId="77777777" w:rsidR="008E7A10" w:rsidRDefault="008E7A10">
            <w:pPr>
              <w:rPr>
                <w:rFonts w:ascii="宋体"/>
              </w:rPr>
            </w:pPr>
          </w:p>
        </w:tc>
        <w:tc>
          <w:tcPr>
            <w:tcW w:w="50" w:type="pct"/>
            <w:shd w:val="clear" w:color="auto" w:fill="auto"/>
          </w:tcPr>
          <w:p w14:paraId="746F1B30" w14:textId="77777777" w:rsidR="008E7A10" w:rsidRDefault="008E7A10">
            <w:pPr>
              <w:rPr>
                <w:rFonts w:ascii="宋体"/>
              </w:rPr>
            </w:pPr>
          </w:p>
        </w:tc>
        <w:tc>
          <w:tcPr>
            <w:tcW w:w="384" w:type="pct"/>
            <w:shd w:val="clear" w:color="auto" w:fill="auto"/>
          </w:tcPr>
          <w:p w14:paraId="746F1B31" w14:textId="77777777" w:rsidR="008E7A10" w:rsidRDefault="008E7A10">
            <w:pPr>
              <w:rPr>
                <w:rFonts w:ascii="宋体"/>
              </w:rPr>
            </w:pPr>
          </w:p>
        </w:tc>
        <w:tc>
          <w:tcPr>
            <w:tcW w:w="5" w:type="pct"/>
            <w:shd w:val="clear" w:color="auto" w:fill="auto"/>
          </w:tcPr>
          <w:p w14:paraId="746F1B32" w14:textId="77777777" w:rsidR="008E7A10" w:rsidRDefault="008E7A10">
            <w:pPr>
              <w:rPr>
                <w:rFonts w:ascii="宋体"/>
              </w:rPr>
            </w:pPr>
          </w:p>
        </w:tc>
        <w:tc>
          <w:tcPr>
            <w:tcW w:w="50" w:type="pct"/>
            <w:shd w:val="clear" w:color="auto" w:fill="auto"/>
          </w:tcPr>
          <w:p w14:paraId="746F1B33" w14:textId="77777777" w:rsidR="008E7A10" w:rsidRDefault="008E7A10">
            <w:pPr>
              <w:rPr>
                <w:rFonts w:ascii="宋体"/>
              </w:rPr>
            </w:pPr>
          </w:p>
        </w:tc>
        <w:tc>
          <w:tcPr>
            <w:tcW w:w="384" w:type="pct"/>
            <w:shd w:val="clear" w:color="auto" w:fill="auto"/>
          </w:tcPr>
          <w:p w14:paraId="746F1B34" w14:textId="77777777" w:rsidR="008E7A10" w:rsidRDefault="008E7A10">
            <w:pPr>
              <w:rPr>
                <w:rFonts w:ascii="宋体"/>
              </w:rPr>
            </w:pPr>
          </w:p>
        </w:tc>
        <w:tc>
          <w:tcPr>
            <w:tcW w:w="5" w:type="pct"/>
            <w:shd w:val="clear" w:color="auto" w:fill="auto"/>
          </w:tcPr>
          <w:p w14:paraId="746F1B35" w14:textId="77777777" w:rsidR="008E7A10" w:rsidRDefault="008E7A10">
            <w:pPr>
              <w:rPr>
                <w:rFonts w:ascii="宋体"/>
              </w:rPr>
            </w:pPr>
          </w:p>
        </w:tc>
        <w:tc>
          <w:tcPr>
            <w:tcW w:w="50" w:type="pct"/>
            <w:shd w:val="clear" w:color="auto" w:fill="auto"/>
          </w:tcPr>
          <w:p w14:paraId="746F1B36" w14:textId="77777777" w:rsidR="008E7A10" w:rsidRDefault="008E7A10">
            <w:pPr>
              <w:rPr>
                <w:rFonts w:ascii="宋体"/>
              </w:rPr>
            </w:pPr>
          </w:p>
        </w:tc>
        <w:tc>
          <w:tcPr>
            <w:tcW w:w="384" w:type="pct"/>
            <w:shd w:val="clear" w:color="auto" w:fill="auto"/>
          </w:tcPr>
          <w:p w14:paraId="746F1B37" w14:textId="77777777" w:rsidR="008E7A10" w:rsidRDefault="008E7A10">
            <w:pPr>
              <w:rPr>
                <w:rFonts w:ascii="宋体"/>
              </w:rPr>
            </w:pPr>
          </w:p>
        </w:tc>
        <w:tc>
          <w:tcPr>
            <w:tcW w:w="5" w:type="pct"/>
            <w:shd w:val="clear" w:color="auto" w:fill="auto"/>
          </w:tcPr>
          <w:p w14:paraId="746F1B38" w14:textId="77777777" w:rsidR="008E7A10" w:rsidRDefault="008E7A10">
            <w:pPr>
              <w:rPr>
                <w:rFonts w:ascii="宋体"/>
              </w:rPr>
            </w:pPr>
          </w:p>
        </w:tc>
      </w:tr>
      <w:tr w:rsidR="008E7A10" w14:paraId="746F1B3E" w14:textId="77777777">
        <w:tc>
          <w:tcPr>
            <w:tcW w:w="0" w:type="auto"/>
            <w:gridSpan w:val="3"/>
            <w:shd w:val="clear" w:color="auto" w:fill="auto"/>
            <w:tcMar>
              <w:top w:w="0" w:type="dxa"/>
              <w:left w:w="20" w:type="dxa"/>
              <w:bottom w:w="0" w:type="dxa"/>
              <w:right w:w="20" w:type="dxa"/>
            </w:tcMar>
          </w:tcPr>
          <w:p w14:paraId="746F1B3A"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B3B"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B3C"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B3D"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B49" w14:textId="77777777">
        <w:tc>
          <w:tcPr>
            <w:tcW w:w="0" w:type="auto"/>
            <w:gridSpan w:val="3"/>
            <w:shd w:val="clear" w:color="auto" w:fill="auto"/>
            <w:tcMar>
              <w:top w:w="40" w:type="dxa"/>
              <w:left w:w="20" w:type="dxa"/>
              <w:bottom w:w="40" w:type="dxa"/>
              <w:right w:w="20" w:type="dxa"/>
            </w:tcMar>
            <w:vAlign w:val="bottom"/>
          </w:tcPr>
          <w:p w14:paraId="746F1B3F"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40"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41"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42"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43" w14:textId="77777777" w:rsidR="008E7A10" w:rsidRDefault="00E047B2">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tcPr>
          <w:p w14:paraId="746F1B44"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45"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46"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47"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48" w14:textId="77777777" w:rsidR="008E7A10" w:rsidRDefault="00E047B2">
            <w:pPr>
              <w:jc w:val="right"/>
              <w:textAlignment w:val="bottom"/>
            </w:pPr>
            <w:r>
              <w:rPr>
                <w:rFonts w:ascii="sans-serif" w:eastAsia="sans-serif" w:hAnsi="sans-serif" w:cs="sans-serif"/>
                <w:b/>
                <w:bCs/>
                <w:color w:val="000000"/>
                <w:sz w:val="17"/>
                <w:szCs w:val="17"/>
              </w:rPr>
              <w:t>% CHANGE EXCLUDING CURRENCY CHANGES</w:t>
            </w:r>
          </w:p>
        </w:tc>
      </w:tr>
      <w:tr w:rsidR="008E7A10" w14:paraId="746F1B5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4A"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746F1B4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4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4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4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4F"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B5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5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52"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53" w14:textId="77777777" w:rsidR="008E7A10" w:rsidRDefault="008E7A10">
            <w:pPr>
              <w:rPr>
                <w:rFonts w:ascii="宋体"/>
              </w:rPr>
            </w:pPr>
          </w:p>
        </w:tc>
      </w:tr>
      <w:tr w:rsidR="008E7A10" w14:paraId="746F1B6B"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B55" w14:textId="77777777" w:rsidR="008E7A10" w:rsidRDefault="00E047B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B5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B57" w14:textId="77777777" w:rsidR="008E7A10" w:rsidRDefault="00E047B2">
            <w:pPr>
              <w:jc w:val="right"/>
              <w:textAlignment w:val="bottom"/>
            </w:pPr>
            <w:r>
              <w:rPr>
                <w:rFonts w:ascii="Arial" w:eastAsia="宋体" w:hAnsi="Arial" w:cs="Arial"/>
                <w:color w:val="000000"/>
                <w:sz w:val="17"/>
                <w:szCs w:val="17"/>
              </w:rPr>
              <w:t>1,567 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B58"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B5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B5A" w14:textId="77777777" w:rsidR="008E7A10" w:rsidRDefault="00E047B2">
            <w:pPr>
              <w:jc w:val="right"/>
              <w:textAlignment w:val="bottom"/>
            </w:pPr>
            <w:r>
              <w:rPr>
                <w:rFonts w:ascii="Arial" w:eastAsia="宋体" w:hAnsi="Arial" w:cs="Arial"/>
                <w:color w:val="000000"/>
                <w:sz w:val="17"/>
                <w:szCs w:val="17"/>
              </w:rPr>
              <w:t>1,247 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5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5C" w14:textId="77777777" w:rsidR="008E7A10" w:rsidRDefault="00E047B2">
            <w:pPr>
              <w:jc w:val="right"/>
              <w:textAlignment w:val="bottom"/>
            </w:pPr>
            <w:r>
              <w:rPr>
                <w:rFonts w:ascii="Arial" w:eastAsia="宋体" w:hAnsi="Arial" w:cs="Arial"/>
                <w:color w:val="000000"/>
                <w:sz w:val="17"/>
                <w:szCs w:val="17"/>
              </w:rPr>
              <w:t>26 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5D"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5E" w14:textId="77777777" w:rsidR="008E7A10" w:rsidRDefault="00E047B2">
            <w:pPr>
              <w:jc w:val="right"/>
              <w:textAlignment w:val="bottom"/>
            </w:pPr>
            <w:r>
              <w:rPr>
                <w:rFonts w:ascii="Arial" w:eastAsia="宋体" w:hAnsi="Arial" w:cs="Arial"/>
                <w:color w:val="000000"/>
                <w:sz w:val="17"/>
                <w:szCs w:val="17"/>
              </w:rPr>
              <w:t>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5F"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B60"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B6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B62" w14:textId="77777777" w:rsidR="008E7A10" w:rsidRDefault="00E047B2">
            <w:pPr>
              <w:jc w:val="right"/>
              <w:textAlignment w:val="bottom"/>
            </w:pPr>
            <w:r>
              <w:rPr>
                <w:rFonts w:ascii="Arial" w:eastAsia="宋体" w:hAnsi="Arial" w:cs="Arial"/>
                <w:color w:val="000000"/>
                <w:sz w:val="17"/>
                <w:szCs w:val="17"/>
              </w:rPr>
              <w:t>2,818 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B63"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B6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B65" w14:textId="77777777" w:rsidR="008E7A10" w:rsidRDefault="00E047B2">
            <w:pPr>
              <w:jc w:val="right"/>
              <w:textAlignment w:val="bottom"/>
            </w:pPr>
            <w:r>
              <w:rPr>
                <w:rFonts w:ascii="Arial" w:eastAsia="宋体" w:hAnsi="Arial" w:cs="Arial"/>
                <w:color w:val="000000"/>
                <w:sz w:val="17"/>
                <w:szCs w:val="17"/>
              </w:rPr>
              <w:t>2,411 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6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67"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68"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69" w14:textId="77777777" w:rsidR="008E7A10" w:rsidRDefault="00E047B2">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6A" w14:textId="77777777" w:rsidR="008E7A10" w:rsidRDefault="00E047B2">
            <w:pPr>
              <w:jc w:val="right"/>
              <w:textAlignment w:val="bottom"/>
            </w:pPr>
            <w:r>
              <w:rPr>
                <w:rFonts w:ascii="Arial" w:eastAsia="宋体" w:hAnsi="Arial" w:cs="Arial"/>
                <w:color w:val="000000"/>
                <w:sz w:val="17"/>
                <w:szCs w:val="17"/>
              </w:rPr>
              <w:t>%</w:t>
            </w:r>
          </w:p>
        </w:tc>
      </w:tr>
      <w:tr w:rsidR="008E7A10" w14:paraId="746F1B7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B6C" w14:textId="77777777" w:rsidR="008E7A10" w:rsidRDefault="00E047B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B6D" w14:textId="77777777" w:rsidR="008E7A10" w:rsidRDefault="00E047B2">
            <w:pPr>
              <w:jc w:val="right"/>
              <w:textAlignment w:val="bottom"/>
            </w:pPr>
            <w:r>
              <w:rPr>
                <w:rFonts w:ascii="Arial" w:eastAsia="宋体" w:hAnsi="Arial" w:cs="Arial"/>
                <w:color w:val="000000"/>
                <w:sz w:val="17"/>
                <w:szCs w:val="17"/>
              </w:rPr>
              <w:t>681 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B6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6F" w14:textId="77777777" w:rsidR="008E7A10" w:rsidRDefault="00E047B2">
            <w:pPr>
              <w:jc w:val="right"/>
              <w:textAlignment w:val="bottom"/>
            </w:pPr>
            <w:r>
              <w:rPr>
                <w:rFonts w:ascii="Arial" w:eastAsia="宋体" w:hAnsi="Arial" w:cs="Arial"/>
                <w:color w:val="000000"/>
                <w:sz w:val="17"/>
                <w:szCs w:val="17"/>
              </w:rPr>
              <w:t>563 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7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71" w14:textId="77777777" w:rsidR="008E7A10" w:rsidRDefault="00E047B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72"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73"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74"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B75"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B76" w14:textId="77777777" w:rsidR="008E7A10" w:rsidRDefault="00E047B2">
            <w:pPr>
              <w:jc w:val="right"/>
              <w:textAlignment w:val="bottom"/>
            </w:pPr>
            <w:r>
              <w:rPr>
                <w:rFonts w:ascii="Arial" w:eastAsia="宋体" w:hAnsi="Arial" w:cs="Arial"/>
                <w:color w:val="000000"/>
                <w:sz w:val="17"/>
                <w:szCs w:val="17"/>
              </w:rPr>
              <w:t>1,159 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B7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78" w14:textId="77777777" w:rsidR="008E7A10" w:rsidRDefault="00E047B2">
            <w:pPr>
              <w:jc w:val="right"/>
              <w:textAlignment w:val="bottom"/>
            </w:pPr>
            <w:r>
              <w:rPr>
                <w:rFonts w:ascii="Arial" w:eastAsia="宋体" w:hAnsi="Arial" w:cs="Arial"/>
                <w:color w:val="000000"/>
                <w:sz w:val="17"/>
                <w:szCs w:val="17"/>
              </w:rPr>
              <w:t>1,028 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7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7A" w14:textId="77777777" w:rsidR="008E7A10" w:rsidRDefault="00E047B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7B"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7C"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7D" w14:textId="77777777" w:rsidR="008E7A10" w:rsidRDefault="00E047B2">
            <w:pPr>
              <w:jc w:val="right"/>
              <w:textAlignment w:val="bottom"/>
            </w:pPr>
            <w:r>
              <w:rPr>
                <w:rFonts w:ascii="Arial" w:eastAsia="宋体" w:hAnsi="Arial" w:cs="Arial"/>
                <w:color w:val="000000"/>
                <w:sz w:val="17"/>
                <w:szCs w:val="17"/>
              </w:rPr>
              <w:t>%</w:t>
            </w:r>
          </w:p>
        </w:tc>
      </w:tr>
      <w:tr w:rsidR="008E7A10" w14:paraId="746F1B9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B7F" w14:textId="77777777" w:rsidR="008E7A10" w:rsidRDefault="00E047B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B80" w14:textId="77777777" w:rsidR="008E7A10" w:rsidRDefault="00E047B2">
            <w:pPr>
              <w:jc w:val="right"/>
              <w:textAlignment w:val="bottom"/>
            </w:pPr>
            <w:r>
              <w:rPr>
                <w:rFonts w:ascii="Arial" w:eastAsia="宋体" w:hAnsi="Arial" w:cs="Arial"/>
                <w:color w:val="000000"/>
                <w:sz w:val="17"/>
                <w:szCs w:val="17"/>
              </w:rPr>
              <w:t>50 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B8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82" w14:textId="77777777" w:rsidR="008E7A10" w:rsidRDefault="00E047B2">
            <w:pPr>
              <w:jc w:val="right"/>
              <w:textAlignment w:val="bottom"/>
            </w:pPr>
            <w:r>
              <w:rPr>
                <w:rFonts w:ascii="Arial" w:eastAsia="宋体" w:hAnsi="Arial" w:cs="Arial"/>
                <w:color w:val="000000"/>
                <w:sz w:val="17"/>
                <w:szCs w:val="17"/>
              </w:rPr>
              <w:t>37 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8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84" w14:textId="77777777" w:rsidR="008E7A10" w:rsidRDefault="00E047B2">
            <w:pPr>
              <w:jc w:val="right"/>
              <w:textAlignment w:val="bottom"/>
            </w:pPr>
            <w:r>
              <w:rPr>
                <w:rFonts w:ascii="Arial" w:eastAsia="宋体" w:hAnsi="Arial" w:cs="Arial"/>
                <w:color w:val="000000"/>
                <w:sz w:val="17"/>
                <w:szCs w:val="17"/>
              </w:rPr>
              <w:t>35 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85"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86" w14:textId="77777777" w:rsidR="008E7A10" w:rsidRDefault="00E047B2">
            <w:pPr>
              <w:jc w:val="right"/>
              <w:textAlignment w:val="bottom"/>
            </w:pPr>
            <w:r>
              <w:rPr>
                <w:rFonts w:ascii="Arial" w:eastAsia="宋体" w:hAnsi="Arial" w:cs="Arial"/>
                <w:color w:val="000000"/>
                <w:sz w:val="17"/>
                <w:szCs w:val="17"/>
              </w:rPr>
              <w:t>29 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87"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B88"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B89" w14:textId="77777777" w:rsidR="008E7A10" w:rsidRDefault="00E047B2">
            <w:pPr>
              <w:jc w:val="right"/>
              <w:textAlignment w:val="bottom"/>
            </w:pPr>
            <w:r>
              <w:rPr>
                <w:rFonts w:ascii="Arial" w:eastAsia="宋体" w:hAnsi="Arial" w:cs="Arial"/>
                <w:color w:val="000000"/>
                <w:sz w:val="17"/>
                <w:szCs w:val="17"/>
              </w:rPr>
              <w:t>101 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B8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8B" w14:textId="77777777" w:rsidR="008E7A10" w:rsidRDefault="00E047B2">
            <w:pPr>
              <w:jc w:val="right"/>
              <w:textAlignment w:val="bottom"/>
            </w:pPr>
            <w:r>
              <w:rPr>
                <w:rFonts w:ascii="Arial" w:eastAsia="宋体" w:hAnsi="Arial" w:cs="Arial"/>
                <w:color w:val="000000"/>
                <w:sz w:val="17"/>
                <w:szCs w:val="17"/>
              </w:rPr>
              <w:t>87 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8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8D"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8E"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8F" w14:textId="77777777" w:rsidR="008E7A10" w:rsidRDefault="00E047B2">
            <w:pPr>
              <w:jc w:val="right"/>
              <w:textAlignment w:val="bottom"/>
            </w:pPr>
            <w:r>
              <w:rPr>
                <w:rFonts w:ascii="Arial" w:eastAsia="宋体" w:hAnsi="Arial" w:cs="Arial"/>
                <w:color w:val="000000"/>
                <w:sz w:val="17"/>
                <w:szCs w:val="17"/>
              </w:rPr>
              <w:t>14 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90" w14:textId="77777777" w:rsidR="008E7A10" w:rsidRDefault="00E047B2">
            <w:pPr>
              <w:jc w:val="right"/>
              <w:textAlignment w:val="bottom"/>
            </w:pPr>
            <w:r>
              <w:rPr>
                <w:rFonts w:ascii="Arial" w:eastAsia="宋体" w:hAnsi="Arial" w:cs="Arial"/>
                <w:color w:val="000000"/>
                <w:sz w:val="17"/>
                <w:szCs w:val="17"/>
              </w:rPr>
              <w:t>%</w:t>
            </w:r>
          </w:p>
        </w:tc>
      </w:tr>
      <w:tr w:rsidR="008E7A10" w14:paraId="746F1BA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92"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B9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B94" w14:textId="77777777" w:rsidR="008E7A10" w:rsidRDefault="00E047B2">
            <w:pPr>
              <w:jc w:val="right"/>
              <w:textAlignment w:val="bottom"/>
            </w:pPr>
            <w:r>
              <w:rPr>
                <w:rFonts w:ascii="Arial" w:eastAsia="宋体" w:hAnsi="Arial" w:cs="Arial"/>
                <w:b/>
                <w:bCs/>
                <w:color w:val="000000"/>
                <w:sz w:val="17"/>
                <w:szCs w:val="17"/>
              </w:rPr>
              <w:t>2,298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B95"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B9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B97" w14:textId="77777777" w:rsidR="008E7A10" w:rsidRDefault="00E047B2">
            <w:pPr>
              <w:jc w:val="right"/>
              <w:textAlignment w:val="bottom"/>
            </w:pPr>
            <w:r>
              <w:rPr>
                <w:rFonts w:ascii="Arial" w:eastAsia="宋体" w:hAnsi="Arial" w:cs="Arial"/>
                <w:b/>
                <w:bCs/>
                <w:color w:val="000000"/>
                <w:sz w:val="17"/>
                <w:szCs w:val="17"/>
              </w:rPr>
              <w:t>1,847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98"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B99" w14:textId="77777777" w:rsidR="008E7A10" w:rsidRDefault="00E047B2">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9A"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B9B" w14:textId="77777777" w:rsidR="008E7A10" w:rsidRDefault="00E047B2">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9C"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B9D"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B9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B9F" w14:textId="77777777" w:rsidR="008E7A10" w:rsidRDefault="00E047B2">
            <w:pPr>
              <w:jc w:val="right"/>
              <w:textAlignment w:val="bottom"/>
            </w:pPr>
            <w:r>
              <w:rPr>
                <w:rFonts w:ascii="Arial" w:eastAsia="宋体" w:hAnsi="Arial" w:cs="Arial"/>
                <w:b/>
                <w:bCs/>
                <w:color w:val="000000"/>
                <w:sz w:val="17"/>
                <w:szCs w:val="17"/>
              </w:rPr>
              <w:t>4,078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BA0"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BA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BA2" w14:textId="77777777" w:rsidR="008E7A10" w:rsidRDefault="00E047B2">
            <w:pPr>
              <w:jc w:val="right"/>
              <w:textAlignment w:val="bottom"/>
            </w:pPr>
            <w:r>
              <w:rPr>
                <w:rFonts w:ascii="Arial" w:eastAsia="宋体" w:hAnsi="Arial" w:cs="Arial"/>
                <w:b/>
                <w:bCs/>
                <w:color w:val="000000"/>
                <w:sz w:val="17"/>
                <w:szCs w:val="17"/>
              </w:rPr>
              <w:t>3,526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A3"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BA4" w14:textId="77777777" w:rsidR="008E7A10" w:rsidRDefault="00E047B2">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A5"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BA6" w14:textId="77777777" w:rsidR="008E7A10" w:rsidRDefault="00E047B2">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A7" w14:textId="77777777" w:rsidR="008E7A10" w:rsidRDefault="00E047B2">
            <w:pPr>
              <w:jc w:val="right"/>
              <w:textAlignment w:val="bottom"/>
            </w:pPr>
            <w:r>
              <w:rPr>
                <w:rFonts w:ascii="Arial" w:eastAsia="宋体" w:hAnsi="Arial" w:cs="Arial"/>
                <w:b/>
                <w:bCs/>
                <w:color w:val="000000"/>
                <w:sz w:val="17"/>
                <w:szCs w:val="17"/>
              </w:rPr>
              <w:t>%</w:t>
            </w:r>
          </w:p>
        </w:tc>
      </w:tr>
      <w:tr w:rsidR="008E7A10" w14:paraId="746F1BB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A9"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746F1BAA" w14:textId="77777777" w:rsidR="008E7A10" w:rsidRDefault="00E047B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AB" w14:textId="77777777" w:rsidR="008E7A10" w:rsidRDefault="00E047B2">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tcPr>
          <w:p w14:paraId="746F1BA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A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AE"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BA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B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B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BB2" w14:textId="77777777" w:rsidR="008E7A10" w:rsidRDefault="008E7A10">
            <w:pPr>
              <w:rPr>
                <w:rFonts w:ascii="宋体"/>
              </w:rPr>
            </w:pPr>
          </w:p>
        </w:tc>
      </w:tr>
      <w:tr w:rsidR="008E7A10" w14:paraId="746F1BC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BB4" w14:textId="77777777" w:rsidR="008E7A10" w:rsidRDefault="00E047B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BB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BB6" w14:textId="77777777" w:rsidR="008E7A10" w:rsidRDefault="00E047B2">
            <w:pPr>
              <w:jc w:val="right"/>
              <w:textAlignment w:val="bottom"/>
            </w:pPr>
            <w:r>
              <w:rPr>
                <w:rFonts w:ascii="Arial" w:eastAsia="宋体" w:hAnsi="Arial" w:cs="Arial"/>
                <w:color w:val="000000"/>
                <w:sz w:val="17"/>
                <w:szCs w:val="17"/>
              </w:rPr>
              <w:t>1,159 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BB7"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BB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BB9" w14:textId="77777777" w:rsidR="008E7A10" w:rsidRDefault="00E047B2">
            <w:pPr>
              <w:jc w:val="right"/>
              <w:textAlignment w:val="bottom"/>
            </w:pPr>
            <w:r>
              <w:rPr>
                <w:rFonts w:ascii="Arial" w:eastAsia="宋体" w:hAnsi="Arial" w:cs="Arial"/>
                <w:color w:val="000000"/>
                <w:sz w:val="17"/>
                <w:szCs w:val="17"/>
              </w:rPr>
              <w:t>1,028 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B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BB" w14:textId="77777777" w:rsidR="008E7A10" w:rsidRDefault="00E047B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BC"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BD"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BE"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BBF"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BC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BC1" w14:textId="77777777" w:rsidR="008E7A10" w:rsidRDefault="00E047B2">
            <w:pPr>
              <w:jc w:val="right"/>
              <w:textAlignment w:val="bottom"/>
            </w:pPr>
            <w:r>
              <w:rPr>
                <w:rFonts w:ascii="Arial" w:eastAsia="宋体" w:hAnsi="Arial" w:cs="Arial"/>
                <w:color w:val="000000"/>
                <w:sz w:val="17"/>
                <w:szCs w:val="17"/>
              </w:rPr>
              <w:t>2,123 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BC2"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BC3"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BC4" w14:textId="77777777" w:rsidR="008E7A10" w:rsidRDefault="00E047B2">
            <w:pPr>
              <w:jc w:val="right"/>
              <w:textAlignment w:val="bottom"/>
            </w:pPr>
            <w:r>
              <w:rPr>
                <w:rFonts w:ascii="Arial" w:eastAsia="宋体" w:hAnsi="Arial" w:cs="Arial"/>
                <w:color w:val="000000"/>
                <w:sz w:val="17"/>
                <w:szCs w:val="17"/>
              </w:rPr>
              <w:t>2,014 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C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C6"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C7"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C8"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C9" w14:textId="77777777" w:rsidR="008E7A10" w:rsidRDefault="00E047B2">
            <w:pPr>
              <w:jc w:val="right"/>
              <w:textAlignment w:val="bottom"/>
            </w:pPr>
            <w:r>
              <w:rPr>
                <w:rFonts w:ascii="Arial" w:eastAsia="宋体" w:hAnsi="Arial" w:cs="Arial"/>
                <w:color w:val="000000"/>
                <w:sz w:val="17"/>
                <w:szCs w:val="17"/>
              </w:rPr>
              <w:t>%</w:t>
            </w:r>
          </w:p>
        </w:tc>
      </w:tr>
      <w:tr w:rsidR="008E7A10" w14:paraId="746F1BD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BCB" w14:textId="77777777" w:rsidR="008E7A10" w:rsidRDefault="00E047B2">
            <w:pPr>
              <w:textAlignment w:val="bottom"/>
            </w:pPr>
            <w:r>
              <w:rPr>
                <w:rFonts w:ascii="Arial" w:eastAsia="宋体" w:hAnsi="Arial" w:cs="Arial"/>
                <w:color w:val="000000"/>
                <w:sz w:val="17"/>
                <w:szCs w:val="17"/>
              </w:rPr>
              <w:t xml:space="preserve">Sales </w:t>
            </w:r>
            <w:r>
              <w:rPr>
                <w:rFonts w:ascii="Arial" w:eastAsia="宋体" w:hAnsi="Arial" w:cs="Arial"/>
                <w:color w:val="000000"/>
                <w:sz w:val="17"/>
                <w:szCs w:val="17"/>
              </w:rPr>
              <w:t>through 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BCC" w14:textId="77777777" w:rsidR="008E7A10" w:rsidRDefault="00E047B2">
            <w:pPr>
              <w:jc w:val="right"/>
              <w:textAlignment w:val="bottom"/>
            </w:pPr>
            <w:r>
              <w:rPr>
                <w:rFonts w:ascii="Arial" w:eastAsia="宋体" w:hAnsi="Arial" w:cs="Arial"/>
                <w:color w:val="000000"/>
                <w:sz w:val="17"/>
                <w:szCs w:val="17"/>
              </w:rPr>
              <w:t>1,139 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BC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CE" w14:textId="77777777" w:rsidR="008E7A10" w:rsidRDefault="00E047B2">
            <w:pPr>
              <w:jc w:val="right"/>
              <w:textAlignment w:val="bottom"/>
            </w:pPr>
            <w:r>
              <w:rPr>
                <w:rFonts w:ascii="Arial" w:eastAsia="宋体" w:hAnsi="Arial" w:cs="Arial"/>
                <w:color w:val="000000"/>
                <w:sz w:val="17"/>
                <w:szCs w:val="17"/>
              </w:rPr>
              <w:t>819 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C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D0" w14:textId="77777777" w:rsidR="008E7A10" w:rsidRDefault="00E047B2">
            <w:pPr>
              <w:jc w:val="right"/>
              <w:textAlignment w:val="bottom"/>
            </w:pPr>
            <w:r>
              <w:rPr>
                <w:rFonts w:ascii="Arial" w:eastAsia="宋体" w:hAnsi="Arial" w:cs="Arial"/>
                <w:color w:val="000000"/>
                <w:sz w:val="17"/>
                <w:szCs w:val="17"/>
              </w:rPr>
              <w:t>39 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D1"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D2" w14:textId="77777777" w:rsidR="008E7A10" w:rsidRDefault="00E047B2">
            <w:pPr>
              <w:jc w:val="right"/>
              <w:textAlignment w:val="bottom"/>
            </w:pPr>
            <w:r>
              <w:rPr>
                <w:rFonts w:ascii="Arial" w:eastAsia="宋体" w:hAnsi="Arial" w:cs="Arial"/>
                <w:color w:val="000000"/>
                <w:sz w:val="17"/>
                <w:szCs w:val="17"/>
              </w:rPr>
              <w:t>33 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D3"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BD4"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BD5" w14:textId="77777777" w:rsidR="008E7A10" w:rsidRDefault="00E047B2">
            <w:pPr>
              <w:jc w:val="right"/>
              <w:textAlignment w:val="bottom"/>
            </w:pPr>
            <w:r>
              <w:rPr>
                <w:rFonts w:ascii="Arial" w:eastAsia="宋体" w:hAnsi="Arial" w:cs="Arial"/>
                <w:color w:val="000000"/>
                <w:sz w:val="17"/>
                <w:szCs w:val="17"/>
              </w:rPr>
              <w:t>1,955 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BD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D7" w14:textId="77777777" w:rsidR="008E7A10" w:rsidRDefault="00E047B2">
            <w:pPr>
              <w:jc w:val="right"/>
              <w:textAlignment w:val="bottom"/>
            </w:pPr>
            <w:r>
              <w:rPr>
                <w:rFonts w:ascii="Arial" w:eastAsia="宋体" w:hAnsi="Arial" w:cs="Arial"/>
                <w:color w:val="000000"/>
                <w:sz w:val="17"/>
                <w:szCs w:val="17"/>
              </w:rPr>
              <w:t>1,512 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D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D9" w14:textId="77777777" w:rsidR="008E7A10" w:rsidRDefault="00E047B2">
            <w:pPr>
              <w:jc w:val="right"/>
              <w:textAlignment w:val="bottom"/>
            </w:pPr>
            <w:r>
              <w:rPr>
                <w:rFonts w:ascii="Arial" w:eastAsia="宋体" w:hAnsi="Arial" w:cs="Arial"/>
                <w:color w:val="000000"/>
                <w:sz w:val="17"/>
                <w:szCs w:val="17"/>
              </w:rPr>
              <w:t>29 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DA"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BDB" w14:textId="77777777" w:rsidR="008E7A10" w:rsidRDefault="00E047B2">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BDC" w14:textId="77777777" w:rsidR="008E7A10" w:rsidRDefault="00E047B2">
            <w:pPr>
              <w:jc w:val="right"/>
              <w:textAlignment w:val="bottom"/>
            </w:pPr>
            <w:r>
              <w:rPr>
                <w:rFonts w:ascii="Arial" w:eastAsia="宋体" w:hAnsi="Arial" w:cs="Arial"/>
                <w:color w:val="000000"/>
                <w:sz w:val="17"/>
                <w:szCs w:val="17"/>
              </w:rPr>
              <w:t>%</w:t>
            </w:r>
          </w:p>
        </w:tc>
      </w:tr>
      <w:tr w:rsidR="008E7A10" w14:paraId="746F1BF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BDE"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BD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BE0" w14:textId="77777777" w:rsidR="008E7A10" w:rsidRDefault="00E047B2">
            <w:pPr>
              <w:jc w:val="right"/>
              <w:textAlignment w:val="bottom"/>
            </w:pPr>
            <w:r>
              <w:rPr>
                <w:rFonts w:ascii="Arial" w:eastAsia="宋体" w:hAnsi="Arial" w:cs="Arial"/>
                <w:b/>
                <w:bCs/>
                <w:color w:val="000000"/>
                <w:sz w:val="17"/>
                <w:szCs w:val="17"/>
              </w:rPr>
              <w:t>2,298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BE1"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BE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BE3" w14:textId="77777777" w:rsidR="008E7A10" w:rsidRDefault="00E047B2">
            <w:pPr>
              <w:jc w:val="right"/>
              <w:textAlignment w:val="bottom"/>
            </w:pPr>
            <w:r>
              <w:rPr>
                <w:rFonts w:ascii="Arial" w:eastAsia="宋体" w:hAnsi="Arial" w:cs="Arial"/>
                <w:b/>
                <w:bCs/>
                <w:color w:val="000000"/>
                <w:sz w:val="17"/>
                <w:szCs w:val="17"/>
              </w:rPr>
              <w:t>1,847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E4"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BE5" w14:textId="77777777" w:rsidR="008E7A10" w:rsidRDefault="00E047B2">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E6"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BE7" w14:textId="77777777" w:rsidR="008E7A10" w:rsidRDefault="00E047B2">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E8"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BE9"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BEA"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BEB" w14:textId="77777777" w:rsidR="008E7A10" w:rsidRDefault="00E047B2">
            <w:pPr>
              <w:jc w:val="right"/>
              <w:textAlignment w:val="bottom"/>
            </w:pPr>
            <w:r>
              <w:rPr>
                <w:rFonts w:ascii="Arial" w:eastAsia="宋体" w:hAnsi="Arial" w:cs="Arial"/>
                <w:b/>
                <w:bCs/>
                <w:color w:val="000000"/>
                <w:sz w:val="17"/>
                <w:szCs w:val="17"/>
              </w:rPr>
              <w:t>4,078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BEC"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BE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BEE" w14:textId="77777777" w:rsidR="008E7A10" w:rsidRDefault="00E047B2">
            <w:pPr>
              <w:jc w:val="right"/>
              <w:textAlignment w:val="bottom"/>
            </w:pPr>
            <w:r>
              <w:rPr>
                <w:rFonts w:ascii="Arial" w:eastAsia="宋体" w:hAnsi="Arial" w:cs="Arial"/>
                <w:b/>
                <w:bCs/>
                <w:color w:val="000000"/>
                <w:sz w:val="17"/>
                <w:szCs w:val="17"/>
              </w:rPr>
              <w:t>3,526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EF"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BF0" w14:textId="77777777" w:rsidR="008E7A10" w:rsidRDefault="00E047B2">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F1"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BF2" w14:textId="77777777" w:rsidR="008E7A10" w:rsidRDefault="00E047B2">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BF3" w14:textId="77777777" w:rsidR="008E7A10" w:rsidRDefault="00E047B2">
            <w:pPr>
              <w:jc w:val="right"/>
              <w:textAlignment w:val="bottom"/>
            </w:pPr>
            <w:r>
              <w:rPr>
                <w:rFonts w:ascii="Arial" w:eastAsia="宋体" w:hAnsi="Arial" w:cs="Arial"/>
                <w:b/>
                <w:bCs/>
                <w:color w:val="000000"/>
                <w:sz w:val="17"/>
                <w:szCs w:val="17"/>
              </w:rPr>
              <w:t>%</w:t>
            </w:r>
          </w:p>
        </w:tc>
      </w:tr>
      <w:tr w:rsidR="008E7A10" w14:paraId="746F1C0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BF5" w14:textId="77777777" w:rsidR="008E7A10" w:rsidRDefault="00E047B2">
            <w:pPr>
              <w:textAlignment w:val="bottom"/>
            </w:pPr>
            <w:r>
              <w:rPr>
                <w:rFonts w:ascii="Arial" w:eastAsia="宋体" w:hAnsi="Arial" w:cs="Arial"/>
                <w:b/>
                <w:bCs/>
                <w:color w:val="000000"/>
                <w:sz w:val="17"/>
                <w:szCs w:val="17"/>
              </w:rPr>
              <w:t>EARNINGS BEFORE INT</w:t>
            </w:r>
            <w:r>
              <w:rPr>
                <w:rFonts w:ascii="Arial" w:eastAsia="宋体" w:hAnsi="Arial" w:cs="Arial"/>
                <w:b/>
                <w:bCs/>
                <w:color w:val="000000"/>
                <w:sz w:val="17"/>
                <w:szCs w:val="17"/>
              </w:rPr>
              <w: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BF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BF7" w14:textId="77777777" w:rsidR="008E7A10" w:rsidRDefault="00E047B2">
            <w:pPr>
              <w:jc w:val="right"/>
              <w:textAlignment w:val="bottom"/>
            </w:pPr>
            <w:r>
              <w:rPr>
                <w:rFonts w:ascii="Arial" w:eastAsia="宋体" w:hAnsi="Arial" w:cs="Arial"/>
                <w:b/>
                <w:bCs/>
                <w:color w:val="000000"/>
                <w:sz w:val="17"/>
                <w:szCs w:val="17"/>
              </w:rPr>
              <w:t>891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BF8"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BF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BFA" w14:textId="77777777" w:rsidR="008E7A10" w:rsidRDefault="00E047B2">
            <w:pPr>
              <w:jc w:val="right"/>
              <w:textAlignment w:val="bottom"/>
            </w:pPr>
            <w:r>
              <w:rPr>
                <w:rFonts w:ascii="Arial" w:eastAsia="宋体" w:hAnsi="Arial" w:cs="Arial"/>
                <w:b/>
                <w:bCs/>
                <w:color w:val="000000"/>
                <w:sz w:val="17"/>
                <w:szCs w:val="17"/>
              </w:rPr>
              <w:t>694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BFB"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BFC" w14:textId="77777777" w:rsidR="008E7A10" w:rsidRDefault="00E047B2">
            <w:pPr>
              <w:jc w:val="right"/>
              <w:textAlignment w:val="bottom"/>
            </w:pPr>
            <w:r>
              <w:rPr>
                <w:rFonts w:ascii="Arial" w:eastAsia="宋体" w:hAnsi="Arial" w:cs="Arial"/>
                <w:b/>
                <w:bCs/>
                <w:color w:val="000000"/>
                <w:sz w:val="17"/>
                <w:szCs w:val="17"/>
              </w:rPr>
              <w:t>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BFD"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BFE" w14:textId="77777777" w:rsidR="008E7A10" w:rsidRDefault="00E047B2">
            <w:pPr>
              <w:textAlignment w:val="bottom"/>
            </w:pPr>
            <w:r>
              <w:rPr>
                <w:rFonts w:ascii="Arial" w:eastAsia="宋体" w:hAnsi="Arial" w:cs="Arial"/>
                <w:b/>
                <w:bCs/>
                <w:color w:val="000000"/>
                <w:sz w:val="17"/>
                <w:szCs w:val="17"/>
              </w:rPr>
              <w:t> </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BFF"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C0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C01" w14:textId="77777777" w:rsidR="008E7A10" w:rsidRDefault="00E047B2">
            <w:pPr>
              <w:jc w:val="right"/>
              <w:textAlignment w:val="bottom"/>
            </w:pPr>
            <w:r>
              <w:rPr>
                <w:rFonts w:ascii="Arial" w:eastAsia="宋体" w:hAnsi="Arial" w:cs="Arial"/>
                <w:b/>
                <w:bCs/>
                <w:color w:val="000000"/>
                <w:sz w:val="17"/>
                <w:szCs w:val="17"/>
              </w:rPr>
              <w:t>1,579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C02"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C0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C04" w14:textId="77777777" w:rsidR="008E7A10" w:rsidRDefault="00E047B2">
            <w:pPr>
              <w:jc w:val="right"/>
              <w:textAlignment w:val="bottom"/>
            </w:pPr>
            <w:r>
              <w:rPr>
                <w:rFonts w:ascii="Arial" w:eastAsia="宋体" w:hAnsi="Arial" w:cs="Arial"/>
                <w:b/>
                <w:bCs/>
                <w:color w:val="000000"/>
                <w:sz w:val="17"/>
                <w:szCs w:val="17"/>
              </w:rPr>
              <w:t>1,363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C05"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C06" w14:textId="77777777" w:rsidR="008E7A10" w:rsidRDefault="00E047B2">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C07"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C08" w14:textId="77777777" w:rsidR="008E7A10" w:rsidRDefault="008E7A10">
            <w:pPr>
              <w:rPr>
                <w:rFonts w:ascii="宋体"/>
              </w:rPr>
            </w:pPr>
          </w:p>
        </w:tc>
      </w:tr>
    </w:tbl>
    <w:p w14:paraId="746F1C0A" w14:textId="77777777" w:rsidR="008E7A10" w:rsidRDefault="00E047B2">
      <w:pPr>
        <w:spacing w:before="120"/>
      </w:pPr>
      <w:r>
        <w:rPr>
          <w:rFonts w:ascii="sans-serif" w:eastAsia="sans-serif" w:hAnsi="sans-serif" w:cs="sans-serif"/>
          <w:b/>
          <w:bCs/>
          <w:color w:val="808080"/>
          <w:sz w:val="22"/>
          <w:szCs w:val="22"/>
        </w:rPr>
        <w:t>SECOND QUARTER OF FISCAL 2021 COMPARED TO SECOND QUARTER OF FISCAL 2020</w:t>
      </w:r>
    </w:p>
    <w:p w14:paraId="746F1C0B" w14:textId="77777777" w:rsidR="008E7A10" w:rsidRDefault="00E047B2">
      <w:pPr>
        <w:spacing w:after="120"/>
      </w:pPr>
      <w:r>
        <w:rPr>
          <w:rFonts w:ascii="Arial" w:eastAsia="宋体" w:hAnsi="Arial" w:cs="Arial"/>
          <w:color w:val="000000"/>
          <w:sz w:val="17"/>
          <w:szCs w:val="17"/>
        </w:rPr>
        <w:t>On a currency-neutral basis, Greater China revenues for the second quarter of fiscal 2021 increased 19% due to higher revenues in nearly all key categories, led by Sportswear, the Jordan Brand and NIKE Basketball. NIKE Direct revenues increased 33% due to</w:t>
      </w:r>
      <w:r>
        <w:rPr>
          <w:rFonts w:ascii="Arial" w:eastAsia="宋体" w:hAnsi="Arial" w:cs="Arial"/>
          <w:color w:val="000000"/>
          <w:sz w:val="17"/>
          <w:szCs w:val="17"/>
        </w:rPr>
        <w:t xml:space="preserve"> digital sales growth of 37%, comparable store sales growth of 27% and the addition of new stores.</w:t>
      </w:r>
    </w:p>
    <w:p w14:paraId="746F1C0C" w14:textId="77777777" w:rsidR="008E7A10" w:rsidRDefault="00E047B2">
      <w:pPr>
        <w:spacing w:before="120" w:after="120"/>
      </w:pPr>
      <w:r>
        <w:rPr>
          <w:rFonts w:ascii="Arial" w:eastAsia="宋体" w:hAnsi="Arial" w:cs="Arial"/>
          <w:color w:val="000000"/>
          <w:sz w:val="17"/>
          <w:szCs w:val="17"/>
        </w:rPr>
        <w:t>Currency-neutral footwear revenues increased 20% for the second quarter of fiscal 2021 driven by higher revenues in most key categories, primarily Sportswear</w:t>
      </w:r>
      <w:r>
        <w:rPr>
          <w:rFonts w:ascii="Arial" w:eastAsia="宋体" w:hAnsi="Arial" w:cs="Arial"/>
          <w:color w:val="000000"/>
          <w:sz w:val="17"/>
          <w:szCs w:val="17"/>
        </w:rPr>
        <w:t>, the Jordan Brand and NIKE Basketball. Unit sales of footwear increased 24%, while lower ASP per pair reduced footwear revenues by approximately 4 percentage points, driven by lower NIKE Direct and full-price ASPs, as well as unfavorable full-price mix.</w:t>
      </w:r>
    </w:p>
    <w:p w14:paraId="746F1C0D" w14:textId="77777777" w:rsidR="008E7A10" w:rsidRDefault="00E047B2">
      <w:pPr>
        <w:spacing w:before="120" w:after="120"/>
      </w:pPr>
      <w:r>
        <w:rPr>
          <w:rFonts w:ascii="Arial" w:eastAsia="宋体" w:hAnsi="Arial" w:cs="Arial"/>
          <w:color w:val="000000"/>
          <w:sz w:val="17"/>
          <w:szCs w:val="17"/>
        </w:rPr>
        <w:t>Currency-neutral apparel revenues grew 16% for the second quarter of fiscal 2021 due to higher revenues in nearly all key categories, led by Sportswear, the Jordan Brand and Training. Unit sales of apparel increased 21%, while lower ASP per unit reduced ap</w:t>
      </w:r>
      <w:r>
        <w:rPr>
          <w:rFonts w:ascii="Arial" w:eastAsia="宋体" w:hAnsi="Arial" w:cs="Arial"/>
          <w:color w:val="000000"/>
          <w:sz w:val="17"/>
          <w:szCs w:val="17"/>
        </w:rPr>
        <w:t>parel revenues by approximately 5 percentage points as unfavorable full-price mix and lower NIKE Direct ASP, more than offset higher off-price ASP.</w:t>
      </w:r>
    </w:p>
    <w:p w14:paraId="746F1C0E" w14:textId="77777777" w:rsidR="008E7A10" w:rsidRDefault="00E047B2">
      <w:pPr>
        <w:spacing w:before="120" w:after="120"/>
      </w:pPr>
      <w:r>
        <w:rPr>
          <w:rFonts w:ascii="Arial" w:eastAsia="宋体" w:hAnsi="Arial" w:cs="Arial"/>
          <w:color w:val="000000"/>
          <w:sz w:val="17"/>
          <w:szCs w:val="17"/>
        </w:rPr>
        <w:t>Reported EBIT increased 28% for the second quarter of fiscal 2021 as higher revenues and lower selling and a</w:t>
      </w:r>
      <w:r>
        <w:rPr>
          <w:rFonts w:ascii="Arial" w:eastAsia="宋体" w:hAnsi="Arial" w:cs="Arial"/>
          <w:color w:val="000000"/>
          <w:sz w:val="17"/>
          <w:szCs w:val="17"/>
        </w:rPr>
        <w:t>dministrative expense more than offset a decline in gross margin. Gross margin decreased approximately 260 basis points reflecting unfavorable changes in standard foreign currency exchange rates and lower margin in our NIKE Direct business driven by higher</w:t>
      </w:r>
      <w:r>
        <w:rPr>
          <w:rFonts w:ascii="Arial" w:eastAsia="宋体" w:hAnsi="Arial" w:cs="Arial"/>
          <w:color w:val="000000"/>
          <w:sz w:val="17"/>
          <w:szCs w:val="17"/>
        </w:rPr>
        <w:t xml:space="preserve"> promotions to reduce excess inventory, as well as a lower mix of full-price sales. Selling and administrative expense decreased due to lower demand creation expense, partially offset by higher operating overhead expense. Demand creation expense decreased </w:t>
      </w:r>
      <w:r>
        <w:rPr>
          <w:rFonts w:ascii="Arial" w:eastAsia="宋体" w:hAnsi="Arial" w:cs="Arial"/>
          <w:color w:val="000000"/>
          <w:sz w:val="17"/>
          <w:szCs w:val="17"/>
        </w:rPr>
        <w:t>primarily due to lower advertising and marketing expenses. Growth in operating overhead expense was driven by higher investments within our NIKE Direct operations.</w:t>
      </w:r>
    </w:p>
    <w:p w14:paraId="746F1C0F" w14:textId="77777777" w:rsidR="008E7A10" w:rsidRDefault="00E047B2">
      <w:pPr>
        <w:spacing w:before="120"/>
      </w:pPr>
      <w:r>
        <w:rPr>
          <w:rFonts w:ascii="sans-serif" w:eastAsia="sans-serif" w:hAnsi="sans-serif" w:cs="sans-serif"/>
          <w:b/>
          <w:bCs/>
          <w:color w:val="808080"/>
          <w:sz w:val="22"/>
          <w:szCs w:val="22"/>
        </w:rPr>
        <w:t>FIRST SIX MONTHS OF FISCAL 2021 COMPARED TO FIRST SIX MONTHS OF FISCAL 2020</w:t>
      </w:r>
    </w:p>
    <w:p w14:paraId="746F1C10" w14:textId="77777777" w:rsidR="008E7A10" w:rsidRDefault="00E047B2">
      <w:pPr>
        <w:spacing w:after="120"/>
      </w:pPr>
      <w:r>
        <w:rPr>
          <w:rFonts w:ascii="Arial" w:eastAsia="宋体" w:hAnsi="Arial" w:cs="Arial"/>
          <w:color w:val="000000"/>
          <w:sz w:val="17"/>
          <w:szCs w:val="17"/>
        </w:rPr>
        <w:t>On a currency-ne</w:t>
      </w:r>
      <w:r>
        <w:rPr>
          <w:rFonts w:ascii="Arial" w:eastAsia="宋体" w:hAnsi="Arial" w:cs="Arial"/>
          <w:color w:val="000000"/>
          <w:sz w:val="17"/>
          <w:szCs w:val="17"/>
        </w:rPr>
        <w:t>utral basis, Greater China revenues for the first six months of fiscal 2021 increased 14%, driven by higher revenues in nearly all key categories, led by Sportswear, the Jordan Brand and NIKE Basketball. NIKE Direct revenues increased 27%, driven by digita</w:t>
      </w:r>
      <w:r>
        <w:rPr>
          <w:rFonts w:ascii="Arial" w:eastAsia="宋体" w:hAnsi="Arial" w:cs="Arial"/>
          <w:color w:val="000000"/>
          <w:sz w:val="17"/>
          <w:szCs w:val="17"/>
        </w:rPr>
        <w:t>l sales growth of 34%, comparable store sales growth of 20% and the addition of new stores.</w:t>
      </w:r>
    </w:p>
    <w:p w14:paraId="746F1C11" w14:textId="77777777" w:rsidR="008E7A10" w:rsidRDefault="00E047B2">
      <w:pPr>
        <w:spacing w:before="120" w:after="120"/>
      </w:pPr>
      <w:r>
        <w:rPr>
          <w:rFonts w:ascii="Arial" w:eastAsia="宋体" w:hAnsi="Arial" w:cs="Arial"/>
          <w:color w:val="000000"/>
          <w:sz w:val="17"/>
          <w:szCs w:val="17"/>
        </w:rPr>
        <w:t>Currency-neutral footwear revenues increased 15%, driven by growth in most key categories, led by Sportswear, the Jordan Brand and NIKE Basketball. Unit sales of fo</w:t>
      </w:r>
      <w:r>
        <w:rPr>
          <w:rFonts w:ascii="Arial" w:eastAsia="宋体" w:hAnsi="Arial" w:cs="Arial"/>
          <w:color w:val="000000"/>
          <w:sz w:val="17"/>
          <w:szCs w:val="17"/>
        </w:rPr>
        <w:t>otwear increased 22%, while lower ASP per pair reduced footwear revenues by approximately 7 percentage points. Lower ASP was driven by lower NIKE Direct ASP and unfavorable full-price mix.</w:t>
      </w:r>
    </w:p>
    <w:p w14:paraId="746F1C12" w14:textId="77777777" w:rsidR="008E7A10" w:rsidRDefault="00E047B2">
      <w:pPr>
        <w:spacing w:before="120" w:after="120"/>
      </w:pPr>
      <w:r>
        <w:rPr>
          <w:rFonts w:ascii="Arial" w:eastAsia="宋体" w:hAnsi="Arial" w:cs="Arial"/>
          <w:color w:val="000000"/>
          <w:sz w:val="17"/>
          <w:szCs w:val="17"/>
        </w:rPr>
        <w:t>Currency-neutral apparel revenue growth of 11% was fueled by higher</w:t>
      </w:r>
      <w:r>
        <w:rPr>
          <w:rFonts w:ascii="Arial" w:eastAsia="宋体" w:hAnsi="Arial" w:cs="Arial"/>
          <w:color w:val="000000"/>
          <w:sz w:val="17"/>
          <w:szCs w:val="17"/>
        </w:rPr>
        <w:t xml:space="preserve"> revenues in nearly all key categories, most notably Sportswear and the Jordan Brand. Unit sales of apparel increased 15%, while lower ASP per unit reduced apparel revenues by approximately 4 percentage points. Lower ASP was driven by an unfavorable full-p</w:t>
      </w:r>
      <w:r>
        <w:rPr>
          <w:rFonts w:ascii="Arial" w:eastAsia="宋体" w:hAnsi="Arial" w:cs="Arial"/>
          <w:color w:val="000000"/>
          <w:sz w:val="17"/>
          <w:szCs w:val="17"/>
        </w:rPr>
        <w:t>rice mix and lower NIKE Direct ASP, slightly offset by higher off-price ASP.</w:t>
      </w:r>
    </w:p>
    <w:p w14:paraId="746F1C13" w14:textId="77777777" w:rsidR="008E7A10" w:rsidRDefault="00E047B2">
      <w:pPr>
        <w:spacing w:before="120" w:after="120"/>
      </w:pPr>
      <w:r>
        <w:rPr>
          <w:rFonts w:ascii="Arial" w:eastAsia="宋体" w:hAnsi="Arial" w:cs="Arial"/>
          <w:color w:val="000000"/>
          <w:sz w:val="17"/>
          <w:szCs w:val="17"/>
        </w:rPr>
        <w:t>Reported EBIT increased 16%, as higher revenues and lower selling and administrative expense more than offset a decline in gross margin. Gross margin decreased approximately 390 b</w:t>
      </w:r>
      <w:r>
        <w:rPr>
          <w:rFonts w:ascii="Arial" w:eastAsia="宋体" w:hAnsi="Arial" w:cs="Arial"/>
          <w:color w:val="000000"/>
          <w:sz w:val="17"/>
          <w:szCs w:val="17"/>
        </w:rPr>
        <w:t>asis points primarily due to lower margin in our NIKE Direct business, unfavorable changes in standard foreign currency exchange rates and higher product costs. Selling and administrative expense decreased due to lower demand creation expense, partially of</w:t>
      </w:r>
      <w:r>
        <w:rPr>
          <w:rFonts w:ascii="Arial" w:eastAsia="宋体" w:hAnsi="Arial" w:cs="Arial"/>
          <w:color w:val="000000"/>
          <w:sz w:val="17"/>
          <w:szCs w:val="17"/>
        </w:rPr>
        <w:t>fset by higher operating overhead expense. Demand creation expense decreased primarily due to lower advertising and marketing expenses. Growth in operating overhead expense was driven by higher investments within our NIKE Direct operations.</w:t>
      </w:r>
    </w:p>
    <w:p w14:paraId="746F1C14" w14:textId="77777777" w:rsidR="008E7A10" w:rsidRDefault="00E047B2">
      <w:pPr>
        <w:spacing w:before="120" w:after="120"/>
      </w:pPr>
      <w:r>
        <w:rPr>
          <w:rFonts w:ascii="Arial" w:eastAsia="宋体" w:hAnsi="Arial" w:cs="Arial"/>
          <w:color w:val="E87722"/>
          <w:sz w:val="17"/>
          <w:szCs w:val="17"/>
        </w:rPr>
        <w:t>36</w:t>
      </w:r>
      <w:r>
        <w:rPr>
          <w:rFonts w:ascii="sans-serif" w:eastAsia="sans-serif" w:hAnsi="sans-serif" w:cs="sans-serif"/>
          <w:color w:val="000000"/>
          <w:sz w:val="17"/>
          <w:szCs w:val="17"/>
        </w:rPr>
        <w:t xml:space="preserve"> </w:t>
      </w:r>
    </w:p>
    <w:p w14:paraId="746F1C15" w14:textId="77777777" w:rsidR="008E7A10" w:rsidRDefault="00E047B2">
      <w:r>
        <w:pict w14:anchorId="746F202C">
          <v:rect id="_x0000_i1062" style="width:415.3pt;height:1.5pt" o:hralign="center" o:hrstd="t" o:hr="t" fillcolor="#a0a0a0" stroked="f"/>
        </w:pict>
      </w:r>
    </w:p>
    <w:p w14:paraId="746F1C16" w14:textId="77777777" w:rsidR="008E7A10" w:rsidRDefault="008E7A10"/>
    <w:p w14:paraId="746F1C17" w14:textId="77777777" w:rsidR="008E7A10" w:rsidRDefault="00E047B2">
      <w:hyperlink r:id="rId107" w:anchor="i31a624617c6c41b38f8f700fa0df5bde_7" w:history="1">
        <w:r>
          <w:rPr>
            <w:rStyle w:val="a5"/>
            <w:rFonts w:ascii="sans-serif" w:eastAsia="sans-serif" w:hAnsi="sans-serif" w:cs="sans-serif"/>
            <w:sz w:val="17"/>
            <w:szCs w:val="17"/>
          </w:rPr>
          <w:t>Table of Contents</w:t>
        </w:r>
      </w:hyperlink>
    </w:p>
    <w:p w14:paraId="746F1C18" w14:textId="77777777" w:rsidR="008E7A10" w:rsidRDefault="008E7A10"/>
    <w:p w14:paraId="746F1C19" w14:textId="77777777" w:rsidR="008E7A10" w:rsidRDefault="00E047B2">
      <w:pPr>
        <w:spacing w:before="240" w:after="120"/>
      </w:pPr>
      <w:r>
        <w:rPr>
          <w:rFonts w:ascii="sans-serif" w:eastAsia="sans-serif" w:hAnsi="sans-serif" w:cs="sans-serif"/>
          <w:b/>
          <w:bCs/>
          <w:color w:val="000000"/>
          <w:sz w:val="28"/>
          <w:szCs w:val="28"/>
        </w:rPr>
        <w:t>ASIA PACIFIC &amp; LATIN AMERICA</w:t>
      </w:r>
    </w:p>
    <w:tbl>
      <w:tblPr>
        <w:tblW w:w="5000" w:type="pct"/>
        <w:tblCellMar>
          <w:top w:w="15" w:type="dxa"/>
          <w:left w:w="15" w:type="dxa"/>
          <w:bottom w:w="15" w:type="dxa"/>
          <w:right w:w="15" w:type="dxa"/>
        </w:tblCellMar>
        <w:tblLook w:val="04A0" w:firstRow="1" w:lastRow="0" w:firstColumn="1" w:lastColumn="0" w:noHBand="0" w:noVBand="1"/>
      </w:tblPr>
      <w:tblGrid>
        <w:gridCol w:w="96"/>
        <w:gridCol w:w="2309"/>
        <w:gridCol w:w="35"/>
        <w:gridCol w:w="109"/>
        <w:gridCol w:w="441"/>
        <w:gridCol w:w="35"/>
        <w:gridCol w:w="109"/>
        <w:gridCol w:w="442"/>
        <w:gridCol w:w="36"/>
        <w:gridCol w:w="72"/>
        <w:gridCol w:w="525"/>
        <w:gridCol w:w="162"/>
        <w:gridCol w:w="95"/>
        <w:gridCol w:w="704"/>
        <w:gridCol w:w="162"/>
        <w:gridCol w:w="36"/>
        <w:gridCol w:w="36"/>
        <w:gridCol w:w="36"/>
        <w:gridCol w:w="110"/>
        <w:gridCol w:w="442"/>
        <w:gridCol w:w="36"/>
        <w:gridCol w:w="110"/>
        <w:gridCol w:w="442"/>
        <w:gridCol w:w="36"/>
        <w:gridCol w:w="72"/>
        <w:gridCol w:w="525"/>
        <w:gridCol w:w="162"/>
        <w:gridCol w:w="95"/>
        <w:gridCol w:w="704"/>
        <w:gridCol w:w="162"/>
      </w:tblGrid>
      <w:tr w:rsidR="008E7A10" w14:paraId="746F1C38" w14:textId="77777777">
        <w:tc>
          <w:tcPr>
            <w:tcW w:w="50" w:type="pct"/>
            <w:shd w:val="clear" w:color="auto" w:fill="auto"/>
          </w:tcPr>
          <w:p w14:paraId="746F1C1A" w14:textId="77777777" w:rsidR="008E7A10" w:rsidRDefault="008E7A10">
            <w:pPr>
              <w:rPr>
                <w:rFonts w:ascii="宋体"/>
              </w:rPr>
            </w:pPr>
          </w:p>
        </w:tc>
        <w:tc>
          <w:tcPr>
            <w:tcW w:w="1387" w:type="pct"/>
            <w:shd w:val="clear" w:color="auto" w:fill="auto"/>
          </w:tcPr>
          <w:p w14:paraId="746F1C1B" w14:textId="77777777" w:rsidR="008E7A10" w:rsidRDefault="008E7A10">
            <w:pPr>
              <w:rPr>
                <w:rFonts w:ascii="宋体"/>
              </w:rPr>
            </w:pPr>
          </w:p>
        </w:tc>
        <w:tc>
          <w:tcPr>
            <w:tcW w:w="5" w:type="pct"/>
            <w:shd w:val="clear" w:color="auto" w:fill="auto"/>
          </w:tcPr>
          <w:p w14:paraId="746F1C1C" w14:textId="77777777" w:rsidR="008E7A10" w:rsidRDefault="008E7A10">
            <w:pPr>
              <w:rPr>
                <w:rFonts w:ascii="宋体"/>
              </w:rPr>
            </w:pPr>
          </w:p>
        </w:tc>
        <w:tc>
          <w:tcPr>
            <w:tcW w:w="50" w:type="pct"/>
            <w:shd w:val="clear" w:color="auto" w:fill="auto"/>
          </w:tcPr>
          <w:p w14:paraId="746F1C1D" w14:textId="77777777" w:rsidR="008E7A10" w:rsidRDefault="008E7A10">
            <w:pPr>
              <w:rPr>
                <w:rFonts w:ascii="宋体"/>
              </w:rPr>
            </w:pPr>
          </w:p>
        </w:tc>
        <w:tc>
          <w:tcPr>
            <w:tcW w:w="384" w:type="pct"/>
            <w:shd w:val="clear" w:color="auto" w:fill="auto"/>
          </w:tcPr>
          <w:p w14:paraId="746F1C1E" w14:textId="77777777" w:rsidR="008E7A10" w:rsidRDefault="008E7A10">
            <w:pPr>
              <w:rPr>
                <w:rFonts w:ascii="宋体"/>
              </w:rPr>
            </w:pPr>
          </w:p>
        </w:tc>
        <w:tc>
          <w:tcPr>
            <w:tcW w:w="5" w:type="pct"/>
            <w:shd w:val="clear" w:color="auto" w:fill="auto"/>
          </w:tcPr>
          <w:p w14:paraId="746F1C1F" w14:textId="77777777" w:rsidR="008E7A10" w:rsidRDefault="008E7A10">
            <w:pPr>
              <w:rPr>
                <w:rFonts w:ascii="宋体"/>
              </w:rPr>
            </w:pPr>
          </w:p>
        </w:tc>
        <w:tc>
          <w:tcPr>
            <w:tcW w:w="50" w:type="pct"/>
            <w:shd w:val="clear" w:color="auto" w:fill="auto"/>
          </w:tcPr>
          <w:p w14:paraId="746F1C20" w14:textId="77777777" w:rsidR="008E7A10" w:rsidRDefault="008E7A10">
            <w:pPr>
              <w:rPr>
                <w:rFonts w:ascii="宋体"/>
              </w:rPr>
            </w:pPr>
          </w:p>
        </w:tc>
        <w:tc>
          <w:tcPr>
            <w:tcW w:w="384" w:type="pct"/>
            <w:shd w:val="clear" w:color="auto" w:fill="auto"/>
          </w:tcPr>
          <w:p w14:paraId="746F1C21" w14:textId="77777777" w:rsidR="008E7A10" w:rsidRDefault="008E7A10">
            <w:pPr>
              <w:rPr>
                <w:rFonts w:ascii="宋体"/>
              </w:rPr>
            </w:pPr>
          </w:p>
        </w:tc>
        <w:tc>
          <w:tcPr>
            <w:tcW w:w="5" w:type="pct"/>
            <w:shd w:val="clear" w:color="auto" w:fill="auto"/>
          </w:tcPr>
          <w:p w14:paraId="746F1C22" w14:textId="77777777" w:rsidR="008E7A10" w:rsidRDefault="008E7A10">
            <w:pPr>
              <w:rPr>
                <w:rFonts w:ascii="宋体"/>
              </w:rPr>
            </w:pPr>
          </w:p>
        </w:tc>
        <w:tc>
          <w:tcPr>
            <w:tcW w:w="50" w:type="pct"/>
            <w:shd w:val="clear" w:color="auto" w:fill="auto"/>
          </w:tcPr>
          <w:p w14:paraId="746F1C23" w14:textId="77777777" w:rsidR="008E7A10" w:rsidRDefault="008E7A10">
            <w:pPr>
              <w:rPr>
                <w:rFonts w:ascii="宋体"/>
              </w:rPr>
            </w:pPr>
          </w:p>
        </w:tc>
        <w:tc>
          <w:tcPr>
            <w:tcW w:w="384" w:type="pct"/>
            <w:shd w:val="clear" w:color="auto" w:fill="auto"/>
          </w:tcPr>
          <w:p w14:paraId="746F1C24" w14:textId="77777777" w:rsidR="008E7A10" w:rsidRDefault="008E7A10">
            <w:pPr>
              <w:rPr>
                <w:rFonts w:ascii="宋体"/>
              </w:rPr>
            </w:pPr>
          </w:p>
        </w:tc>
        <w:tc>
          <w:tcPr>
            <w:tcW w:w="5" w:type="pct"/>
            <w:shd w:val="clear" w:color="auto" w:fill="auto"/>
          </w:tcPr>
          <w:p w14:paraId="746F1C25" w14:textId="77777777" w:rsidR="008E7A10" w:rsidRDefault="008E7A10">
            <w:pPr>
              <w:rPr>
                <w:rFonts w:ascii="宋体"/>
              </w:rPr>
            </w:pPr>
          </w:p>
        </w:tc>
        <w:tc>
          <w:tcPr>
            <w:tcW w:w="50" w:type="pct"/>
            <w:shd w:val="clear" w:color="auto" w:fill="auto"/>
          </w:tcPr>
          <w:p w14:paraId="746F1C26" w14:textId="77777777" w:rsidR="008E7A10" w:rsidRDefault="008E7A10">
            <w:pPr>
              <w:rPr>
                <w:rFonts w:ascii="宋体"/>
              </w:rPr>
            </w:pPr>
          </w:p>
        </w:tc>
        <w:tc>
          <w:tcPr>
            <w:tcW w:w="384" w:type="pct"/>
            <w:shd w:val="clear" w:color="auto" w:fill="auto"/>
          </w:tcPr>
          <w:p w14:paraId="746F1C27" w14:textId="77777777" w:rsidR="008E7A10" w:rsidRDefault="008E7A10">
            <w:pPr>
              <w:rPr>
                <w:rFonts w:ascii="宋体"/>
              </w:rPr>
            </w:pPr>
          </w:p>
        </w:tc>
        <w:tc>
          <w:tcPr>
            <w:tcW w:w="5" w:type="pct"/>
            <w:shd w:val="clear" w:color="auto" w:fill="auto"/>
          </w:tcPr>
          <w:p w14:paraId="746F1C28" w14:textId="77777777" w:rsidR="008E7A10" w:rsidRDefault="008E7A10">
            <w:pPr>
              <w:rPr>
                <w:rFonts w:ascii="宋体"/>
              </w:rPr>
            </w:pPr>
          </w:p>
        </w:tc>
        <w:tc>
          <w:tcPr>
            <w:tcW w:w="5" w:type="pct"/>
            <w:shd w:val="clear" w:color="auto" w:fill="auto"/>
          </w:tcPr>
          <w:p w14:paraId="746F1C29" w14:textId="77777777" w:rsidR="008E7A10" w:rsidRDefault="008E7A10">
            <w:pPr>
              <w:rPr>
                <w:rFonts w:ascii="宋体"/>
              </w:rPr>
            </w:pPr>
          </w:p>
        </w:tc>
        <w:tc>
          <w:tcPr>
            <w:tcW w:w="28" w:type="pct"/>
            <w:shd w:val="clear" w:color="auto" w:fill="auto"/>
          </w:tcPr>
          <w:p w14:paraId="746F1C2A" w14:textId="77777777" w:rsidR="008E7A10" w:rsidRDefault="008E7A10">
            <w:pPr>
              <w:rPr>
                <w:rFonts w:ascii="宋体"/>
              </w:rPr>
            </w:pPr>
          </w:p>
        </w:tc>
        <w:tc>
          <w:tcPr>
            <w:tcW w:w="5" w:type="pct"/>
            <w:shd w:val="clear" w:color="auto" w:fill="auto"/>
          </w:tcPr>
          <w:p w14:paraId="746F1C2B" w14:textId="77777777" w:rsidR="008E7A10" w:rsidRDefault="008E7A10">
            <w:pPr>
              <w:rPr>
                <w:rFonts w:ascii="宋体"/>
              </w:rPr>
            </w:pPr>
          </w:p>
        </w:tc>
        <w:tc>
          <w:tcPr>
            <w:tcW w:w="50" w:type="pct"/>
            <w:shd w:val="clear" w:color="auto" w:fill="auto"/>
          </w:tcPr>
          <w:p w14:paraId="746F1C2C" w14:textId="77777777" w:rsidR="008E7A10" w:rsidRDefault="008E7A10">
            <w:pPr>
              <w:rPr>
                <w:rFonts w:ascii="宋体"/>
              </w:rPr>
            </w:pPr>
          </w:p>
        </w:tc>
        <w:tc>
          <w:tcPr>
            <w:tcW w:w="384" w:type="pct"/>
            <w:shd w:val="clear" w:color="auto" w:fill="auto"/>
          </w:tcPr>
          <w:p w14:paraId="746F1C2D" w14:textId="77777777" w:rsidR="008E7A10" w:rsidRDefault="008E7A10">
            <w:pPr>
              <w:rPr>
                <w:rFonts w:ascii="宋体"/>
              </w:rPr>
            </w:pPr>
          </w:p>
        </w:tc>
        <w:tc>
          <w:tcPr>
            <w:tcW w:w="5" w:type="pct"/>
            <w:shd w:val="clear" w:color="auto" w:fill="auto"/>
          </w:tcPr>
          <w:p w14:paraId="746F1C2E" w14:textId="77777777" w:rsidR="008E7A10" w:rsidRDefault="008E7A10">
            <w:pPr>
              <w:rPr>
                <w:rFonts w:ascii="宋体"/>
              </w:rPr>
            </w:pPr>
          </w:p>
        </w:tc>
        <w:tc>
          <w:tcPr>
            <w:tcW w:w="50" w:type="pct"/>
            <w:shd w:val="clear" w:color="auto" w:fill="auto"/>
          </w:tcPr>
          <w:p w14:paraId="746F1C2F" w14:textId="77777777" w:rsidR="008E7A10" w:rsidRDefault="008E7A10">
            <w:pPr>
              <w:rPr>
                <w:rFonts w:ascii="宋体"/>
              </w:rPr>
            </w:pPr>
          </w:p>
        </w:tc>
        <w:tc>
          <w:tcPr>
            <w:tcW w:w="384" w:type="pct"/>
            <w:shd w:val="clear" w:color="auto" w:fill="auto"/>
          </w:tcPr>
          <w:p w14:paraId="746F1C30" w14:textId="77777777" w:rsidR="008E7A10" w:rsidRDefault="008E7A10">
            <w:pPr>
              <w:rPr>
                <w:rFonts w:ascii="宋体"/>
              </w:rPr>
            </w:pPr>
          </w:p>
        </w:tc>
        <w:tc>
          <w:tcPr>
            <w:tcW w:w="5" w:type="pct"/>
            <w:shd w:val="clear" w:color="auto" w:fill="auto"/>
          </w:tcPr>
          <w:p w14:paraId="746F1C31" w14:textId="77777777" w:rsidR="008E7A10" w:rsidRDefault="008E7A10">
            <w:pPr>
              <w:rPr>
                <w:rFonts w:ascii="宋体"/>
              </w:rPr>
            </w:pPr>
          </w:p>
        </w:tc>
        <w:tc>
          <w:tcPr>
            <w:tcW w:w="50" w:type="pct"/>
            <w:shd w:val="clear" w:color="auto" w:fill="auto"/>
          </w:tcPr>
          <w:p w14:paraId="746F1C32" w14:textId="77777777" w:rsidR="008E7A10" w:rsidRDefault="008E7A10">
            <w:pPr>
              <w:rPr>
                <w:rFonts w:ascii="宋体"/>
              </w:rPr>
            </w:pPr>
          </w:p>
        </w:tc>
        <w:tc>
          <w:tcPr>
            <w:tcW w:w="384" w:type="pct"/>
            <w:shd w:val="clear" w:color="auto" w:fill="auto"/>
          </w:tcPr>
          <w:p w14:paraId="746F1C33" w14:textId="77777777" w:rsidR="008E7A10" w:rsidRDefault="008E7A10">
            <w:pPr>
              <w:rPr>
                <w:rFonts w:ascii="宋体"/>
              </w:rPr>
            </w:pPr>
          </w:p>
        </w:tc>
        <w:tc>
          <w:tcPr>
            <w:tcW w:w="5" w:type="pct"/>
            <w:shd w:val="clear" w:color="auto" w:fill="auto"/>
          </w:tcPr>
          <w:p w14:paraId="746F1C34" w14:textId="77777777" w:rsidR="008E7A10" w:rsidRDefault="008E7A10">
            <w:pPr>
              <w:rPr>
                <w:rFonts w:ascii="宋体"/>
              </w:rPr>
            </w:pPr>
          </w:p>
        </w:tc>
        <w:tc>
          <w:tcPr>
            <w:tcW w:w="50" w:type="pct"/>
            <w:shd w:val="clear" w:color="auto" w:fill="auto"/>
          </w:tcPr>
          <w:p w14:paraId="746F1C35" w14:textId="77777777" w:rsidR="008E7A10" w:rsidRDefault="008E7A10">
            <w:pPr>
              <w:rPr>
                <w:rFonts w:ascii="宋体"/>
              </w:rPr>
            </w:pPr>
          </w:p>
        </w:tc>
        <w:tc>
          <w:tcPr>
            <w:tcW w:w="384" w:type="pct"/>
            <w:shd w:val="clear" w:color="auto" w:fill="auto"/>
          </w:tcPr>
          <w:p w14:paraId="746F1C36" w14:textId="77777777" w:rsidR="008E7A10" w:rsidRDefault="008E7A10">
            <w:pPr>
              <w:rPr>
                <w:rFonts w:ascii="宋体"/>
              </w:rPr>
            </w:pPr>
          </w:p>
        </w:tc>
        <w:tc>
          <w:tcPr>
            <w:tcW w:w="5" w:type="pct"/>
            <w:shd w:val="clear" w:color="auto" w:fill="auto"/>
          </w:tcPr>
          <w:p w14:paraId="746F1C37" w14:textId="77777777" w:rsidR="008E7A10" w:rsidRDefault="008E7A10">
            <w:pPr>
              <w:rPr>
                <w:rFonts w:ascii="宋体"/>
              </w:rPr>
            </w:pPr>
          </w:p>
        </w:tc>
      </w:tr>
      <w:tr w:rsidR="008E7A10" w14:paraId="746F1C3D" w14:textId="77777777">
        <w:tc>
          <w:tcPr>
            <w:tcW w:w="0" w:type="auto"/>
            <w:gridSpan w:val="3"/>
            <w:shd w:val="clear" w:color="auto" w:fill="auto"/>
            <w:tcMar>
              <w:top w:w="0" w:type="dxa"/>
              <w:left w:w="20" w:type="dxa"/>
              <w:bottom w:w="0" w:type="dxa"/>
              <w:right w:w="20" w:type="dxa"/>
            </w:tcMar>
          </w:tcPr>
          <w:p w14:paraId="746F1C39"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C3A"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C3B"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C3C"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C48" w14:textId="77777777">
        <w:tc>
          <w:tcPr>
            <w:tcW w:w="0" w:type="auto"/>
            <w:gridSpan w:val="3"/>
            <w:shd w:val="clear" w:color="auto" w:fill="auto"/>
            <w:tcMar>
              <w:top w:w="40" w:type="dxa"/>
              <w:left w:w="20" w:type="dxa"/>
              <w:bottom w:w="40" w:type="dxa"/>
              <w:right w:w="20" w:type="dxa"/>
            </w:tcMar>
            <w:vAlign w:val="bottom"/>
          </w:tcPr>
          <w:p w14:paraId="746F1C3E"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3F"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40"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41"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42" w14:textId="77777777" w:rsidR="008E7A10" w:rsidRDefault="00E047B2">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tcPr>
          <w:p w14:paraId="746F1C43"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44"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45"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46"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47" w14:textId="77777777" w:rsidR="008E7A10" w:rsidRDefault="00E047B2">
            <w:pPr>
              <w:jc w:val="right"/>
              <w:textAlignment w:val="bottom"/>
            </w:pPr>
            <w:r>
              <w:rPr>
                <w:rFonts w:ascii="sans-serif" w:eastAsia="sans-serif" w:hAnsi="sans-serif" w:cs="sans-serif"/>
                <w:b/>
                <w:bCs/>
                <w:color w:val="000000"/>
                <w:sz w:val="17"/>
                <w:szCs w:val="17"/>
              </w:rPr>
              <w:t>% CHANGE EXCLUDING CURRENCY CHANGES</w:t>
            </w:r>
          </w:p>
        </w:tc>
      </w:tr>
      <w:tr w:rsidR="008E7A10" w14:paraId="746F1C5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49"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746F1C4A"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4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4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4D"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4E"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C4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5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5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52" w14:textId="77777777" w:rsidR="008E7A10" w:rsidRDefault="008E7A10">
            <w:pPr>
              <w:rPr>
                <w:rFonts w:ascii="宋体"/>
              </w:rPr>
            </w:pPr>
          </w:p>
        </w:tc>
      </w:tr>
      <w:tr w:rsidR="008E7A10" w14:paraId="746F1C6A"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C54" w14:textId="77777777" w:rsidR="008E7A10" w:rsidRDefault="00E047B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C5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C56" w14:textId="77777777" w:rsidR="008E7A10" w:rsidRDefault="00E047B2">
            <w:pPr>
              <w:jc w:val="right"/>
              <w:textAlignment w:val="bottom"/>
            </w:pPr>
            <w:r>
              <w:rPr>
                <w:rFonts w:ascii="Arial" w:eastAsia="宋体" w:hAnsi="Arial" w:cs="Arial"/>
                <w:color w:val="000000"/>
                <w:sz w:val="17"/>
                <w:szCs w:val="17"/>
              </w:rPr>
              <w:t>991 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C57"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C5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C59" w14:textId="77777777" w:rsidR="008E7A10" w:rsidRDefault="00E047B2">
            <w:pPr>
              <w:jc w:val="right"/>
              <w:textAlignment w:val="bottom"/>
            </w:pPr>
            <w:r>
              <w:rPr>
                <w:rFonts w:ascii="Arial" w:eastAsia="宋体" w:hAnsi="Arial" w:cs="Arial"/>
                <w:color w:val="000000"/>
                <w:sz w:val="17"/>
                <w:szCs w:val="17"/>
              </w:rPr>
              <w:t>997 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5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5B"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5C"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5D"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5E"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C5F"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C60"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C61" w14:textId="77777777" w:rsidR="008E7A10" w:rsidRDefault="00E047B2">
            <w:pPr>
              <w:jc w:val="right"/>
              <w:textAlignment w:val="bottom"/>
            </w:pPr>
            <w:r>
              <w:rPr>
                <w:rFonts w:ascii="Arial" w:eastAsia="宋体" w:hAnsi="Arial" w:cs="Arial"/>
                <w:color w:val="000000"/>
                <w:sz w:val="17"/>
                <w:szCs w:val="17"/>
              </w:rPr>
              <w:t>1,749 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C62"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C63"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C64" w14:textId="77777777" w:rsidR="008E7A10" w:rsidRDefault="00E047B2">
            <w:pPr>
              <w:jc w:val="right"/>
              <w:textAlignment w:val="bottom"/>
            </w:pPr>
            <w:r>
              <w:rPr>
                <w:rFonts w:ascii="Arial" w:eastAsia="宋体" w:hAnsi="Arial" w:cs="Arial"/>
                <w:color w:val="000000"/>
                <w:sz w:val="17"/>
                <w:szCs w:val="17"/>
              </w:rPr>
              <w:t>1,927 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6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66"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67"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68"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69" w14:textId="77777777" w:rsidR="008E7A10" w:rsidRDefault="00E047B2">
            <w:pPr>
              <w:jc w:val="right"/>
              <w:textAlignment w:val="bottom"/>
            </w:pPr>
            <w:r>
              <w:rPr>
                <w:rFonts w:ascii="Arial" w:eastAsia="宋体" w:hAnsi="Arial" w:cs="Arial"/>
                <w:color w:val="000000"/>
                <w:sz w:val="17"/>
                <w:szCs w:val="17"/>
              </w:rPr>
              <w:t>%</w:t>
            </w:r>
          </w:p>
        </w:tc>
      </w:tr>
      <w:tr w:rsidR="008E7A10" w14:paraId="746F1C7D"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C6B" w14:textId="77777777" w:rsidR="008E7A10" w:rsidRDefault="00E047B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C6C" w14:textId="77777777" w:rsidR="008E7A10" w:rsidRDefault="00E047B2">
            <w:pPr>
              <w:jc w:val="right"/>
              <w:textAlignment w:val="bottom"/>
            </w:pPr>
            <w:r>
              <w:rPr>
                <w:rFonts w:ascii="Arial" w:eastAsia="宋体" w:hAnsi="Arial" w:cs="Arial"/>
                <w:color w:val="000000"/>
                <w:sz w:val="17"/>
                <w:szCs w:val="17"/>
              </w:rPr>
              <w:t>432 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C6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6E" w14:textId="77777777" w:rsidR="008E7A10" w:rsidRDefault="00E047B2">
            <w:pPr>
              <w:jc w:val="right"/>
              <w:textAlignment w:val="bottom"/>
            </w:pPr>
            <w:r>
              <w:rPr>
                <w:rFonts w:ascii="Arial" w:eastAsia="宋体" w:hAnsi="Arial" w:cs="Arial"/>
                <w:color w:val="000000"/>
                <w:sz w:val="17"/>
                <w:szCs w:val="17"/>
              </w:rPr>
              <w:t>410 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6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70"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71"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72"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73"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C74"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C75" w14:textId="77777777" w:rsidR="008E7A10" w:rsidRDefault="00E047B2">
            <w:pPr>
              <w:jc w:val="right"/>
              <w:textAlignment w:val="bottom"/>
            </w:pPr>
            <w:r>
              <w:rPr>
                <w:rFonts w:ascii="Arial" w:eastAsia="宋体" w:hAnsi="Arial" w:cs="Arial"/>
                <w:color w:val="000000"/>
                <w:sz w:val="17"/>
                <w:szCs w:val="17"/>
              </w:rPr>
              <w:t>733 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C7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77" w14:textId="77777777" w:rsidR="008E7A10" w:rsidRDefault="00E047B2">
            <w:pPr>
              <w:jc w:val="right"/>
              <w:textAlignment w:val="bottom"/>
            </w:pPr>
            <w:r>
              <w:rPr>
                <w:rFonts w:ascii="Arial" w:eastAsia="宋体" w:hAnsi="Arial" w:cs="Arial"/>
                <w:color w:val="000000"/>
                <w:sz w:val="17"/>
                <w:szCs w:val="17"/>
              </w:rPr>
              <w:t>766 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7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79"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7A"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7B" w14:textId="77777777" w:rsidR="008E7A10" w:rsidRDefault="00E047B2">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7C" w14:textId="77777777" w:rsidR="008E7A10" w:rsidRDefault="00E047B2">
            <w:pPr>
              <w:jc w:val="right"/>
              <w:textAlignment w:val="bottom"/>
            </w:pPr>
            <w:r>
              <w:rPr>
                <w:rFonts w:ascii="Arial" w:eastAsia="宋体" w:hAnsi="Arial" w:cs="Arial"/>
                <w:color w:val="000000"/>
                <w:sz w:val="17"/>
                <w:szCs w:val="17"/>
              </w:rPr>
              <w:t>%</w:t>
            </w:r>
          </w:p>
        </w:tc>
      </w:tr>
      <w:tr w:rsidR="008E7A10" w14:paraId="746F1C90"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C7E" w14:textId="77777777" w:rsidR="008E7A10" w:rsidRDefault="00E047B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C7F" w14:textId="77777777" w:rsidR="008E7A10" w:rsidRDefault="00E047B2">
            <w:pPr>
              <w:jc w:val="right"/>
              <w:textAlignment w:val="bottom"/>
            </w:pPr>
            <w:r>
              <w:rPr>
                <w:rFonts w:ascii="Arial" w:eastAsia="宋体" w:hAnsi="Arial" w:cs="Arial"/>
                <w:color w:val="000000"/>
                <w:sz w:val="17"/>
                <w:szCs w:val="17"/>
              </w:rPr>
              <w:t>48 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C8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81" w14:textId="77777777" w:rsidR="008E7A10" w:rsidRDefault="00E047B2">
            <w:pPr>
              <w:jc w:val="right"/>
              <w:textAlignment w:val="bottom"/>
            </w:pPr>
            <w:r>
              <w:rPr>
                <w:rFonts w:ascii="Arial" w:eastAsia="宋体" w:hAnsi="Arial" w:cs="Arial"/>
                <w:color w:val="000000"/>
                <w:sz w:val="17"/>
                <w:szCs w:val="17"/>
              </w:rPr>
              <w:t>61 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8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83" w14:textId="77777777" w:rsidR="008E7A10" w:rsidRDefault="00E047B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84"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85"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86"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C87"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C88" w14:textId="77777777" w:rsidR="008E7A10" w:rsidRDefault="00E047B2">
            <w:pPr>
              <w:jc w:val="right"/>
              <w:textAlignment w:val="bottom"/>
            </w:pPr>
            <w:r>
              <w:rPr>
                <w:rFonts w:ascii="Arial" w:eastAsia="宋体" w:hAnsi="Arial" w:cs="Arial"/>
                <w:color w:val="000000"/>
                <w:sz w:val="17"/>
                <w:szCs w:val="17"/>
              </w:rPr>
              <w:t>88 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C8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8A" w14:textId="77777777" w:rsidR="008E7A10" w:rsidRDefault="00E047B2">
            <w:pPr>
              <w:jc w:val="right"/>
              <w:textAlignment w:val="bottom"/>
            </w:pPr>
            <w:r>
              <w:rPr>
                <w:rFonts w:ascii="Arial" w:eastAsia="宋体" w:hAnsi="Arial" w:cs="Arial"/>
                <w:color w:val="000000"/>
                <w:sz w:val="17"/>
                <w:szCs w:val="17"/>
              </w:rPr>
              <w:t>120 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8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8C" w14:textId="77777777" w:rsidR="008E7A10" w:rsidRDefault="00E047B2">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8D"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8E" w14:textId="77777777" w:rsidR="008E7A10" w:rsidRDefault="00E047B2">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8F" w14:textId="77777777" w:rsidR="008E7A10" w:rsidRDefault="00E047B2">
            <w:pPr>
              <w:jc w:val="right"/>
              <w:textAlignment w:val="bottom"/>
            </w:pPr>
            <w:r>
              <w:rPr>
                <w:rFonts w:ascii="Arial" w:eastAsia="宋体" w:hAnsi="Arial" w:cs="Arial"/>
                <w:color w:val="000000"/>
                <w:sz w:val="17"/>
                <w:szCs w:val="17"/>
              </w:rPr>
              <w:t>%</w:t>
            </w:r>
          </w:p>
        </w:tc>
      </w:tr>
      <w:tr w:rsidR="008E7A10" w14:paraId="746F1CA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91"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C9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C93" w14:textId="77777777" w:rsidR="008E7A10" w:rsidRDefault="00E047B2">
            <w:pPr>
              <w:jc w:val="right"/>
              <w:textAlignment w:val="bottom"/>
            </w:pPr>
            <w:r>
              <w:rPr>
                <w:rFonts w:ascii="Arial" w:eastAsia="宋体" w:hAnsi="Arial" w:cs="Arial"/>
                <w:b/>
                <w:bCs/>
                <w:color w:val="000000"/>
                <w:sz w:val="17"/>
                <w:szCs w:val="17"/>
              </w:rPr>
              <w:t>1,471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C94"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C9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C96" w14:textId="77777777" w:rsidR="008E7A10" w:rsidRDefault="00E047B2">
            <w:pPr>
              <w:jc w:val="right"/>
              <w:textAlignment w:val="bottom"/>
            </w:pPr>
            <w:r>
              <w:rPr>
                <w:rFonts w:ascii="Arial" w:eastAsia="宋体" w:hAnsi="Arial" w:cs="Arial"/>
                <w:b/>
                <w:bCs/>
                <w:color w:val="000000"/>
                <w:sz w:val="17"/>
                <w:szCs w:val="17"/>
              </w:rPr>
              <w:t>1,468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97"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C98" w14:textId="77777777" w:rsidR="008E7A10" w:rsidRDefault="00E047B2">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99"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C9A" w14:textId="77777777" w:rsidR="008E7A10" w:rsidRDefault="00E047B2">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9B"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C9C"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C9D"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C9E" w14:textId="77777777" w:rsidR="008E7A10" w:rsidRDefault="00E047B2">
            <w:pPr>
              <w:jc w:val="right"/>
              <w:textAlignment w:val="bottom"/>
            </w:pPr>
            <w:r>
              <w:rPr>
                <w:rFonts w:ascii="Arial" w:eastAsia="宋体" w:hAnsi="Arial" w:cs="Arial"/>
                <w:b/>
                <w:bCs/>
                <w:color w:val="000000"/>
                <w:sz w:val="17"/>
                <w:szCs w:val="17"/>
              </w:rPr>
              <w:t>2,570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C9F"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CA0"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CA1" w14:textId="77777777" w:rsidR="008E7A10" w:rsidRDefault="00E047B2">
            <w:pPr>
              <w:jc w:val="right"/>
              <w:textAlignment w:val="bottom"/>
            </w:pPr>
            <w:r>
              <w:rPr>
                <w:rFonts w:ascii="Arial" w:eastAsia="宋体" w:hAnsi="Arial" w:cs="Arial"/>
                <w:b/>
                <w:bCs/>
                <w:color w:val="000000"/>
                <w:sz w:val="17"/>
                <w:szCs w:val="17"/>
              </w:rPr>
              <w:t>2,813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A2"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CA3" w14:textId="77777777" w:rsidR="008E7A10" w:rsidRDefault="00E047B2">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A4"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CA5"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A6" w14:textId="77777777" w:rsidR="008E7A10" w:rsidRDefault="00E047B2">
            <w:pPr>
              <w:jc w:val="right"/>
              <w:textAlignment w:val="bottom"/>
            </w:pPr>
            <w:r>
              <w:rPr>
                <w:rFonts w:ascii="Arial" w:eastAsia="宋体" w:hAnsi="Arial" w:cs="Arial"/>
                <w:b/>
                <w:bCs/>
                <w:color w:val="000000"/>
                <w:sz w:val="17"/>
                <w:szCs w:val="17"/>
              </w:rPr>
              <w:t>%</w:t>
            </w:r>
          </w:p>
        </w:tc>
      </w:tr>
      <w:tr w:rsidR="008E7A10" w14:paraId="746F1CB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A8"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746F1CA9"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AA"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AB"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AC"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AD"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CA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A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B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CB1" w14:textId="77777777" w:rsidR="008E7A10" w:rsidRDefault="008E7A10">
            <w:pPr>
              <w:rPr>
                <w:rFonts w:ascii="宋体"/>
              </w:rPr>
            </w:pPr>
          </w:p>
        </w:tc>
      </w:tr>
      <w:tr w:rsidR="008E7A10" w14:paraId="746F1CC9"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CB3" w14:textId="77777777" w:rsidR="008E7A10" w:rsidRDefault="00E047B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CB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CB5" w14:textId="77777777" w:rsidR="008E7A10" w:rsidRDefault="00E047B2">
            <w:pPr>
              <w:jc w:val="right"/>
              <w:textAlignment w:val="bottom"/>
            </w:pPr>
            <w:r>
              <w:rPr>
                <w:rFonts w:ascii="Arial" w:eastAsia="宋体" w:hAnsi="Arial" w:cs="Arial"/>
                <w:color w:val="000000"/>
                <w:sz w:val="17"/>
                <w:szCs w:val="17"/>
              </w:rPr>
              <w:t>925 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CB6"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CB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CB8" w14:textId="77777777" w:rsidR="008E7A10" w:rsidRDefault="00E047B2">
            <w:pPr>
              <w:jc w:val="right"/>
              <w:textAlignment w:val="bottom"/>
            </w:pPr>
            <w:r>
              <w:rPr>
                <w:rFonts w:ascii="Arial" w:eastAsia="宋体" w:hAnsi="Arial" w:cs="Arial"/>
                <w:color w:val="000000"/>
                <w:sz w:val="17"/>
                <w:szCs w:val="17"/>
              </w:rPr>
              <w:t>1,022 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B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BA"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BB"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BC"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BD"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CBE"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CBF"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CC0" w14:textId="77777777" w:rsidR="008E7A10" w:rsidRDefault="00E047B2">
            <w:pPr>
              <w:jc w:val="right"/>
              <w:textAlignment w:val="bottom"/>
            </w:pPr>
            <w:r>
              <w:rPr>
                <w:rFonts w:ascii="Arial" w:eastAsia="宋体" w:hAnsi="Arial" w:cs="Arial"/>
                <w:color w:val="000000"/>
                <w:sz w:val="17"/>
                <w:szCs w:val="17"/>
              </w:rPr>
              <w:t>1,633 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CC1"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CC2"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CC3" w14:textId="77777777" w:rsidR="008E7A10" w:rsidRDefault="00E047B2">
            <w:pPr>
              <w:jc w:val="right"/>
              <w:textAlignment w:val="bottom"/>
            </w:pPr>
            <w:r>
              <w:rPr>
                <w:rFonts w:ascii="Arial" w:eastAsia="宋体" w:hAnsi="Arial" w:cs="Arial"/>
                <w:color w:val="000000"/>
                <w:sz w:val="17"/>
                <w:szCs w:val="17"/>
              </w:rPr>
              <w:t>1,972 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C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C5"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C6"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C7"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C8" w14:textId="77777777" w:rsidR="008E7A10" w:rsidRDefault="00E047B2">
            <w:pPr>
              <w:jc w:val="right"/>
              <w:textAlignment w:val="bottom"/>
            </w:pPr>
            <w:r>
              <w:rPr>
                <w:rFonts w:ascii="Arial" w:eastAsia="宋体" w:hAnsi="Arial" w:cs="Arial"/>
                <w:color w:val="000000"/>
                <w:sz w:val="17"/>
                <w:szCs w:val="17"/>
              </w:rPr>
              <w:t>%</w:t>
            </w:r>
          </w:p>
        </w:tc>
      </w:tr>
      <w:tr w:rsidR="008E7A10" w14:paraId="746F1CDC"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CCA" w14:textId="77777777" w:rsidR="008E7A10" w:rsidRDefault="00E047B2">
            <w:pPr>
              <w:textAlignment w:val="bottom"/>
            </w:pPr>
            <w:r>
              <w:rPr>
                <w:rFonts w:ascii="Arial" w:eastAsia="宋体" w:hAnsi="Arial" w:cs="Arial"/>
                <w:color w:val="000000"/>
                <w:sz w:val="17"/>
                <w:szCs w:val="17"/>
              </w:rPr>
              <w:t xml:space="preserve">Sales through </w:t>
            </w:r>
            <w:r>
              <w:rPr>
                <w:rFonts w:ascii="Arial" w:eastAsia="宋体" w:hAnsi="Arial" w:cs="Arial"/>
                <w:color w:val="000000"/>
                <w:sz w:val="17"/>
                <w:szCs w:val="17"/>
              </w:rPr>
              <w:t>NIKE Direct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CCB" w14:textId="77777777" w:rsidR="008E7A10" w:rsidRDefault="00E047B2">
            <w:pPr>
              <w:jc w:val="right"/>
              <w:textAlignment w:val="bottom"/>
            </w:pPr>
            <w:r>
              <w:rPr>
                <w:rFonts w:ascii="Arial" w:eastAsia="宋体" w:hAnsi="Arial" w:cs="Arial"/>
                <w:color w:val="000000"/>
                <w:sz w:val="17"/>
                <w:szCs w:val="17"/>
              </w:rPr>
              <w:t>546 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CC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CD" w14:textId="77777777" w:rsidR="008E7A10" w:rsidRDefault="00E047B2">
            <w:pPr>
              <w:jc w:val="right"/>
              <w:textAlignment w:val="bottom"/>
            </w:pPr>
            <w:r>
              <w:rPr>
                <w:rFonts w:ascii="Arial" w:eastAsia="宋体" w:hAnsi="Arial" w:cs="Arial"/>
                <w:color w:val="000000"/>
                <w:sz w:val="17"/>
                <w:szCs w:val="17"/>
              </w:rPr>
              <w:t>446 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C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CF" w14:textId="77777777" w:rsidR="008E7A10" w:rsidRDefault="00E047B2">
            <w:pPr>
              <w:jc w:val="right"/>
              <w:textAlignment w:val="bottom"/>
            </w:pPr>
            <w:r>
              <w:rPr>
                <w:rFonts w:ascii="Arial" w:eastAsia="宋体" w:hAnsi="Arial" w:cs="Arial"/>
                <w:color w:val="000000"/>
                <w:sz w:val="17"/>
                <w:szCs w:val="17"/>
              </w:rPr>
              <w:t>22 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D0"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D1" w14:textId="77777777" w:rsidR="008E7A10" w:rsidRDefault="00E047B2">
            <w:pPr>
              <w:jc w:val="right"/>
              <w:textAlignment w:val="bottom"/>
            </w:pPr>
            <w:r>
              <w:rPr>
                <w:rFonts w:ascii="Arial" w:eastAsia="宋体" w:hAnsi="Arial" w:cs="Arial"/>
                <w:color w:val="000000"/>
                <w:sz w:val="17"/>
                <w:szCs w:val="17"/>
              </w:rPr>
              <w:t>27 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D2"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CD3"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CD4" w14:textId="77777777" w:rsidR="008E7A10" w:rsidRDefault="00E047B2">
            <w:pPr>
              <w:jc w:val="right"/>
              <w:textAlignment w:val="bottom"/>
            </w:pPr>
            <w:r>
              <w:rPr>
                <w:rFonts w:ascii="Arial" w:eastAsia="宋体" w:hAnsi="Arial" w:cs="Arial"/>
                <w:color w:val="000000"/>
                <w:sz w:val="17"/>
                <w:szCs w:val="17"/>
              </w:rPr>
              <w:t>937 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CD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D6" w14:textId="77777777" w:rsidR="008E7A10" w:rsidRDefault="00E047B2">
            <w:pPr>
              <w:jc w:val="right"/>
              <w:textAlignment w:val="bottom"/>
            </w:pPr>
            <w:r>
              <w:rPr>
                <w:rFonts w:ascii="Arial" w:eastAsia="宋体" w:hAnsi="Arial" w:cs="Arial"/>
                <w:color w:val="000000"/>
                <w:sz w:val="17"/>
                <w:szCs w:val="17"/>
              </w:rPr>
              <w:t>841 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D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D8"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D9"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CDA"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CDB" w14:textId="77777777" w:rsidR="008E7A10" w:rsidRDefault="00E047B2">
            <w:pPr>
              <w:jc w:val="right"/>
              <w:textAlignment w:val="bottom"/>
            </w:pPr>
            <w:r>
              <w:rPr>
                <w:rFonts w:ascii="Arial" w:eastAsia="宋体" w:hAnsi="Arial" w:cs="Arial"/>
                <w:color w:val="000000"/>
                <w:sz w:val="17"/>
                <w:szCs w:val="17"/>
              </w:rPr>
              <w:t>%</w:t>
            </w:r>
          </w:p>
        </w:tc>
      </w:tr>
      <w:tr w:rsidR="008E7A10" w14:paraId="746F1CF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CDD"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CDE"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CDF" w14:textId="77777777" w:rsidR="008E7A10" w:rsidRDefault="00E047B2">
            <w:pPr>
              <w:jc w:val="right"/>
              <w:textAlignment w:val="bottom"/>
            </w:pPr>
            <w:r>
              <w:rPr>
                <w:rFonts w:ascii="Arial" w:eastAsia="宋体" w:hAnsi="Arial" w:cs="Arial"/>
                <w:b/>
                <w:bCs/>
                <w:color w:val="000000"/>
                <w:sz w:val="17"/>
                <w:szCs w:val="17"/>
              </w:rPr>
              <w:t>1,471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CE0"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CE1"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CE2" w14:textId="77777777" w:rsidR="008E7A10" w:rsidRDefault="00E047B2">
            <w:pPr>
              <w:jc w:val="right"/>
              <w:textAlignment w:val="bottom"/>
            </w:pPr>
            <w:r>
              <w:rPr>
                <w:rFonts w:ascii="Arial" w:eastAsia="宋体" w:hAnsi="Arial" w:cs="Arial"/>
                <w:b/>
                <w:bCs/>
                <w:color w:val="000000"/>
                <w:sz w:val="17"/>
                <w:szCs w:val="17"/>
              </w:rPr>
              <w:t>1,468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E3"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CE4" w14:textId="77777777" w:rsidR="008E7A10" w:rsidRDefault="00E047B2">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E5"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CE6" w14:textId="77777777" w:rsidR="008E7A10" w:rsidRDefault="00E047B2">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E7"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CE8"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CE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CEA" w14:textId="77777777" w:rsidR="008E7A10" w:rsidRDefault="00E047B2">
            <w:pPr>
              <w:jc w:val="right"/>
              <w:textAlignment w:val="bottom"/>
            </w:pPr>
            <w:r>
              <w:rPr>
                <w:rFonts w:ascii="Arial" w:eastAsia="宋体" w:hAnsi="Arial" w:cs="Arial"/>
                <w:b/>
                <w:bCs/>
                <w:color w:val="000000"/>
                <w:sz w:val="17"/>
                <w:szCs w:val="17"/>
              </w:rPr>
              <w:t>2,570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CEB"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CE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CED" w14:textId="77777777" w:rsidR="008E7A10" w:rsidRDefault="00E047B2">
            <w:pPr>
              <w:jc w:val="right"/>
              <w:textAlignment w:val="bottom"/>
            </w:pPr>
            <w:r>
              <w:rPr>
                <w:rFonts w:ascii="Arial" w:eastAsia="宋体" w:hAnsi="Arial" w:cs="Arial"/>
                <w:b/>
                <w:bCs/>
                <w:color w:val="000000"/>
                <w:sz w:val="17"/>
                <w:szCs w:val="17"/>
              </w:rPr>
              <w:t>2,813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E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CEF" w14:textId="77777777" w:rsidR="008E7A10" w:rsidRDefault="00E047B2">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F0"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CF1"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CF2" w14:textId="77777777" w:rsidR="008E7A10" w:rsidRDefault="00E047B2">
            <w:pPr>
              <w:jc w:val="right"/>
              <w:textAlignment w:val="bottom"/>
            </w:pPr>
            <w:r>
              <w:rPr>
                <w:rFonts w:ascii="Arial" w:eastAsia="宋体" w:hAnsi="Arial" w:cs="Arial"/>
                <w:b/>
                <w:bCs/>
                <w:color w:val="000000"/>
                <w:sz w:val="17"/>
                <w:szCs w:val="17"/>
              </w:rPr>
              <w:t>%</w:t>
            </w:r>
          </w:p>
        </w:tc>
      </w:tr>
      <w:tr w:rsidR="008E7A10" w14:paraId="746F1D0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CF4" w14:textId="77777777" w:rsidR="008E7A10" w:rsidRDefault="00E047B2">
            <w:pPr>
              <w:textAlignment w:val="bottom"/>
            </w:pPr>
            <w:r>
              <w:rPr>
                <w:rFonts w:ascii="Arial" w:eastAsia="宋体" w:hAnsi="Arial" w:cs="Arial"/>
                <w:b/>
                <w:bCs/>
                <w:color w:val="000000"/>
                <w:sz w:val="17"/>
                <w:szCs w:val="17"/>
              </w:rPr>
              <w:t>EARNINGS BEFORE INT</w:t>
            </w:r>
            <w:r>
              <w:rPr>
                <w:rFonts w:ascii="Arial" w:eastAsia="宋体" w:hAnsi="Arial" w:cs="Arial"/>
                <w:b/>
                <w:bCs/>
                <w:color w:val="000000"/>
                <w:sz w:val="17"/>
                <w:szCs w:val="17"/>
              </w:rPr>
              <w: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CF5"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CF6" w14:textId="77777777" w:rsidR="008E7A10" w:rsidRDefault="00E047B2">
            <w:pPr>
              <w:jc w:val="right"/>
              <w:textAlignment w:val="bottom"/>
            </w:pPr>
            <w:r>
              <w:rPr>
                <w:rFonts w:ascii="Arial" w:eastAsia="宋体" w:hAnsi="Arial" w:cs="Arial"/>
                <w:b/>
                <w:bCs/>
                <w:color w:val="000000"/>
                <w:sz w:val="17"/>
                <w:szCs w:val="17"/>
              </w:rPr>
              <w:t>424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CF7"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CF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CF9" w14:textId="77777777" w:rsidR="008E7A10" w:rsidRDefault="00E047B2">
            <w:pPr>
              <w:jc w:val="right"/>
              <w:textAlignment w:val="bottom"/>
            </w:pPr>
            <w:r>
              <w:rPr>
                <w:rFonts w:ascii="Arial" w:eastAsia="宋体" w:hAnsi="Arial" w:cs="Arial"/>
                <w:b/>
                <w:bCs/>
                <w:color w:val="000000"/>
                <w:sz w:val="17"/>
                <w:szCs w:val="17"/>
              </w:rPr>
              <w:t>377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CFA"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CFB" w14:textId="77777777" w:rsidR="008E7A10" w:rsidRDefault="00E047B2">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CFC"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CFD" w14:textId="77777777" w:rsidR="008E7A10" w:rsidRDefault="008E7A10">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CFE"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CF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D00" w14:textId="77777777" w:rsidR="008E7A10" w:rsidRDefault="00E047B2">
            <w:pPr>
              <w:jc w:val="right"/>
              <w:textAlignment w:val="bottom"/>
            </w:pPr>
            <w:r>
              <w:rPr>
                <w:rFonts w:ascii="Arial" w:eastAsia="宋体" w:hAnsi="Arial" w:cs="Arial"/>
                <w:b/>
                <w:bCs/>
                <w:color w:val="000000"/>
                <w:sz w:val="17"/>
                <w:szCs w:val="17"/>
              </w:rPr>
              <w:t>704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D01"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D0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D03" w14:textId="77777777" w:rsidR="008E7A10" w:rsidRDefault="00E047B2">
            <w:pPr>
              <w:jc w:val="right"/>
              <w:textAlignment w:val="bottom"/>
            </w:pPr>
            <w:r>
              <w:rPr>
                <w:rFonts w:ascii="Arial" w:eastAsia="宋体" w:hAnsi="Arial" w:cs="Arial"/>
                <w:b/>
                <w:bCs/>
                <w:color w:val="000000"/>
                <w:sz w:val="17"/>
                <w:szCs w:val="17"/>
              </w:rPr>
              <w:t>718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D04"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D05" w14:textId="77777777" w:rsidR="008E7A10" w:rsidRDefault="00E047B2">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D06"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D07" w14:textId="77777777" w:rsidR="008E7A10" w:rsidRDefault="008E7A10">
            <w:pPr>
              <w:rPr>
                <w:rFonts w:ascii="宋体"/>
              </w:rPr>
            </w:pPr>
          </w:p>
        </w:tc>
      </w:tr>
    </w:tbl>
    <w:p w14:paraId="746F1D09" w14:textId="77777777" w:rsidR="008E7A10" w:rsidRDefault="00E047B2">
      <w:pPr>
        <w:spacing w:before="120" w:after="120"/>
      </w:pPr>
      <w:r>
        <w:rPr>
          <w:rFonts w:ascii="Arial" w:eastAsia="宋体" w:hAnsi="Arial" w:cs="Arial"/>
          <w:color w:val="000000"/>
          <w:sz w:val="17"/>
          <w:szCs w:val="17"/>
        </w:rPr>
        <w:t xml:space="preserve">As discussed previously, we entered into definitive agreements to sell our NIKE </w:t>
      </w:r>
      <w:r>
        <w:rPr>
          <w:rFonts w:ascii="Arial" w:eastAsia="宋体" w:hAnsi="Arial" w:cs="Arial"/>
          <w:color w:val="000000"/>
          <w:sz w:val="17"/>
          <w:szCs w:val="17"/>
        </w:rPr>
        <w:t>Brand businesses in Brazil, Argentina, Chile and Uruguay and shift to a distributor operating model. The impacts of entering into these agreements are included within Corporate and are not reflected in the APLA operating segment results. For more informati</w:t>
      </w:r>
      <w:r>
        <w:rPr>
          <w:rFonts w:ascii="Arial" w:eastAsia="宋体" w:hAnsi="Arial" w:cs="Arial"/>
          <w:color w:val="000000"/>
          <w:sz w:val="17"/>
          <w:szCs w:val="17"/>
        </w:rPr>
        <w:t xml:space="preserve">on see Note 13 — Acquisitions and Divestitures within the accompanying Notes to the Unaudited Condensed Consolidated Financial Statements. </w:t>
      </w:r>
    </w:p>
    <w:p w14:paraId="746F1D0A" w14:textId="77777777" w:rsidR="008E7A10" w:rsidRDefault="00E047B2">
      <w:pPr>
        <w:spacing w:before="120"/>
      </w:pPr>
      <w:r>
        <w:rPr>
          <w:rFonts w:ascii="sans-serif" w:eastAsia="sans-serif" w:hAnsi="sans-serif" w:cs="sans-serif"/>
          <w:b/>
          <w:bCs/>
          <w:color w:val="808080"/>
          <w:sz w:val="22"/>
          <w:szCs w:val="22"/>
        </w:rPr>
        <w:t>SECOND QUARTER OF FISCAL 2021 COMPARED TO SECOND QUARTER OF FISCAL 2020</w:t>
      </w:r>
    </w:p>
    <w:p w14:paraId="746F1D0B" w14:textId="77777777" w:rsidR="008E7A10" w:rsidRDefault="00E047B2">
      <w:pPr>
        <w:spacing w:after="120"/>
      </w:pPr>
      <w:r>
        <w:rPr>
          <w:rFonts w:ascii="Arial" w:eastAsia="宋体" w:hAnsi="Arial" w:cs="Arial"/>
          <w:color w:val="000000"/>
          <w:sz w:val="17"/>
          <w:szCs w:val="17"/>
        </w:rPr>
        <w:t>On a currency-neutral basis, APLA revenues increased 5% for the second quarter of fiscal 2021. The increase was due to higher revenues across most territories, led by Korea and SOCO (which comprises Argentina, Chile and Uruguay), which increased 17% and 18</w:t>
      </w:r>
      <w:r>
        <w:rPr>
          <w:rFonts w:ascii="Arial" w:eastAsia="宋体" w:hAnsi="Arial" w:cs="Arial"/>
          <w:color w:val="000000"/>
          <w:sz w:val="17"/>
          <w:szCs w:val="17"/>
        </w:rPr>
        <w:t xml:space="preserve">%, respectively. Revenues increased due to growth in Sportswear and the Jordan Brand, partially offset by lower revenues in all other key categories. NIKE Direct revenues increased 27%, driven by digital sales growth of 92%, partially offset by comparable </w:t>
      </w:r>
      <w:r>
        <w:rPr>
          <w:rFonts w:ascii="Arial" w:eastAsia="宋体" w:hAnsi="Arial" w:cs="Arial"/>
          <w:color w:val="000000"/>
          <w:sz w:val="17"/>
          <w:szCs w:val="17"/>
        </w:rPr>
        <w:t xml:space="preserve">store sales contraction of 3% primarily due to </w:t>
      </w:r>
      <w:r>
        <w:rPr>
          <w:rFonts w:ascii="Arial" w:eastAsia="宋体" w:hAnsi="Arial" w:cs="Arial"/>
          <w:color w:val="212529"/>
          <w:sz w:val="17"/>
          <w:szCs w:val="17"/>
        </w:rPr>
        <w:t>reduced physical retail traffic, in part resulting from safety-related measures in response to COVID-19</w:t>
      </w:r>
      <w:r>
        <w:rPr>
          <w:rFonts w:ascii="Arial" w:eastAsia="宋体" w:hAnsi="Arial" w:cs="Arial"/>
          <w:color w:val="000000"/>
          <w:sz w:val="17"/>
          <w:szCs w:val="17"/>
        </w:rPr>
        <w:t>.</w:t>
      </w:r>
    </w:p>
    <w:p w14:paraId="746F1D0C" w14:textId="77777777" w:rsidR="008E7A10" w:rsidRDefault="00E047B2">
      <w:pPr>
        <w:spacing w:before="120" w:after="120"/>
      </w:pPr>
      <w:r>
        <w:rPr>
          <w:rFonts w:ascii="Arial" w:eastAsia="宋体" w:hAnsi="Arial" w:cs="Arial"/>
          <w:color w:val="000000"/>
          <w:sz w:val="17"/>
          <w:szCs w:val="17"/>
        </w:rPr>
        <w:t>Currency-neutral footwear revenues increased 5% for the second quarter of fiscal 2021 due to higher reve</w:t>
      </w:r>
      <w:r>
        <w:rPr>
          <w:rFonts w:ascii="Arial" w:eastAsia="宋体" w:hAnsi="Arial" w:cs="Arial"/>
          <w:color w:val="000000"/>
          <w:sz w:val="17"/>
          <w:szCs w:val="17"/>
        </w:rPr>
        <w:t>nues in most key categories, primarily the Jordan Brand and Sportswear, partially offset by Running. Unit sales of footwear decreased 6%, while higher ASP per pair contributed approximately 11 percentage points. Higher ASP per pair was driven by higher ful</w:t>
      </w:r>
      <w:r>
        <w:rPr>
          <w:rFonts w:ascii="Arial" w:eastAsia="宋体" w:hAnsi="Arial" w:cs="Arial"/>
          <w:color w:val="000000"/>
          <w:sz w:val="17"/>
          <w:szCs w:val="17"/>
        </w:rPr>
        <w:t>l-price ASP, in part reflecting inflationary conditions in our SOCO territory, as well as the favorable impact of growth in our NIKE Direct business.</w:t>
      </w:r>
    </w:p>
    <w:p w14:paraId="746F1D0D" w14:textId="77777777" w:rsidR="008E7A10" w:rsidRDefault="00E047B2">
      <w:pPr>
        <w:spacing w:before="120" w:after="120"/>
      </w:pPr>
      <w:r>
        <w:rPr>
          <w:rFonts w:ascii="Arial" w:eastAsia="宋体" w:hAnsi="Arial" w:cs="Arial"/>
          <w:color w:val="000000"/>
          <w:sz w:val="17"/>
          <w:szCs w:val="17"/>
        </w:rPr>
        <w:t xml:space="preserve">Currency-neutral apparel revenues increased 9% for the second quarter of fiscal 2021 due to higher </w:t>
      </w:r>
      <w:r>
        <w:rPr>
          <w:rFonts w:ascii="Arial" w:eastAsia="宋体" w:hAnsi="Arial" w:cs="Arial"/>
          <w:color w:val="000000"/>
          <w:sz w:val="17"/>
          <w:szCs w:val="17"/>
        </w:rPr>
        <w:t>revenues in most key categories, primarily Sportswear. Unit sales of apparel increased 8%, and higher ASP per unit contributed approximately 1 percentage point to apparel revenue growth, driven by higher full-price ASP, in part reflecting inflationary cond</w:t>
      </w:r>
      <w:r>
        <w:rPr>
          <w:rFonts w:ascii="Arial" w:eastAsia="宋体" w:hAnsi="Arial" w:cs="Arial"/>
          <w:color w:val="000000"/>
          <w:sz w:val="17"/>
          <w:szCs w:val="17"/>
        </w:rPr>
        <w:t>itions in our SOCO territory.</w:t>
      </w:r>
    </w:p>
    <w:p w14:paraId="746F1D0E" w14:textId="77777777" w:rsidR="008E7A10" w:rsidRDefault="00E047B2">
      <w:pPr>
        <w:spacing w:before="120" w:after="120"/>
      </w:pPr>
      <w:r>
        <w:rPr>
          <w:rFonts w:ascii="Arial" w:eastAsia="宋体" w:hAnsi="Arial" w:cs="Arial"/>
          <w:color w:val="000000"/>
          <w:sz w:val="17"/>
          <w:szCs w:val="17"/>
        </w:rPr>
        <w:t>Reported EBIT increased 12% for the second quarter of fiscal 2021 as lower selling and administrative more than offset a decline in gross margin. Gross margin decreased approximately 40 basis points as higher full-price ASP, i</w:t>
      </w:r>
      <w:r>
        <w:rPr>
          <w:rFonts w:ascii="Arial" w:eastAsia="宋体" w:hAnsi="Arial" w:cs="Arial"/>
          <w:color w:val="000000"/>
          <w:sz w:val="17"/>
          <w:szCs w:val="17"/>
        </w:rPr>
        <w:t>n part reflecting inflationary conditions in our SOCO territory, was more than offset by higher product costs, lower margin in our NIKE Direct business and unfavorable changes in standard foreign currency exchange rates. Lower margin in our NIKE Direct bus</w:t>
      </w:r>
      <w:r>
        <w:rPr>
          <w:rFonts w:ascii="Arial" w:eastAsia="宋体" w:hAnsi="Arial" w:cs="Arial"/>
          <w:color w:val="000000"/>
          <w:sz w:val="17"/>
          <w:szCs w:val="17"/>
        </w:rPr>
        <w:t>iness was driven by higher promotions to reduce excess inventory due to COVID-19. Selling and administrative expense decreased due to lower demand creation and operating overhead expense. The decrease in demand creation expense was primarily due to lower a</w:t>
      </w:r>
      <w:r>
        <w:rPr>
          <w:rFonts w:ascii="Arial" w:eastAsia="宋体" w:hAnsi="Arial" w:cs="Arial"/>
          <w:color w:val="000000"/>
          <w:sz w:val="17"/>
          <w:szCs w:val="17"/>
        </w:rPr>
        <w:t>dvertising and marketing costs, as well as a decline in sports marketing expense. Lower operating overhead expense was primarily due to lower travel and related expenses.</w:t>
      </w:r>
    </w:p>
    <w:p w14:paraId="746F1D0F" w14:textId="77777777" w:rsidR="008E7A10" w:rsidRDefault="00E047B2">
      <w:pPr>
        <w:spacing w:before="120"/>
      </w:pPr>
      <w:r>
        <w:rPr>
          <w:rFonts w:ascii="sans-serif" w:eastAsia="sans-serif" w:hAnsi="sans-serif" w:cs="sans-serif"/>
          <w:b/>
          <w:bCs/>
          <w:color w:val="808080"/>
          <w:sz w:val="22"/>
          <w:szCs w:val="22"/>
        </w:rPr>
        <w:t>FIRST SIX MONTHS OF FISCAL 2021 COMPARED TO FIRST SIX MONTHS OF FISCAL 2020</w:t>
      </w:r>
    </w:p>
    <w:p w14:paraId="746F1D10" w14:textId="77777777" w:rsidR="008E7A10" w:rsidRDefault="00E047B2">
      <w:pPr>
        <w:spacing w:after="120"/>
      </w:pPr>
      <w:r>
        <w:rPr>
          <w:rFonts w:ascii="Arial" w:eastAsia="宋体" w:hAnsi="Arial" w:cs="Arial"/>
          <w:color w:val="000000"/>
          <w:sz w:val="17"/>
          <w:szCs w:val="17"/>
        </w:rPr>
        <w:t>On a curr</w:t>
      </w:r>
      <w:r>
        <w:rPr>
          <w:rFonts w:ascii="Arial" w:eastAsia="宋体" w:hAnsi="Arial" w:cs="Arial"/>
          <w:color w:val="000000"/>
          <w:sz w:val="17"/>
          <w:szCs w:val="17"/>
        </w:rPr>
        <w:t xml:space="preserve">ency-neutral basis, APLA revenues decreased 3% for the first six months of fiscal 2021. The decline was due to lower revenues across most territories, led by a 61% decline in our Latin America third-party distributor business due to impacts from COVID-19, </w:t>
      </w:r>
      <w:r>
        <w:rPr>
          <w:rFonts w:ascii="Arial" w:eastAsia="宋体" w:hAnsi="Arial" w:cs="Arial"/>
          <w:color w:val="000000"/>
          <w:sz w:val="17"/>
          <w:szCs w:val="17"/>
        </w:rPr>
        <w:t xml:space="preserve">partially offset by higher revenues in Korea, which increased 12%. Revenues decreased in most key categories, led by Running and Football (Soccer), partially offset by higher revenues in the Jordan Brand and Sportswear. NIKE Direct revenues increased 16%, </w:t>
      </w:r>
      <w:r>
        <w:rPr>
          <w:rFonts w:ascii="Arial" w:eastAsia="宋体" w:hAnsi="Arial" w:cs="Arial"/>
          <w:color w:val="000000"/>
          <w:sz w:val="17"/>
          <w:szCs w:val="17"/>
        </w:rPr>
        <w:t xml:space="preserve">primarily fueled by digital sales growth of 91%, partially offset by comparable store sales contraction of 16% primarily due to </w:t>
      </w:r>
      <w:r>
        <w:rPr>
          <w:rFonts w:ascii="Arial" w:eastAsia="宋体" w:hAnsi="Arial" w:cs="Arial"/>
          <w:color w:val="212529"/>
          <w:sz w:val="17"/>
          <w:szCs w:val="17"/>
        </w:rPr>
        <w:t>reduced physical retail traffic, in part resulting from safety-related measures in response to COVID-19</w:t>
      </w:r>
      <w:r>
        <w:rPr>
          <w:rFonts w:ascii="Arial" w:eastAsia="宋体" w:hAnsi="Arial" w:cs="Arial"/>
          <w:color w:val="000000"/>
          <w:sz w:val="17"/>
          <w:szCs w:val="17"/>
        </w:rPr>
        <w:t>.</w:t>
      </w:r>
    </w:p>
    <w:p w14:paraId="746F1D11" w14:textId="77777777" w:rsidR="008E7A10" w:rsidRDefault="00E047B2">
      <w:pPr>
        <w:spacing w:before="120" w:after="120"/>
        <w:jc w:val="right"/>
      </w:pPr>
      <w:r>
        <w:rPr>
          <w:rFonts w:ascii="Arial" w:eastAsia="宋体" w:hAnsi="Arial" w:cs="Arial"/>
          <w:color w:val="E87722"/>
          <w:sz w:val="17"/>
          <w:szCs w:val="17"/>
        </w:rPr>
        <w:t>37</w:t>
      </w:r>
    </w:p>
    <w:p w14:paraId="746F1D12" w14:textId="77777777" w:rsidR="008E7A10" w:rsidRDefault="00E047B2">
      <w:r>
        <w:pict w14:anchorId="746F202D">
          <v:rect id="_x0000_i1063" style="width:415.3pt;height:1.5pt" o:hralign="center" o:hrstd="t" o:hr="t" fillcolor="#a0a0a0" stroked="f"/>
        </w:pict>
      </w:r>
    </w:p>
    <w:p w14:paraId="746F1D13" w14:textId="77777777" w:rsidR="008E7A10" w:rsidRDefault="008E7A10"/>
    <w:p w14:paraId="746F1D14" w14:textId="77777777" w:rsidR="008E7A10" w:rsidRDefault="00E047B2">
      <w:hyperlink r:id="rId108" w:anchor="i31a624617c6c41b38f8f700fa0df5bde_7" w:history="1">
        <w:r>
          <w:rPr>
            <w:rStyle w:val="a5"/>
            <w:rFonts w:ascii="sans-serif" w:eastAsia="sans-serif" w:hAnsi="sans-serif" w:cs="sans-serif"/>
            <w:sz w:val="17"/>
            <w:szCs w:val="17"/>
          </w:rPr>
          <w:t>Table of Contents</w:t>
        </w:r>
      </w:hyperlink>
    </w:p>
    <w:p w14:paraId="746F1D15" w14:textId="77777777" w:rsidR="008E7A10" w:rsidRDefault="008E7A10"/>
    <w:p w14:paraId="746F1D16" w14:textId="77777777" w:rsidR="008E7A10" w:rsidRDefault="00E047B2">
      <w:pPr>
        <w:spacing w:before="120" w:after="120"/>
      </w:pPr>
      <w:r>
        <w:rPr>
          <w:rFonts w:ascii="Arial" w:eastAsia="宋体" w:hAnsi="Arial" w:cs="Arial"/>
          <w:color w:val="000000"/>
          <w:sz w:val="17"/>
          <w:szCs w:val="17"/>
        </w:rPr>
        <w:t>Currency-neutral footwear revenues decreased 3% for the first six months of fiscal 2021 due to lower r</w:t>
      </w:r>
      <w:r>
        <w:rPr>
          <w:rFonts w:ascii="Arial" w:eastAsia="宋体" w:hAnsi="Arial" w:cs="Arial"/>
          <w:color w:val="000000"/>
          <w:sz w:val="17"/>
          <w:szCs w:val="17"/>
        </w:rPr>
        <w:t>evenues in most key categories, primarily Running and Football (Soccer), partially offset by growth in the Jordan Brand. Unit sales of footwear decreased 15%, while higher ASP per pair contributed approximately 12 percentage points of footwear revenue grow</w:t>
      </w:r>
      <w:r>
        <w:rPr>
          <w:rFonts w:ascii="Arial" w:eastAsia="宋体" w:hAnsi="Arial" w:cs="Arial"/>
          <w:color w:val="000000"/>
          <w:sz w:val="17"/>
          <w:szCs w:val="17"/>
        </w:rPr>
        <w:t>th, driven by higher full-price ASP, in part reflecting inflationary conditions in our SOCO territory, as well as the favorable impact of growth in our NIKE Direct business.</w:t>
      </w:r>
    </w:p>
    <w:p w14:paraId="746F1D17" w14:textId="77777777" w:rsidR="008E7A10" w:rsidRDefault="00E047B2">
      <w:pPr>
        <w:spacing w:before="120" w:after="120"/>
      </w:pPr>
      <w:r>
        <w:rPr>
          <w:rFonts w:ascii="Arial" w:eastAsia="宋体" w:hAnsi="Arial" w:cs="Arial"/>
          <w:color w:val="000000"/>
          <w:sz w:val="17"/>
          <w:szCs w:val="17"/>
        </w:rPr>
        <w:t>Currency-neutral apparel revenues were flat for the first six months of fiscal 202</w:t>
      </w:r>
      <w:r>
        <w:rPr>
          <w:rFonts w:ascii="Arial" w:eastAsia="宋体" w:hAnsi="Arial" w:cs="Arial"/>
          <w:color w:val="000000"/>
          <w:sz w:val="17"/>
          <w:szCs w:val="17"/>
        </w:rPr>
        <w:t>1, as higher revenues in Sportswear were offset by lower revenues in nearly all other key categories, most notably Running. Unit sales of apparel decreased 3%, offset by higher ASP per unit, which contributed approximately 3 percentage points of apparel re</w:t>
      </w:r>
      <w:r>
        <w:rPr>
          <w:rFonts w:ascii="Arial" w:eastAsia="宋体" w:hAnsi="Arial" w:cs="Arial"/>
          <w:color w:val="000000"/>
          <w:sz w:val="17"/>
          <w:szCs w:val="17"/>
        </w:rPr>
        <w:t>venue growth. Higher ASP per unit was driven by higher full-price ASP, in part reflecting inflationary conditions in our SOCO territory.</w:t>
      </w:r>
    </w:p>
    <w:p w14:paraId="746F1D18" w14:textId="77777777" w:rsidR="008E7A10" w:rsidRDefault="00E047B2">
      <w:pPr>
        <w:spacing w:before="120" w:after="120"/>
      </w:pPr>
      <w:r>
        <w:rPr>
          <w:rFonts w:ascii="Arial" w:eastAsia="宋体" w:hAnsi="Arial" w:cs="Arial"/>
          <w:color w:val="000000"/>
          <w:sz w:val="17"/>
          <w:szCs w:val="17"/>
        </w:rPr>
        <w:t>Reported EBIT decreased 2% for the first six months of fiscal 2021 primarily due to lower revenues and a decline in gro</w:t>
      </w:r>
      <w:r>
        <w:rPr>
          <w:rFonts w:ascii="Arial" w:eastAsia="宋体" w:hAnsi="Arial" w:cs="Arial"/>
          <w:color w:val="000000"/>
          <w:sz w:val="17"/>
          <w:szCs w:val="17"/>
        </w:rPr>
        <w:t>ss margin, partially offset by lower selling and administrative expense. Gross margin decreased approximately 70 basis points as higher full-price ASP, in part reflecting inflationary conditions in our SOCO territory, was more than offset by higher product</w:t>
      </w:r>
      <w:r>
        <w:rPr>
          <w:rFonts w:ascii="Arial" w:eastAsia="宋体" w:hAnsi="Arial" w:cs="Arial"/>
          <w:color w:val="000000"/>
          <w:sz w:val="17"/>
          <w:szCs w:val="17"/>
        </w:rPr>
        <w:t xml:space="preserve"> costs, lower margin in our NIKE Direct business, unfavorable standard foreign currency exchange rates and a lower mix of full-price sales. Lower margin in our NIKE Direct business was driven by higher promotions to reduce excess inventory due to COVID-19.</w:t>
      </w:r>
      <w:r>
        <w:rPr>
          <w:rFonts w:ascii="Arial" w:eastAsia="宋体" w:hAnsi="Arial" w:cs="Arial"/>
          <w:color w:val="000000"/>
          <w:sz w:val="17"/>
          <w:szCs w:val="17"/>
        </w:rPr>
        <w:t xml:space="preserve"> Selling and administrative expense decreased due to lower demand creation and operating overhead expense. The decrease in demand creation expense was primarily due to lower advertising and marketing expense, as well as a decline in sports marketing costs.</w:t>
      </w:r>
      <w:r>
        <w:rPr>
          <w:rFonts w:ascii="Arial" w:eastAsia="宋体" w:hAnsi="Arial" w:cs="Arial"/>
          <w:color w:val="000000"/>
          <w:sz w:val="17"/>
          <w:szCs w:val="17"/>
        </w:rPr>
        <w:t xml:space="preserve"> Lower operating overhead expense was primarily due to lower travel and related expenses.</w:t>
      </w:r>
    </w:p>
    <w:p w14:paraId="746F1D19" w14:textId="77777777" w:rsidR="008E7A10" w:rsidRDefault="00E047B2">
      <w:pPr>
        <w:spacing w:before="240" w:after="120"/>
      </w:pPr>
      <w:r>
        <w:rPr>
          <w:rFonts w:ascii="sans-serif" w:eastAsia="sans-serif" w:hAnsi="sans-serif" w:cs="sans-serif"/>
          <w:b/>
          <w:bCs/>
          <w:color w:val="000000"/>
          <w:sz w:val="28"/>
          <w:szCs w:val="28"/>
        </w:rPr>
        <w:t>GLOBAL BRAND DIVISIONS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1999"/>
        <w:gridCol w:w="36"/>
        <w:gridCol w:w="115"/>
        <w:gridCol w:w="399"/>
        <w:gridCol w:w="36"/>
        <w:gridCol w:w="115"/>
        <w:gridCol w:w="399"/>
        <w:gridCol w:w="36"/>
        <w:gridCol w:w="74"/>
        <w:gridCol w:w="563"/>
        <w:gridCol w:w="172"/>
        <w:gridCol w:w="99"/>
        <w:gridCol w:w="755"/>
        <w:gridCol w:w="172"/>
        <w:gridCol w:w="36"/>
        <w:gridCol w:w="36"/>
        <w:gridCol w:w="36"/>
        <w:gridCol w:w="115"/>
        <w:gridCol w:w="539"/>
        <w:gridCol w:w="36"/>
        <w:gridCol w:w="115"/>
        <w:gridCol w:w="539"/>
        <w:gridCol w:w="36"/>
        <w:gridCol w:w="74"/>
        <w:gridCol w:w="563"/>
        <w:gridCol w:w="172"/>
        <w:gridCol w:w="99"/>
        <w:gridCol w:w="755"/>
        <w:gridCol w:w="172"/>
      </w:tblGrid>
      <w:tr w:rsidR="008E7A10" w14:paraId="746F1D38" w14:textId="77777777">
        <w:tc>
          <w:tcPr>
            <w:tcW w:w="50" w:type="pct"/>
            <w:shd w:val="clear" w:color="auto" w:fill="auto"/>
          </w:tcPr>
          <w:p w14:paraId="746F1D1A" w14:textId="77777777" w:rsidR="008E7A10" w:rsidRDefault="008E7A10">
            <w:pPr>
              <w:rPr>
                <w:rFonts w:ascii="宋体"/>
              </w:rPr>
            </w:pPr>
          </w:p>
        </w:tc>
        <w:tc>
          <w:tcPr>
            <w:tcW w:w="1387" w:type="pct"/>
            <w:shd w:val="clear" w:color="auto" w:fill="auto"/>
          </w:tcPr>
          <w:p w14:paraId="746F1D1B" w14:textId="77777777" w:rsidR="008E7A10" w:rsidRDefault="008E7A10">
            <w:pPr>
              <w:rPr>
                <w:rFonts w:ascii="宋体"/>
              </w:rPr>
            </w:pPr>
          </w:p>
        </w:tc>
        <w:tc>
          <w:tcPr>
            <w:tcW w:w="5" w:type="pct"/>
            <w:shd w:val="clear" w:color="auto" w:fill="auto"/>
          </w:tcPr>
          <w:p w14:paraId="746F1D1C" w14:textId="77777777" w:rsidR="008E7A10" w:rsidRDefault="008E7A10">
            <w:pPr>
              <w:rPr>
                <w:rFonts w:ascii="宋体"/>
              </w:rPr>
            </w:pPr>
          </w:p>
        </w:tc>
        <w:tc>
          <w:tcPr>
            <w:tcW w:w="50" w:type="pct"/>
            <w:shd w:val="clear" w:color="auto" w:fill="auto"/>
          </w:tcPr>
          <w:p w14:paraId="746F1D1D" w14:textId="77777777" w:rsidR="008E7A10" w:rsidRDefault="008E7A10">
            <w:pPr>
              <w:rPr>
                <w:rFonts w:ascii="宋体"/>
              </w:rPr>
            </w:pPr>
          </w:p>
        </w:tc>
        <w:tc>
          <w:tcPr>
            <w:tcW w:w="384" w:type="pct"/>
            <w:shd w:val="clear" w:color="auto" w:fill="auto"/>
          </w:tcPr>
          <w:p w14:paraId="746F1D1E" w14:textId="77777777" w:rsidR="008E7A10" w:rsidRDefault="008E7A10">
            <w:pPr>
              <w:rPr>
                <w:rFonts w:ascii="宋体"/>
              </w:rPr>
            </w:pPr>
          </w:p>
        </w:tc>
        <w:tc>
          <w:tcPr>
            <w:tcW w:w="5" w:type="pct"/>
            <w:shd w:val="clear" w:color="auto" w:fill="auto"/>
          </w:tcPr>
          <w:p w14:paraId="746F1D1F" w14:textId="77777777" w:rsidR="008E7A10" w:rsidRDefault="008E7A10">
            <w:pPr>
              <w:rPr>
                <w:rFonts w:ascii="宋体"/>
              </w:rPr>
            </w:pPr>
          </w:p>
        </w:tc>
        <w:tc>
          <w:tcPr>
            <w:tcW w:w="50" w:type="pct"/>
            <w:shd w:val="clear" w:color="auto" w:fill="auto"/>
          </w:tcPr>
          <w:p w14:paraId="746F1D20" w14:textId="77777777" w:rsidR="008E7A10" w:rsidRDefault="008E7A10">
            <w:pPr>
              <w:rPr>
                <w:rFonts w:ascii="宋体"/>
              </w:rPr>
            </w:pPr>
          </w:p>
        </w:tc>
        <w:tc>
          <w:tcPr>
            <w:tcW w:w="384" w:type="pct"/>
            <w:shd w:val="clear" w:color="auto" w:fill="auto"/>
          </w:tcPr>
          <w:p w14:paraId="746F1D21" w14:textId="77777777" w:rsidR="008E7A10" w:rsidRDefault="008E7A10">
            <w:pPr>
              <w:rPr>
                <w:rFonts w:ascii="宋体"/>
              </w:rPr>
            </w:pPr>
          </w:p>
        </w:tc>
        <w:tc>
          <w:tcPr>
            <w:tcW w:w="5" w:type="pct"/>
            <w:shd w:val="clear" w:color="auto" w:fill="auto"/>
          </w:tcPr>
          <w:p w14:paraId="746F1D22" w14:textId="77777777" w:rsidR="008E7A10" w:rsidRDefault="008E7A10">
            <w:pPr>
              <w:rPr>
                <w:rFonts w:ascii="宋体"/>
              </w:rPr>
            </w:pPr>
          </w:p>
        </w:tc>
        <w:tc>
          <w:tcPr>
            <w:tcW w:w="50" w:type="pct"/>
            <w:shd w:val="clear" w:color="auto" w:fill="auto"/>
          </w:tcPr>
          <w:p w14:paraId="746F1D23" w14:textId="77777777" w:rsidR="008E7A10" w:rsidRDefault="008E7A10">
            <w:pPr>
              <w:rPr>
                <w:rFonts w:ascii="宋体"/>
              </w:rPr>
            </w:pPr>
          </w:p>
        </w:tc>
        <w:tc>
          <w:tcPr>
            <w:tcW w:w="384" w:type="pct"/>
            <w:shd w:val="clear" w:color="auto" w:fill="auto"/>
          </w:tcPr>
          <w:p w14:paraId="746F1D24" w14:textId="77777777" w:rsidR="008E7A10" w:rsidRDefault="008E7A10">
            <w:pPr>
              <w:rPr>
                <w:rFonts w:ascii="宋体"/>
              </w:rPr>
            </w:pPr>
          </w:p>
        </w:tc>
        <w:tc>
          <w:tcPr>
            <w:tcW w:w="5" w:type="pct"/>
            <w:shd w:val="clear" w:color="auto" w:fill="auto"/>
          </w:tcPr>
          <w:p w14:paraId="746F1D25" w14:textId="77777777" w:rsidR="008E7A10" w:rsidRDefault="008E7A10">
            <w:pPr>
              <w:rPr>
                <w:rFonts w:ascii="宋体"/>
              </w:rPr>
            </w:pPr>
          </w:p>
        </w:tc>
        <w:tc>
          <w:tcPr>
            <w:tcW w:w="50" w:type="pct"/>
            <w:shd w:val="clear" w:color="auto" w:fill="auto"/>
          </w:tcPr>
          <w:p w14:paraId="746F1D26" w14:textId="77777777" w:rsidR="008E7A10" w:rsidRDefault="008E7A10">
            <w:pPr>
              <w:rPr>
                <w:rFonts w:ascii="宋体"/>
              </w:rPr>
            </w:pPr>
          </w:p>
        </w:tc>
        <w:tc>
          <w:tcPr>
            <w:tcW w:w="384" w:type="pct"/>
            <w:shd w:val="clear" w:color="auto" w:fill="auto"/>
          </w:tcPr>
          <w:p w14:paraId="746F1D27" w14:textId="77777777" w:rsidR="008E7A10" w:rsidRDefault="008E7A10">
            <w:pPr>
              <w:rPr>
                <w:rFonts w:ascii="宋体"/>
              </w:rPr>
            </w:pPr>
          </w:p>
        </w:tc>
        <w:tc>
          <w:tcPr>
            <w:tcW w:w="5" w:type="pct"/>
            <w:shd w:val="clear" w:color="auto" w:fill="auto"/>
          </w:tcPr>
          <w:p w14:paraId="746F1D28" w14:textId="77777777" w:rsidR="008E7A10" w:rsidRDefault="008E7A10">
            <w:pPr>
              <w:rPr>
                <w:rFonts w:ascii="宋体"/>
              </w:rPr>
            </w:pPr>
          </w:p>
        </w:tc>
        <w:tc>
          <w:tcPr>
            <w:tcW w:w="5" w:type="pct"/>
            <w:shd w:val="clear" w:color="auto" w:fill="auto"/>
          </w:tcPr>
          <w:p w14:paraId="746F1D29" w14:textId="77777777" w:rsidR="008E7A10" w:rsidRDefault="008E7A10">
            <w:pPr>
              <w:rPr>
                <w:rFonts w:ascii="宋体"/>
              </w:rPr>
            </w:pPr>
          </w:p>
        </w:tc>
        <w:tc>
          <w:tcPr>
            <w:tcW w:w="28" w:type="pct"/>
            <w:shd w:val="clear" w:color="auto" w:fill="auto"/>
          </w:tcPr>
          <w:p w14:paraId="746F1D2A" w14:textId="77777777" w:rsidR="008E7A10" w:rsidRDefault="008E7A10">
            <w:pPr>
              <w:rPr>
                <w:rFonts w:ascii="宋体"/>
              </w:rPr>
            </w:pPr>
          </w:p>
        </w:tc>
        <w:tc>
          <w:tcPr>
            <w:tcW w:w="5" w:type="pct"/>
            <w:shd w:val="clear" w:color="auto" w:fill="auto"/>
          </w:tcPr>
          <w:p w14:paraId="746F1D2B" w14:textId="77777777" w:rsidR="008E7A10" w:rsidRDefault="008E7A10">
            <w:pPr>
              <w:rPr>
                <w:rFonts w:ascii="宋体"/>
              </w:rPr>
            </w:pPr>
          </w:p>
        </w:tc>
        <w:tc>
          <w:tcPr>
            <w:tcW w:w="50" w:type="pct"/>
            <w:shd w:val="clear" w:color="auto" w:fill="auto"/>
          </w:tcPr>
          <w:p w14:paraId="746F1D2C" w14:textId="77777777" w:rsidR="008E7A10" w:rsidRDefault="008E7A10">
            <w:pPr>
              <w:rPr>
                <w:rFonts w:ascii="宋体"/>
              </w:rPr>
            </w:pPr>
          </w:p>
        </w:tc>
        <w:tc>
          <w:tcPr>
            <w:tcW w:w="384" w:type="pct"/>
            <w:shd w:val="clear" w:color="auto" w:fill="auto"/>
          </w:tcPr>
          <w:p w14:paraId="746F1D2D" w14:textId="77777777" w:rsidR="008E7A10" w:rsidRDefault="008E7A10">
            <w:pPr>
              <w:rPr>
                <w:rFonts w:ascii="宋体"/>
              </w:rPr>
            </w:pPr>
          </w:p>
        </w:tc>
        <w:tc>
          <w:tcPr>
            <w:tcW w:w="5" w:type="pct"/>
            <w:shd w:val="clear" w:color="auto" w:fill="auto"/>
          </w:tcPr>
          <w:p w14:paraId="746F1D2E" w14:textId="77777777" w:rsidR="008E7A10" w:rsidRDefault="008E7A10">
            <w:pPr>
              <w:rPr>
                <w:rFonts w:ascii="宋体"/>
              </w:rPr>
            </w:pPr>
          </w:p>
        </w:tc>
        <w:tc>
          <w:tcPr>
            <w:tcW w:w="50" w:type="pct"/>
            <w:shd w:val="clear" w:color="auto" w:fill="auto"/>
          </w:tcPr>
          <w:p w14:paraId="746F1D2F" w14:textId="77777777" w:rsidR="008E7A10" w:rsidRDefault="008E7A10">
            <w:pPr>
              <w:rPr>
                <w:rFonts w:ascii="宋体"/>
              </w:rPr>
            </w:pPr>
          </w:p>
        </w:tc>
        <w:tc>
          <w:tcPr>
            <w:tcW w:w="384" w:type="pct"/>
            <w:shd w:val="clear" w:color="auto" w:fill="auto"/>
          </w:tcPr>
          <w:p w14:paraId="746F1D30" w14:textId="77777777" w:rsidR="008E7A10" w:rsidRDefault="008E7A10">
            <w:pPr>
              <w:rPr>
                <w:rFonts w:ascii="宋体"/>
              </w:rPr>
            </w:pPr>
          </w:p>
        </w:tc>
        <w:tc>
          <w:tcPr>
            <w:tcW w:w="5" w:type="pct"/>
            <w:shd w:val="clear" w:color="auto" w:fill="auto"/>
          </w:tcPr>
          <w:p w14:paraId="746F1D31" w14:textId="77777777" w:rsidR="008E7A10" w:rsidRDefault="008E7A10">
            <w:pPr>
              <w:rPr>
                <w:rFonts w:ascii="宋体"/>
              </w:rPr>
            </w:pPr>
          </w:p>
        </w:tc>
        <w:tc>
          <w:tcPr>
            <w:tcW w:w="50" w:type="pct"/>
            <w:shd w:val="clear" w:color="auto" w:fill="auto"/>
          </w:tcPr>
          <w:p w14:paraId="746F1D32" w14:textId="77777777" w:rsidR="008E7A10" w:rsidRDefault="008E7A10">
            <w:pPr>
              <w:rPr>
                <w:rFonts w:ascii="宋体"/>
              </w:rPr>
            </w:pPr>
          </w:p>
        </w:tc>
        <w:tc>
          <w:tcPr>
            <w:tcW w:w="384" w:type="pct"/>
            <w:shd w:val="clear" w:color="auto" w:fill="auto"/>
          </w:tcPr>
          <w:p w14:paraId="746F1D33" w14:textId="77777777" w:rsidR="008E7A10" w:rsidRDefault="008E7A10">
            <w:pPr>
              <w:rPr>
                <w:rFonts w:ascii="宋体"/>
              </w:rPr>
            </w:pPr>
          </w:p>
        </w:tc>
        <w:tc>
          <w:tcPr>
            <w:tcW w:w="5" w:type="pct"/>
            <w:shd w:val="clear" w:color="auto" w:fill="auto"/>
          </w:tcPr>
          <w:p w14:paraId="746F1D34" w14:textId="77777777" w:rsidR="008E7A10" w:rsidRDefault="008E7A10">
            <w:pPr>
              <w:rPr>
                <w:rFonts w:ascii="宋体"/>
              </w:rPr>
            </w:pPr>
          </w:p>
        </w:tc>
        <w:tc>
          <w:tcPr>
            <w:tcW w:w="50" w:type="pct"/>
            <w:shd w:val="clear" w:color="auto" w:fill="auto"/>
          </w:tcPr>
          <w:p w14:paraId="746F1D35" w14:textId="77777777" w:rsidR="008E7A10" w:rsidRDefault="008E7A10">
            <w:pPr>
              <w:rPr>
                <w:rFonts w:ascii="宋体"/>
              </w:rPr>
            </w:pPr>
          </w:p>
        </w:tc>
        <w:tc>
          <w:tcPr>
            <w:tcW w:w="384" w:type="pct"/>
            <w:shd w:val="clear" w:color="auto" w:fill="auto"/>
          </w:tcPr>
          <w:p w14:paraId="746F1D36" w14:textId="77777777" w:rsidR="008E7A10" w:rsidRDefault="008E7A10">
            <w:pPr>
              <w:rPr>
                <w:rFonts w:ascii="宋体"/>
              </w:rPr>
            </w:pPr>
          </w:p>
        </w:tc>
        <w:tc>
          <w:tcPr>
            <w:tcW w:w="5" w:type="pct"/>
            <w:shd w:val="clear" w:color="auto" w:fill="auto"/>
          </w:tcPr>
          <w:p w14:paraId="746F1D37" w14:textId="77777777" w:rsidR="008E7A10" w:rsidRDefault="008E7A10">
            <w:pPr>
              <w:rPr>
                <w:rFonts w:ascii="宋体"/>
              </w:rPr>
            </w:pPr>
          </w:p>
        </w:tc>
      </w:tr>
      <w:tr w:rsidR="008E7A10" w14:paraId="746F1D3D" w14:textId="77777777">
        <w:tc>
          <w:tcPr>
            <w:tcW w:w="0" w:type="auto"/>
            <w:gridSpan w:val="3"/>
            <w:shd w:val="clear" w:color="auto" w:fill="auto"/>
            <w:tcMar>
              <w:top w:w="0" w:type="dxa"/>
              <w:left w:w="20" w:type="dxa"/>
              <w:bottom w:w="0" w:type="dxa"/>
              <w:right w:w="20" w:type="dxa"/>
            </w:tcMar>
          </w:tcPr>
          <w:p w14:paraId="746F1D39"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D3A"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D3B"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D3C"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D48" w14:textId="77777777">
        <w:tc>
          <w:tcPr>
            <w:tcW w:w="0" w:type="auto"/>
            <w:gridSpan w:val="3"/>
            <w:shd w:val="clear" w:color="auto" w:fill="auto"/>
            <w:tcMar>
              <w:top w:w="40" w:type="dxa"/>
              <w:left w:w="20" w:type="dxa"/>
              <w:bottom w:w="40" w:type="dxa"/>
              <w:right w:w="20" w:type="dxa"/>
            </w:tcMar>
            <w:vAlign w:val="bottom"/>
          </w:tcPr>
          <w:p w14:paraId="746F1D3E"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3F"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40"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41"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42" w14:textId="77777777" w:rsidR="008E7A10" w:rsidRDefault="00E047B2">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tcPr>
          <w:p w14:paraId="746F1D43"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44"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45"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46"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47" w14:textId="77777777" w:rsidR="008E7A10" w:rsidRDefault="00E047B2">
            <w:pPr>
              <w:jc w:val="right"/>
              <w:textAlignment w:val="bottom"/>
            </w:pPr>
            <w:r>
              <w:rPr>
                <w:rFonts w:ascii="sans-serif" w:eastAsia="sans-serif" w:hAnsi="sans-serif" w:cs="sans-serif"/>
                <w:b/>
                <w:bCs/>
                <w:color w:val="000000"/>
                <w:sz w:val="17"/>
                <w:szCs w:val="17"/>
              </w:rPr>
              <w:t>% CHANGE EXCLUDING CURRENCY CHANGES</w:t>
            </w:r>
          </w:p>
        </w:tc>
      </w:tr>
      <w:tr w:rsidR="008E7A10" w14:paraId="746F1D5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49" w14:textId="77777777" w:rsidR="008E7A10" w:rsidRDefault="00E047B2">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D4A"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D4B"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D4C"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D4D"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D4E"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D4F"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D50" w14:textId="77777777" w:rsidR="008E7A10" w:rsidRDefault="00E047B2">
            <w:pPr>
              <w:jc w:val="right"/>
              <w:textAlignment w:val="bottom"/>
            </w:pPr>
            <w:r>
              <w:rPr>
                <w:rFonts w:ascii="Arial" w:eastAsia="宋体" w:hAnsi="Arial" w:cs="Arial"/>
                <w:color w:val="000000"/>
                <w:sz w:val="17"/>
                <w:szCs w:val="17"/>
              </w:rPr>
              <w:t>-20 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D51"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D52" w14:textId="77777777" w:rsidR="008E7A10" w:rsidRDefault="00E047B2">
            <w:pPr>
              <w:jc w:val="right"/>
              <w:textAlignment w:val="bottom"/>
            </w:pPr>
            <w:r>
              <w:rPr>
                <w:rFonts w:ascii="Arial" w:eastAsia="宋体" w:hAnsi="Arial" w:cs="Arial"/>
                <w:color w:val="000000"/>
                <w:sz w:val="17"/>
                <w:szCs w:val="17"/>
              </w:rPr>
              <w:t>-20 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D53"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D54"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D55"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D56" w14:textId="77777777" w:rsidR="008E7A10" w:rsidRDefault="00E047B2">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D57"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D5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D59"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D5A"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D5B" w14:textId="77777777" w:rsidR="008E7A10" w:rsidRDefault="00E047B2">
            <w:pPr>
              <w:jc w:val="right"/>
              <w:textAlignment w:val="bottom"/>
            </w:pPr>
            <w:r>
              <w:rPr>
                <w:rFonts w:ascii="Arial" w:eastAsia="宋体" w:hAnsi="Arial" w:cs="Arial"/>
                <w:color w:val="000000"/>
                <w:sz w:val="17"/>
                <w:szCs w:val="17"/>
              </w:rPr>
              <w:t>-25 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D5C"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D5D" w14:textId="77777777" w:rsidR="008E7A10" w:rsidRDefault="00E047B2">
            <w:pPr>
              <w:jc w:val="right"/>
              <w:textAlignment w:val="bottom"/>
            </w:pPr>
            <w:r>
              <w:rPr>
                <w:rFonts w:ascii="Arial" w:eastAsia="宋体" w:hAnsi="Arial" w:cs="Arial"/>
                <w:color w:val="000000"/>
                <w:sz w:val="17"/>
                <w:szCs w:val="17"/>
              </w:rPr>
              <w:t>-25 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D5E" w14:textId="77777777" w:rsidR="008E7A10" w:rsidRDefault="00E047B2">
            <w:pPr>
              <w:jc w:val="right"/>
              <w:textAlignment w:val="bottom"/>
            </w:pPr>
            <w:r>
              <w:rPr>
                <w:rFonts w:ascii="Arial" w:eastAsia="宋体" w:hAnsi="Arial" w:cs="Arial"/>
                <w:color w:val="000000"/>
                <w:sz w:val="17"/>
                <w:szCs w:val="17"/>
              </w:rPr>
              <w:t>%</w:t>
            </w:r>
          </w:p>
        </w:tc>
      </w:tr>
      <w:tr w:rsidR="008E7A10" w14:paraId="746F1D74"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F1D60" w14:textId="77777777" w:rsidR="008E7A10" w:rsidRDefault="00E047B2">
            <w:pPr>
              <w:textAlignment w:val="bottom"/>
            </w:pPr>
            <w:r>
              <w:rPr>
                <w:rFonts w:ascii="Arial" w:eastAsia="宋体" w:hAnsi="Arial" w:cs="Arial"/>
                <w:color w:val="000000"/>
                <w:sz w:val="17"/>
                <w:szCs w:val="17"/>
              </w:rPr>
              <w:t>Earnings (Loss) Bef</w:t>
            </w:r>
            <w:r>
              <w:rPr>
                <w:rFonts w:ascii="Arial" w:eastAsia="宋体" w:hAnsi="Arial" w:cs="Arial"/>
                <w:color w:val="000000"/>
                <w:sz w:val="17"/>
                <w:szCs w:val="17"/>
              </w:rPr>
              <w:t>ore Interest and Taxes</w:t>
            </w: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1D6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746F1D62" w14:textId="77777777" w:rsidR="008E7A10" w:rsidRDefault="00E047B2">
            <w:pPr>
              <w:jc w:val="right"/>
              <w:textAlignment w:val="bottom"/>
            </w:pPr>
            <w:r>
              <w:rPr>
                <w:rFonts w:ascii="Arial" w:eastAsia="宋体" w:hAnsi="Arial" w:cs="Arial"/>
                <w:color w:val="000000"/>
                <w:sz w:val="17"/>
                <w:szCs w:val="17"/>
              </w:rPr>
              <w:t>(841)</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1D63" w14:textId="77777777" w:rsidR="008E7A10" w:rsidRDefault="008E7A10">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D6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746F1D65" w14:textId="77777777" w:rsidR="008E7A10" w:rsidRDefault="00E047B2">
            <w:pPr>
              <w:jc w:val="right"/>
              <w:textAlignment w:val="bottom"/>
            </w:pPr>
            <w:r>
              <w:rPr>
                <w:rFonts w:ascii="Arial" w:eastAsia="宋体" w:hAnsi="Arial" w:cs="Arial"/>
                <w:color w:val="000000"/>
                <w:sz w:val="17"/>
                <w:szCs w:val="17"/>
              </w:rPr>
              <w:t>(872)</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D66"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D67"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D68"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F1D69" w14:textId="77777777" w:rsidR="008E7A10" w:rsidRDefault="008E7A10">
            <w:pPr>
              <w:rPr>
                <w:rFonts w:ascii="宋体"/>
              </w:rPr>
            </w:pP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F1D6A" w14:textId="77777777" w:rsidR="008E7A10" w:rsidRDefault="008E7A10">
            <w:pPr>
              <w:rPr>
                <w:rFonts w:ascii="宋体"/>
              </w:rPr>
            </w:pP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1D6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746F1D6C" w14:textId="77777777" w:rsidR="008E7A10" w:rsidRDefault="00E047B2">
            <w:pPr>
              <w:jc w:val="right"/>
              <w:textAlignment w:val="bottom"/>
            </w:pPr>
            <w:r>
              <w:rPr>
                <w:rFonts w:ascii="Arial" w:eastAsia="宋体" w:hAnsi="Arial" w:cs="Arial"/>
                <w:color w:val="000000"/>
                <w:sz w:val="17"/>
                <w:szCs w:val="17"/>
              </w:rPr>
              <w:t>(1,694)</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1D6D" w14:textId="77777777" w:rsidR="008E7A10" w:rsidRDefault="008E7A10">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D6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746F1D6F" w14:textId="77777777" w:rsidR="008E7A10" w:rsidRDefault="00E047B2">
            <w:pPr>
              <w:jc w:val="right"/>
              <w:textAlignment w:val="bottom"/>
            </w:pPr>
            <w:r>
              <w:rPr>
                <w:rFonts w:ascii="Arial" w:eastAsia="宋体" w:hAnsi="Arial" w:cs="Arial"/>
                <w:color w:val="000000"/>
                <w:sz w:val="17"/>
                <w:szCs w:val="17"/>
              </w:rPr>
              <w:t>(1,729)</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D70"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D71"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D72"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F1D73" w14:textId="77777777" w:rsidR="008E7A10" w:rsidRDefault="008E7A10">
            <w:pPr>
              <w:rPr>
                <w:rFonts w:ascii="宋体"/>
              </w:rPr>
            </w:pPr>
          </w:p>
        </w:tc>
      </w:tr>
    </w:tbl>
    <w:p w14:paraId="746F1D75" w14:textId="77777777" w:rsidR="008E7A10" w:rsidRDefault="00E047B2">
      <w:pPr>
        <w:spacing w:before="120" w:after="120"/>
      </w:pPr>
      <w:r>
        <w:rPr>
          <w:rFonts w:ascii="Arial" w:eastAsia="宋体" w:hAnsi="Arial" w:cs="Arial"/>
          <w:color w:val="000000"/>
          <w:sz w:val="17"/>
          <w:szCs w:val="17"/>
        </w:rPr>
        <w:t xml:space="preserve">Global Brand Divisions primarily represent demand creation and operating </w:t>
      </w:r>
      <w:r>
        <w:rPr>
          <w:rFonts w:ascii="Arial" w:eastAsia="宋体" w:hAnsi="Arial" w:cs="Arial"/>
          <w:color w:val="000000"/>
          <w:sz w:val="17"/>
          <w:szCs w:val="17"/>
        </w:rPr>
        <w:t>overhead expense, including product creation and design expenses that are centrally managed for the NIKE Brand, as well as costs associated with NIKE Direct global digital operations and enterprise technology. Global Brand Divisions revenues include NIKE B</w:t>
      </w:r>
      <w:r>
        <w:rPr>
          <w:rFonts w:ascii="Arial" w:eastAsia="宋体" w:hAnsi="Arial" w:cs="Arial"/>
          <w:color w:val="000000"/>
          <w:sz w:val="17"/>
          <w:szCs w:val="17"/>
        </w:rPr>
        <w:t>rand licensing and other miscellaneous revenues that are not part of a geographic operating segment.</w:t>
      </w:r>
    </w:p>
    <w:p w14:paraId="746F1D76" w14:textId="77777777" w:rsidR="008E7A10" w:rsidRDefault="00E047B2">
      <w:pPr>
        <w:spacing w:before="120"/>
      </w:pPr>
      <w:r>
        <w:rPr>
          <w:rFonts w:ascii="sans-serif" w:eastAsia="sans-serif" w:hAnsi="sans-serif" w:cs="sans-serif"/>
          <w:b/>
          <w:bCs/>
          <w:color w:val="808080"/>
          <w:sz w:val="22"/>
          <w:szCs w:val="22"/>
        </w:rPr>
        <w:t>SECOND QUARTER OF FISCAL 2021 COMPARED TO SECOND QUARTER OF FISCAL 2020</w:t>
      </w:r>
    </w:p>
    <w:p w14:paraId="746F1D77" w14:textId="77777777" w:rsidR="008E7A10" w:rsidRDefault="00E047B2">
      <w:pPr>
        <w:spacing w:after="120"/>
      </w:pPr>
      <w:r>
        <w:rPr>
          <w:rFonts w:ascii="Arial" w:eastAsia="宋体" w:hAnsi="Arial" w:cs="Arial"/>
          <w:color w:val="000000"/>
          <w:sz w:val="17"/>
          <w:szCs w:val="17"/>
        </w:rPr>
        <w:t xml:space="preserve">Global Brand Divisions' loss before interest and taxes decreased 4% for the second </w:t>
      </w:r>
      <w:r>
        <w:rPr>
          <w:rFonts w:ascii="Arial" w:eastAsia="宋体" w:hAnsi="Arial" w:cs="Arial"/>
          <w:color w:val="000000"/>
          <w:sz w:val="17"/>
          <w:szCs w:val="17"/>
        </w:rPr>
        <w:t xml:space="preserve">quarter of fiscal 2021 driven by lower total selling and administrative expense. Operating overhead expense decreased, primarily due to lower wage-related costs and lower travel and related expenses, partially offset by our continued investment in digital </w:t>
      </w:r>
      <w:r>
        <w:rPr>
          <w:rFonts w:ascii="Arial" w:eastAsia="宋体" w:hAnsi="Arial" w:cs="Arial"/>
          <w:color w:val="000000"/>
          <w:sz w:val="17"/>
          <w:szCs w:val="17"/>
        </w:rPr>
        <w:t xml:space="preserve">capabilities. Lower demand creation expense was primarily due to lower sports marketing expense, partially offset by higher advertising and marketing costs. </w:t>
      </w:r>
    </w:p>
    <w:p w14:paraId="746F1D78" w14:textId="77777777" w:rsidR="008E7A10" w:rsidRDefault="00E047B2">
      <w:pPr>
        <w:spacing w:before="120"/>
      </w:pPr>
      <w:r>
        <w:rPr>
          <w:rFonts w:ascii="sans-serif" w:eastAsia="sans-serif" w:hAnsi="sans-serif" w:cs="sans-serif"/>
          <w:b/>
          <w:bCs/>
          <w:color w:val="808080"/>
          <w:sz w:val="22"/>
          <w:szCs w:val="22"/>
        </w:rPr>
        <w:t>FIRST SIX MONTHS OF FISCAL 2021 COMPARED TO FIRST SIX MONTHS OF FISCAL 2020</w:t>
      </w:r>
    </w:p>
    <w:p w14:paraId="746F1D79" w14:textId="77777777" w:rsidR="008E7A10" w:rsidRDefault="00E047B2">
      <w:pPr>
        <w:spacing w:after="120"/>
      </w:pPr>
      <w:r>
        <w:rPr>
          <w:rFonts w:ascii="Arial" w:eastAsia="宋体" w:hAnsi="Arial" w:cs="Arial"/>
          <w:color w:val="000000"/>
          <w:sz w:val="17"/>
          <w:szCs w:val="17"/>
        </w:rPr>
        <w:t xml:space="preserve">Global Brand </w:t>
      </w:r>
      <w:r>
        <w:rPr>
          <w:rFonts w:ascii="Arial" w:eastAsia="宋体" w:hAnsi="Arial" w:cs="Arial"/>
          <w:color w:val="000000"/>
          <w:sz w:val="17"/>
          <w:szCs w:val="17"/>
        </w:rPr>
        <w:t>Divisions' loss before interest and taxes decreased 2% for the first six months of fiscal 2021 driven by lower total selling and administrative expense. Lower demand creation expense was primarily due to lower sports marketing costs. The decrease in operat</w:t>
      </w:r>
      <w:r>
        <w:rPr>
          <w:rFonts w:ascii="Arial" w:eastAsia="宋体" w:hAnsi="Arial" w:cs="Arial"/>
          <w:color w:val="000000"/>
          <w:sz w:val="17"/>
          <w:szCs w:val="17"/>
        </w:rPr>
        <w:t>ing overhead expense was primarily due lower travel and related expenses as well as lower wage-related costs, partially offset by our continued investment in digital capabilities.</w:t>
      </w:r>
    </w:p>
    <w:p w14:paraId="746F1D7A" w14:textId="77777777" w:rsidR="008E7A10" w:rsidRDefault="00E047B2">
      <w:pPr>
        <w:spacing w:before="120" w:after="120"/>
      </w:pPr>
      <w:r>
        <w:rPr>
          <w:rFonts w:ascii="Arial" w:eastAsia="宋体" w:hAnsi="Arial" w:cs="Arial"/>
          <w:color w:val="E87722"/>
          <w:sz w:val="17"/>
          <w:szCs w:val="17"/>
        </w:rPr>
        <w:t>38</w:t>
      </w:r>
      <w:r>
        <w:rPr>
          <w:rFonts w:ascii="sans-serif" w:eastAsia="sans-serif" w:hAnsi="sans-serif" w:cs="sans-serif"/>
          <w:color w:val="000000"/>
          <w:sz w:val="17"/>
          <w:szCs w:val="17"/>
        </w:rPr>
        <w:t xml:space="preserve"> </w:t>
      </w:r>
    </w:p>
    <w:p w14:paraId="746F1D7B" w14:textId="77777777" w:rsidR="008E7A10" w:rsidRDefault="00E047B2">
      <w:r>
        <w:pict w14:anchorId="746F202E">
          <v:rect id="_x0000_i1064" style="width:415.3pt;height:1.5pt" o:hralign="center" o:hrstd="t" o:hr="t" fillcolor="#a0a0a0" stroked="f"/>
        </w:pict>
      </w:r>
    </w:p>
    <w:p w14:paraId="746F1D7C" w14:textId="77777777" w:rsidR="008E7A10" w:rsidRDefault="008E7A10">
      <w:pPr>
        <w:spacing w:before="120" w:after="120"/>
      </w:pPr>
    </w:p>
    <w:p w14:paraId="746F1D7D" w14:textId="77777777" w:rsidR="008E7A10" w:rsidRDefault="00E047B2">
      <w:pPr>
        <w:spacing w:before="240" w:after="120"/>
      </w:pPr>
      <w:r>
        <w:rPr>
          <w:rFonts w:ascii="sans-serif" w:eastAsia="sans-serif" w:hAnsi="sans-serif" w:cs="sans-serif"/>
          <w:b/>
          <w:bCs/>
          <w:color w:val="000000"/>
          <w:sz w:val="28"/>
          <w:szCs w:val="28"/>
        </w:rPr>
        <w:t>CONVERSE</w:t>
      </w:r>
    </w:p>
    <w:tbl>
      <w:tblPr>
        <w:tblW w:w="5000" w:type="pct"/>
        <w:tblCellMar>
          <w:top w:w="15" w:type="dxa"/>
          <w:left w:w="15" w:type="dxa"/>
          <w:bottom w:w="15" w:type="dxa"/>
          <w:right w:w="15" w:type="dxa"/>
        </w:tblCellMar>
        <w:tblLook w:val="04A0" w:firstRow="1" w:lastRow="0" w:firstColumn="1" w:lastColumn="0" w:noHBand="0" w:noVBand="1"/>
      </w:tblPr>
      <w:tblGrid>
        <w:gridCol w:w="175"/>
        <w:gridCol w:w="2316"/>
        <w:gridCol w:w="37"/>
        <w:gridCol w:w="112"/>
        <w:gridCol w:w="320"/>
        <w:gridCol w:w="36"/>
        <w:gridCol w:w="112"/>
        <w:gridCol w:w="320"/>
        <w:gridCol w:w="36"/>
        <w:gridCol w:w="73"/>
        <w:gridCol w:w="544"/>
        <w:gridCol w:w="167"/>
        <w:gridCol w:w="97"/>
        <w:gridCol w:w="729"/>
        <w:gridCol w:w="167"/>
        <w:gridCol w:w="40"/>
        <w:gridCol w:w="32"/>
        <w:gridCol w:w="36"/>
        <w:gridCol w:w="112"/>
        <w:gridCol w:w="457"/>
        <w:gridCol w:w="36"/>
        <w:gridCol w:w="112"/>
        <w:gridCol w:w="457"/>
        <w:gridCol w:w="36"/>
        <w:gridCol w:w="73"/>
        <w:gridCol w:w="544"/>
        <w:gridCol w:w="167"/>
        <w:gridCol w:w="97"/>
        <w:gridCol w:w="729"/>
        <w:gridCol w:w="167"/>
      </w:tblGrid>
      <w:tr w:rsidR="008E7A10" w14:paraId="746F1D9C" w14:textId="77777777">
        <w:tc>
          <w:tcPr>
            <w:tcW w:w="50" w:type="pct"/>
            <w:shd w:val="clear" w:color="auto" w:fill="auto"/>
          </w:tcPr>
          <w:p w14:paraId="746F1D7E" w14:textId="77777777" w:rsidR="008E7A10" w:rsidRDefault="008E7A10">
            <w:pPr>
              <w:rPr>
                <w:rFonts w:ascii="宋体"/>
              </w:rPr>
            </w:pPr>
          </w:p>
        </w:tc>
        <w:tc>
          <w:tcPr>
            <w:tcW w:w="1387" w:type="pct"/>
            <w:shd w:val="clear" w:color="auto" w:fill="auto"/>
          </w:tcPr>
          <w:p w14:paraId="746F1D7F" w14:textId="77777777" w:rsidR="008E7A10" w:rsidRDefault="008E7A10">
            <w:pPr>
              <w:rPr>
                <w:rFonts w:ascii="宋体"/>
              </w:rPr>
            </w:pPr>
          </w:p>
        </w:tc>
        <w:tc>
          <w:tcPr>
            <w:tcW w:w="5" w:type="pct"/>
            <w:shd w:val="clear" w:color="auto" w:fill="auto"/>
          </w:tcPr>
          <w:p w14:paraId="746F1D80" w14:textId="77777777" w:rsidR="008E7A10" w:rsidRDefault="008E7A10">
            <w:pPr>
              <w:rPr>
                <w:rFonts w:ascii="宋体"/>
              </w:rPr>
            </w:pPr>
          </w:p>
        </w:tc>
        <w:tc>
          <w:tcPr>
            <w:tcW w:w="50" w:type="pct"/>
            <w:shd w:val="clear" w:color="auto" w:fill="auto"/>
          </w:tcPr>
          <w:p w14:paraId="746F1D81" w14:textId="77777777" w:rsidR="008E7A10" w:rsidRDefault="008E7A10">
            <w:pPr>
              <w:rPr>
                <w:rFonts w:ascii="宋体"/>
              </w:rPr>
            </w:pPr>
          </w:p>
        </w:tc>
        <w:tc>
          <w:tcPr>
            <w:tcW w:w="384" w:type="pct"/>
            <w:shd w:val="clear" w:color="auto" w:fill="auto"/>
          </w:tcPr>
          <w:p w14:paraId="746F1D82" w14:textId="77777777" w:rsidR="008E7A10" w:rsidRDefault="008E7A10">
            <w:pPr>
              <w:rPr>
                <w:rFonts w:ascii="宋体"/>
              </w:rPr>
            </w:pPr>
          </w:p>
        </w:tc>
        <w:tc>
          <w:tcPr>
            <w:tcW w:w="5" w:type="pct"/>
            <w:shd w:val="clear" w:color="auto" w:fill="auto"/>
          </w:tcPr>
          <w:p w14:paraId="746F1D83" w14:textId="77777777" w:rsidR="008E7A10" w:rsidRDefault="008E7A10">
            <w:pPr>
              <w:rPr>
                <w:rFonts w:ascii="宋体"/>
              </w:rPr>
            </w:pPr>
          </w:p>
        </w:tc>
        <w:tc>
          <w:tcPr>
            <w:tcW w:w="50" w:type="pct"/>
            <w:shd w:val="clear" w:color="auto" w:fill="auto"/>
          </w:tcPr>
          <w:p w14:paraId="746F1D84" w14:textId="77777777" w:rsidR="008E7A10" w:rsidRDefault="008E7A10">
            <w:pPr>
              <w:rPr>
                <w:rFonts w:ascii="宋体"/>
              </w:rPr>
            </w:pPr>
          </w:p>
        </w:tc>
        <w:tc>
          <w:tcPr>
            <w:tcW w:w="384" w:type="pct"/>
            <w:shd w:val="clear" w:color="auto" w:fill="auto"/>
          </w:tcPr>
          <w:p w14:paraId="746F1D85" w14:textId="77777777" w:rsidR="008E7A10" w:rsidRDefault="008E7A10">
            <w:pPr>
              <w:rPr>
                <w:rFonts w:ascii="宋体"/>
              </w:rPr>
            </w:pPr>
          </w:p>
        </w:tc>
        <w:tc>
          <w:tcPr>
            <w:tcW w:w="5" w:type="pct"/>
            <w:shd w:val="clear" w:color="auto" w:fill="auto"/>
          </w:tcPr>
          <w:p w14:paraId="746F1D86" w14:textId="77777777" w:rsidR="008E7A10" w:rsidRDefault="008E7A10">
            <w:pPr>
              <w:rPr>
                <w:rFonts w:ascii="宋体"/>
              </w:rPr>
            </w:pPr>
          </w:p>
        </w:tc>
        <w:tc>
          <w:tcPr>
            <w:tcW w:w="50" w:type="pct"/>
            <w:shd w:val="clear" w:color="auto" w:fill="auto"/>
          </w:tcPr>
          <w:p w14:paraId="746F1D87" w14:textId="77777777" w:rsidR="008E7A10" w:rsidRDefault="008E7A10">
            <w:pPr>
              <w:rPr>
                <w:rFonts w:ascii="宋体"/>
              </w:rPr>
            </w:pPr>
          </w:p>
        </w:tc>
        <w:tc>
          <w:tcPr>
            <w:tcW w:w="384" w:type="pct"/>
            <w:shd w:val="clear" w:color="auto" w:fill="auto"/>
          </w:tcPr>
          <w:p w14:paraId="746F1D88" w14:textId="77777777" w:rsidR="008E7A10" w:rsidRDefault="008E7A10">
            <w:pPr>
              <w:rPr>
                <w:rFonts w:ascii="宋体"/>
              </w:rPr>
            </w:pPr>
          </w:p>
        </w:tc>
        <w:tc>
          <w:tcPr>
            <w:tcW w:w="5" w:type="pct"/>
            <w:shd w:val="clear" w:color="auto" w:fill="auto"/>
          </w:tcPr>
          <w:p w14:paraId="746F1D89" w14:textId="77777777" w:rsidR="008E7A10" w:rsidRDefault="008E7A10">
            <w:pPr>
              <w:rPr>
                <w:rFonts w:ascii="宋体"/>
              </w:rPr>
            </w:pPr>
          </w:p>
        </w:tc>
        <w:tc>
          <w:tcPr>
            <w:tcW w:w="50" w:type="pct"/>
            <w:shd w:val="clear" w:color="auto" w:fill="auto"/>
          </w:tcPr>
          <w:p w14:paraId="746F1D8A" w14:textId="77777777" w:rsidR="008E7A10" w:rsidRDefault="008E7A10">
            <w:pPr>
              <w:rPr>
                <w:rFonts w:ascii="宋体"/>
              </w:rPr>
            </w:pPr>
          </w:p>
        </w:tc>
        <w:tc>
          <w:tcPr>
            <w:tcW w:w="384" w:type="pct"/>
            <w:shd w:val="clear" w:color="auto" w:fill="auto"/>
          </w:tcPr>
          <w:p w14:paraId="746F1D8B" w14:textId="77777777" w:rsidR="008E7A10" w:rsidRDefault="008E7A10">
            <w:pPr>
              <w:rPr>
                <w:rFonts w:ascii="宋体"/>
              </w:rPr>
            </w:pPr>
          </w:p>
        </w:tc>
        <w:tc>
          <w:tcPr>
            <w:tcW w:w="5" w:type="pct"/>
            <w:shd w:val="clear" w:color="auto" w:fill="auto"/>
          </w:tcPr>
          <w:p w14:paraId="746F1D8C" w14:textId="77777777" w:rsidR="008E7A10" w:rsidRDefault="008E7A10">
            <w:pPr>
              <w:rPr>
                <w:rFonts w:ascii="宋体"/>
              </w:rPr>
            </w:pPr>
          </w:p>
        </w:tc>
        <w:tc>
          <w:tcPr>
            <w:tcW w:w="5" w:type="pct"/>
            <w:shd w:val="clear" w:color="auto" w:fill="auto"/>
          </w:tcPr>
          <w:p w14:paraId="746F1D8D" w14:textId="77777777" w:rsidR="008E7A10" w:rsidRDefault="008E7A10">
            <w:pPr>
              <w:rPr>
                <w:rFonts w:ascii="宋体"/>
              </w:rPr>
            </w:pPr>
          </w:p>
        </w:tc>
        <w:tc>
          <w:tcPr>
            <w:tcW w:w="28" w:type="pct"/>
            <w:shd w:val="clear" w:color="auto" w:fill="auto"/>
          </w:tcPr>
          <w:p w14:paraId="746F1D8E" w14:textId="77777777" w:rsidR="008E7A10" w:rsidRDefault="008E7A10">
            <w:pPr>
              <w:rPr>
                <w:rFonts w:ascii="宋体"/>
              </w:rPr>
            </w:pPr>
          </w:p>
        </w:tc>
        <w:tc>
          <w:tcPr>
            <w:tcW w:w="5" w:type="pct"/>
            <w:shd w:val="clear" w:color="auto" w:fill="auto"/>
          </w:tcPr>
          <w:p w14:paraId="746F1D8F" w14:textId="77777777" w:rsidR="008E7A10" w:rsidRDefault="008E7A10">
            <w:pPr>
              <w:rPr>
                <w:rFonts w:ascii="宋体"/>
              </w:rPr>
            </w:pPr>
          </w:p>
        </w:tc>
        <w:tc>
          <w:tcPr>
            <w:tcW w:w="50" w:type="pct"/>
            <w:shd w:val="clear" w:color="auto" w:fill="auto"/>
          </w:tcPr>
          <w:p w14:paraId="746F1D90" w14:textId="77777777" w:rsidR="008E7A10" w:rsidRDefault="008E7A10">
            <w:pPr>
              <w:rPr>
                <w:rFonts w:ascii="宋体"/>
              </w:rPr>
            </w:pPr>
          </w:p>
        </w:tc>
        <w:tc>
          <w:tcPr>
            <w:tcW w:w="384" w:type="pct"/>
            <w:shd w:val="clear" w:color="auto" w:fill="auto"/>
          </w:tcPr>
          <w:p w14:paraId="746F1D91" w14:textId="77777777" w:rsidR="008E7A10" w:rsidRDefault="008E7A10">
            <w:pPr>
              <w:rPr>
                <w:rFonts w:ascii="宋体"/>
              </w:rPr>
            </w:pPr>
          </w:p>
        </w:tc>
        <w:tc>
          <w:tcPr>
            <w:tcW w:w="5" w:type="pct"/>
            <w:shd w:val="clear" w:color="auto" w:fill="auto"/>
          </w:tcPr>
          <w:p w14:paraId="746F1D92" w14:textId="77777777" w:rsidR="008E7A10" w:rsidRDefault="008E7A10">
            <w:pPr>
              <w:rPr>
                <w:rFonts w:ascii="宋体"/>
              </w:rPr>
            </w:pPr>
          </w:p>
        </w:tc>
        <w:tc>
          <w:tcPr>
            <w:tcW w:w="50" w:type="pct"/>
            <w:shd w:val="clear" w:color="auto" w:fill="auto"/>
          </w:tcPr>
          <w:p w14:paraId="746F1D93" w14:textId="77777777" w:rsidR="008E7A10" w:rsidRDefault="008E7A10">
            <w:pPr>
              <w:rPr>
                <w:rFonts w:ascii="宋体"/>
              </w:rPr>
            </w:pPr>
          </w:p>
        </w:tc>
        <w:tc>
          <w:tcPr>
            <w:tcW w:w="384" w:type="pct"/>
            <w:shd w:val="clear" w:color="auto" w:fill="auto"/>
          </w:tcPr>
          <w:p w14:paraId="746F1D94" w14:textId="77777777" w:rsidR="008E7A10" w:rsidRDefault="008E7A10">
            <w:pPr>
              <w:rPr>
                <w:rFonts w:ascii="宋体"/>
              </w:rPr>
            </w:pPr>
          </w:p>
        </w:tc>
        <w:tc>
          <w:tcPr>
            <w:tcW w:w="5" w:type="pct"/>
            <w:shd w:val="clear" w:color="auto" w:fill="auto"/>
          </w:tcPr>
          <w:p w14:paraId="746F1D95" w14:textId="77777777" w:rsidR="008E7A10" w:rsidRDefault="008E7A10">
            <w:pPr>
              <w:rPr>
                <w:rFonts w:ascii="宋体"/>
              </w:rPr>
            </w:pPr>
          </w:p>
        </w:tc>
        <w:tc>
          <w:tcPr>
            <w:tcW w:w="50" w:type="pct"/>
            <w:shd w:val="clear" w:color="auto" w:fill="auto"/>
          </w:tcPr>
          <w:p w14:paraId="746F1D96" w14:textId="77777777" w:rsidR="008E7A10" w:rsidRDefault="008E7A10">
            <w:pPr>
              <w:rPr>
                <w:rFonts w:ascii="宋体"/>
              </w:rPr>
            </w:pPr>
          </w:p>
        </w:tc>
        <w:tc>
          <w:tcPr>
            <w:tcW w:w="384" w:type="pct"/>
            <w:shd w:val="clear" w:color="auto" w:fill="auto"/>
          </w:tcPr>
          <w:p w14:paraId="746F1D97" w14:textId="77777777" w:rsidR="008E7A10" w:rsidRDefault="008E7A10">
            <w:pPr>
              <w:rPr>
                <w:rFonts w:ascii="宋体"/>
              </w:rPr>
            </w:pPr>
          </w:p>
        </w:tc>
        <w:tc>
          <w:tcPr>
            <w:tcW w:w="5" w:type="pct"/>
            <w:shd w:val="clear" w:color="auto" w:fill="auto"/>
          </w:tcPr>
          <w:p w14:paraId="746F1D98" w14:textId="77777777" w:rsidR="008E7A10" w:rsidRDefault="008E7A10">
            <w:pPr>
              <w:rPr>
                <w:rFonts w:ascii="宋体"/>
              </w:rPr>
            </w:pPr>
          </w:p>
        </w:tc>
        <w:tc>
          <w:tcPr>
            <w:tcW w:w="50" w:type="pct"/>
            <w:shd w:val="clear" w:color="auto" w:fill="auto"/>
          </w:tcPr>
          <w:p w14:paraId="746F1D99" w14:textId="77777777" w:rsidR="008E7A10" w:rsidRDefault="008E7A10">
            <w:pPr>
              <w:rPr>
                <w:rFonts w:ascii="宋体"/>
              </w:rPr>
            </w:pPr>
          </w:p>
        </w:tc>
        <w:tc>
          <w:tcPr>
            <w:tcW w:w="384" w:type="pct"/>
            <w:shd w:val="clear" w:color="auto" w:fill="auto"/>
          </w:tcPr>
          <w:p w14:paraId="746F1D9A" w14:textId="77777777" w:rsidR="008E7A10" w:rsidRDefault="008E7A10">
            <w:pPr>
              <w:rPr>
                <w:rFonts w:ascii="宋体"/>
              </w:rPr>
            </w:pPr>
          </w:p>
        </w:tc>
        <w:tc>
          <w:tcPr>
            <w:tcW w:w="5" w:type="pct"/>
            <w:shd w:val="clear" w:color="auto" w:fill="auto"/>
          </w:tcPr>
          <w:p w14:paraId="746F1D9B" w14:textId="77777777" w:rsidR="008E7A10" w:rsidRDefault="008E7A10">
            <w:pPr>
              <w:rPr>
                <w:rFonts w:ascii="宋体"/>
              </w:rPr>
            </w:pPr>
          </w:p>
        </w:tc>
      </w:tr>
      <w:tr w:rsidR="008E7A10" w14:paraId="746F1DA1" w14:textId="77777777">
        <w:tc>
          <w:tcPr>
            <w:tcW w:w="0" w:type="auto"/>
            <w:gridSpan w:val="3"/>
            <w:shd w:val="clear" w:color="auto" w:fill="auto"/>
            <w:tcMar>
              <w:top w:w="0" w:type="dxa"/>
              <w:left w:w="20" w:type="dxa"/>
              <w:bottom w:w="0" w:type="dxa"/>
              <w:right w:w="20" w:type="dxa"/>
            </w:tcMar>
          </w:tcPr>
          <w:p w14:paraId="746F1D9D"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D9E"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D9F" w14:textId="77777777" w:rsidR="008E7A10" w:rsidRDefault="008E7A10">
            <w:pPr>
              <w:rPr>
                <w:rFonts w:ascii="宋体"/>
              </w:rPr>
            </w:pPr>
          </w:p>
        </w:tc>
        <w:tc>
          <w:tcPr>
            <w:tcW w:w="0" w:type="auto"/>
            <w:gridSpan w:val="12"/>
            <w:shd w:val="clear" w:color="auto" w:fill="auto"/>
            <w:tcMar>
              <w:top w:w="40" w:type="dxa"/>
              <w:left w:w="20" w:type="dxa"/>
              <w:bottom w:w="40" w:type="dxa"/>
              <w:right w:w="20" w:type="dxa"/>
            </w:tcMar>
            <w:vAlign w:val="bottom"/>
          </w:tcPr>
          <w:p w14:paraId="746F1DA0"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DAC" w14:textId="77777777">
        <w:tc>
          <w:tcPr>
            <w:tcW w:w="0" w:type="auto"/>
            <w:gridSpan w:val="3"/>
            <w:shd w:val="clear" w:color="auto" w:fill="auto"/>
            <w:tcMar>
              <w:top w:w="40" w:type="dxa"/>
              <w:left w:w="20" w:type="dxa"/>
              <w:bottom w:w="40" w:type="dxa"/>
              <w:right w:w="20" w:type="dxa"/>
            </w:tcMar>
            <w:vAlign w:val="bottom"/>
          </w:tcPr>
          <w:p w14:paraId="746F1DA2"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A3"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A4"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A5"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A6" w14:textId="77777777" w:rsidR="008E7A10" w:rsidRDefault="00E047B2">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tcPr>
          <w:p w14:paraId="746F1DA7"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A8"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A9"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AA"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AB" w14:textId="77777777" w:rsidR="008E7A10" w:rsidRDefault="00E047B2">
            <w:pPr>
              <w:jc w:val="right"/>
              <w:textAlignment w:val="bottom"/>
            </w:pPr>
            <w:r>
              <w:rPr>
                <w:rFonts w:ascii="sans-serif" w:eastAsia="sans-serif" w:hAnsi="sans-serif" w:cs="sans-serif"/>
                <w:b/>
                <w:bCs/>
                <w:color w:val="000000"/>
                <w:sz w:val="17"/>
                <w:szCs w:val="17"/>
              </w:rPr>
              <w:t>% CHANGE EXCLUDING CURRENCY CHANGES</w:t>
            </w:r>
          </w:p>
        </w:tc>
      </w:tr>
      <w:tr w:rsidR="008E7A10" w14:paraId="746F1DB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DAD"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746F1DAE"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DAF"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DB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DB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DB2"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DB3"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DB4"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DB5"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DB6" w14:textId="77777777" w:rsidR="008E7A10" w:rsidRDefault="008E7A10">
            <w:pPr>
              <w:rPr>
                <w:rFonts w:ascii="宋体"/>
              </w:rPr>
            </w:pPr>
          </w:p>
        </w:tc>
      </w:tr>
      <w:tr w:rsidR="008E7A10" w14:paraId="746F1DCE"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DB8" w14:textId="77777777" w:rsidR="008E7A10" w:rsidRDefault="00E047B2">
            <w:pPr>
              <w:textAlignment w:val="bottom"/>
            </w:pPr>
            <w:r>
              <w:rPr>
                <w:rFonts w:ascii="Arial" w:eastAsia="宋体" w:hAnsi="Arial" w:cs="Arial"/>
                <w:color w:val="000000"/>
                <w:sz w:val="17"/>
                <w:szCs w:val="17"/>
              </w:rPr>
              <w:t>Footwear</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DB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DBA" w14:textId="77777777" w:rsidR="008E7A10" w:rsidRDefault="00E047B2">
            <w:pPr>
              <w:jc w:val="right"/>
              <w:textAlignment w:val="bottom"/>
            </w:pPr>
            <w:r>
              <w:rPr>
                <w:rFonts w:ascii="Arial" w:eastAsia="宋体" w:hAnsi="Arial" w:cs="Arial"/>
                <w:color w:val="000000"/>
                <w:sz w:val="17"/>
                <w:szCs w:val="17"/>
              </w:rPr>
              <w:t>416 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DBB"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DBC"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DBD" w14:textId="77777777" w:rsidR="008E7A10" w:rsidRDefault="00E047B2">
            <w:pPr>
              <w:jc w:val="right"/>
              <w:textAlignment w:val="bottom"/>
            </w:pPr>
            <w:r>
              <w:rPr>
                <w:rFonts w:ascii="Arial" w:eastAsia="宋体" w:hAnsi="Arial" w:cs="Arial"/>
                <w:color w:val="000000"/>
                <w:sz w:val="17"/>
                <w:szCs w:val="17"/>
              </w:rPr>
              <w:t>416 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B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BF" w14:textId="77777777" w:rsidR="008E7A10" w:rsidRDefault="00E047B2">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C0"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C1"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C2"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DC3"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DC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DC5" w14:textId="77777777" w:rsidR="008E7A10" w:rsidRDefault="00E047B2">
            <w:pPr>
              <w:jc w:val="right"/>
              <w:textAlignment w:val="bottom"/>
            </w:pPr>
            <w:r>
              <w:rPr>
                <w:rFonts w:ascii="Arial" w:eastAsia="宋体" w:hAnsi="Arial" w:cs="Arial"/>
                <w:color w:val="000000"/>
                <w:sz w:val="17"/>
                <w:szCs w:val="17"/>
              </w:rPr>
              <w:t>929 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DC6"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DC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DC8" w14:textId="77777777" w:rsidR="008E7A10" w:rsidRDefault="00E047B2">
            <w:pPr>
              <w:jc w:val="right"/>
              <w:textAlignment w:val="bottom"/>
            </w:pPr>
            <w:r>
              <w:rPr>
                <w:rFonts w:ascii="Arial" w:eastAsia="宋体" w:hAnsi="Arial" w:cs="Arial"/>
                <w:color w:val="000000"/>
                <w:sz w:val="17"/>
                <w:szCs w:val="17"/>
              </w:rPr>
              <w:t>912 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C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CA"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CB"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CC" w14:textId="77777777" w:rsidR="008E7A10" w:rsidRDefault="00E047B2">
            <w:pPr>
              <w:jc w:val="right"/>
              <w:textAlignment w:val="bottom"/>
            </w:pPr>
            <w:r>
              <w:rPr>
                <w:rFonts w:ascii="Arial" w:eastAsia="宋体" w:hAnsi="Arial" w:cs="Arial"/>
                <w:color w:val="000000"/>
                <w:sz w:val="17"/>
                <w:szCs w:val="17"/>
              </w:rPr>
              <w:t>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CD" w14:textId="77777777" w:rsidR="008E7A10" w:rsidRDefault="00E047B2">
            <w:pPr>
              <w:jc w:val="right"/>
              <w:textAlignment w:val="bottom"/>
            </w:pPr>
            <w:r>
              <w:rPr>
                <w:rFonts w:ascii="Arial" w:eastAsia="宋体" w:hAnsi="Arial" w:cs="Arial"/>
                <w:color w:val="000000"/>
                <w:sz w:val="17"/>
                <w:szCs w:val="17"/>
              </w:rPr>
              <w:t>%</w:t>
            </w:r>
          </w:p>
        </w:tc>
      </w:tr>
      <w:tr w:rsidR="008E7A10" w14:paraId="746F1DE1"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DCF" w14:textId="77777777" w:rsidR="008E7A10" w:rsidRDefault="00E047B2">
            <w:pPr>
              <w:textAlignment w:val="bottom"/>
            </w:pPr>
            <w:r>
              <w:rPr>
                <w:rFonts w:ascii="Arial" w:eastAsia="宋体" w:hAnsi="Arial" w:cs="Arial"/>
                <w:color w:val="000000"/>
                <w:sz w:val="17"/>
                <w:szCs w:val="17"/>
              </w:rPr>
              <w:t>Apparel</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DD0" w14:textId="77777777" w:rsidR="008E7A10" w:rsidRDefault="00E047B2">
            <w:pPr>
              <w:jc w:val="right"/>
              <w:textAlignment w:val="bottom"/>
            </w:pPr>
            <w:r>
              <w:rPr>
                <w:rFonts w:ascii="Arial" w:eastAsia="宋体" w:hAnsi="Arial" w:cs="Arial"/>
                <w:color w:val="000000"/>
                <w:sz w:val="17"/>
                <w:szCs w:val="17"/>
              </w:rPr>
              <w:t>32 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DD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D2" w14:textId="77777777" w:rsidR="008E7A10" w:rsidRDefault="00E047B2">
            <w:pPr>
              <w:jc w:val="right"/>
              <w:textAlignment w:val="bottom"/>
            </w:pPr>
            <w:r>
              <w:rPr>
                <w:rFonts w:ascii="Arial" w:eastAsia="宋体" w:hAnsi="Arial" w:cs="Arial"/>
                <w:color w:val="000000"/>
                <w:sz w:val="17"/>
                <w:szCs w:val="17"/>
              </w:rPr>
              <w:t>30 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D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D4"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D5"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D6" w14:textId="77777777" w:rsidR="008E7A10" w:rsidRDefault="00E047B2">
            <w:pPr>
              <w:jc w:val="right"/>
              <w:textAlignment w:val="bottom"/>
            </w:pPr>
            <w:r>
              <w:rPr>
                <w:rFonts w:ascii="Arial" w:eastAsia="宋体" w:hAnsi="Arial" w:cs="Arial"/>
                <w:color w:val="000000"/>
                <w:sz w:val="17"/>
                <w:szCs w:val="17"/>
              </w:rPr>
              <w:t>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D7"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DD8"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DD9" w14:textId="77777777" w:rsidR="008E7A10" w:rsidRDefault="00E047B2">
            <w:pPr>
              <w:jc w:val="right"/>
              <w:textAlignment w:val="bottom"/>
            </w:pPr>
            <w:r>
              <w:rPr>
                <w:rFonts w:ascii="Arial" w:eastAsia="宋体" w:hAnsi="Arial" w:cs="Arial"/>
                <w:color w:val="000000"/>
                <w:sz w:val="17"/>
                <w:szCs w:val="17"/>
              </w:rPr>
              <w:t>54 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DDA"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DB" w14:textId="77777777" w:rsidR="008E7A10" w:rsidRDefault="00E047B2">
            <w:pPr>
              <w:jc w:val="right"/>
              <w:textAlignment w:val="bottom"/>
            </w:pPr>
            <w:r>
              <w:rPr>
                <w:rFonts w:ascii="Arial" w:eastAsia="宋体" w:hAnsi="Arial" w:cs="Arial"/>
                <w:color w:val="000000"/>
                <w:sz w:val="17"/>
                <w:szCs w:val="17"/>
              </w:rPr>
              <w:t>56 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D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DD" w14:textId="77777777" w:rsidR="008E7A10" w:rsidRDefault="00E047B2">
            <w:pPr>
              <w:jc w:val="right"/>
              <w:textAlignment w:val="bottom"/>
            </w:pPr>
            <w:r>
              <w:rPr>
                <w:rFonts w:ascii="Arial" w:eastAsia="宋体" w:hAnsi="Arial" w:cs="Arial"/>
                <w:color w:val="000000"/>
                <w:sz w:val="17"/>
                <w:szCs w:val="17"/>
              </w:rPr>
              <w:t>-4 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DE"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DF" w14:textId="77777777" w:rsidR="008E7A10" w:rsidRDefault="00E047B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E0" w14:textId="77777777" w:rsidR="008E7A10" w:rsidRDefault="00E047B2">
            <w:pPr>
              <w:jc w:val="right"/>
              <w:textAlignment w:val="bottom"/>
            </w:pPr>
            <w:r>
              <w:rPr>
                <w:rFonts w:ascii="Arial" w:eastAsia="宋体" w:hAnsi="Arial" w:cs="Arial"/>
                <w:color w:val="000000"/>
                <w:sz w:val="17"/>
                <w:szCs w:val="17"/>
              </w:rPr>
              <w:t>%</w:t>
            </w:r>
          </w:p>
        </w:tc>
      </w:tr>
      <w:tr w:rsidR="008E7A10" w14:paraId="746F1DF4"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DE2" w14:textId="77777777" w:rsidR="008E7A10" w:rsidRDefault="00E047B2">
            <w:pPr>
              <w:textAlignment w:val="bottom"/>
            </w:pPr>
            <w:r>
              <w:rPr>
                <w:rFonts w:ascii="Arial" w:eastAsia="宋体" w:hAnsi="Arial" w:cs="Arial"/>
                <w:color w:val="000000"/>
                <w:sz w:val="17"/>
                <w:szCs w:val="17"/>
              </w:rPr>
              <w:t>Equipment</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DE3"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DE4"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E5" w14:textId="77777777" w:rsidR="008E7A10" w:rsidRDefault="00E047B2">
            <w:pPr>
              <w:jc w:val="right"/>
              <w:textAlignment w:val="bottom"/>
            </w:pPr>
            <w:r>
              <w:rPr>
                <w:rFonts w:ascii="Arial" w:eastAsia="宋体" w:hAnsi="Arial" w:cs="Arial"/>
                <w:color w:val="000000"/>
                <w:sz w:val="17"/>
                <w:szCs w:val="17"/>
              </w:rPr>
              <w:t>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E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E7" w14:textId="77777777" w:rsidR="008E7A10" w:rsidRDefault="00E047B2">
            <w:pPr>
              <w:jc w:val="right"/>
              <w:textAlignment w:val="bottom"/>
            </w:pPr>
            <w:r>
              <w:rPr>
                <w:rFonts w:ascii="Arial" w:eastAsia="宋体" w:hAnsi="Arial" w:cs="Arial"/>
                <w:color w:val="000000"/>
                <w:sz w:val="17"/>
                <w:szCs w:val="17"/>
              </w:rPr>
              <w:t>17 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E8"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E9" w14:textId="77777777" w:rsidR="008E7A10" w:rsidRDefault="00E047B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EA"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DEB"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DEC" w14:textId="77777777" w:rsidR="008E7A10" w:rsidRDefault="00E047B2">
            <w:pPr>
              <w:jc w:val="right"/>
              <w:textAlignment w:val="bottom"/>
            </w:pPr>
            <w:r>
              <w:rPr>
                <w:rFonts w:ascii="Arial" w:eastAsia="宋体" w:hAnsi="Arial" w:cs="Arial"/>
                <w:color w:val="000000"/>
                <w:sz w:val="17"/>
                <w:szCs w:val="17"/>
              </w:rPr>
              <w:t>16 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DED"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EE" w14:textId="77777777" w:rsidR="008E7A10" w:rsidRDefault="00E047B2">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E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F0" w14:textId="77777777" w:rsidR="008E7A10" w:rsidRDefault="00E047B2">
            <w:pPr>
              <w:jc w:val="right"/>
              <w:textAlignment w:val="bottom"/>
            </w:pPr>
            <w:r>
              <w:rPr>
                <w:rFonts w:ascii="Arial" w:eastAsia="宋体" w:hAnsi="Arial" w:cs="Arial"/>
                <w:color w:val="000000"/>
                <w:sz w:val="17"/>
                <w:szCs w:val="17"/>
              </w:rPr>
              <w:t>7 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F1"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F2" w14:textId="77777777" w:rsidR="008E7A10" w:rsidRDefault="00E047B2">
            <w:pPr>
              <w:jc w:val="right"/>
              <w:textAlignment w:val="bottom"/>
            </w:pPr>
            <w:r>
              <w:rPr>
                <w:rFonts w:ascii="Arial" w:eastAsia="宋体" w:hAnsi="Arial" w:cs="Arial"/>
                <w:color w:val="000000"/>
                <w:sz w:val="17"/>
                <w:szCs w:val="17"/>
              </w:rPr>
              <w:t>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F3" w14:textId="77777777" w:rsidR="008E7A10" w:rsidRDefault="00E047B2">
            <w:pPr>
              <w:jc w:val="right"/>
              <w:textAlignment w:val="bottom"/>
            </w:pPr>
            <w:r>
              <w:rPr>
                <w:rFonts w:ascii="Arial" w:eastAsia="宋体" w:hAnsi="Arial" w:cs="Arial"/>
                <w:color w:val="000000"/>
                <w:sz w:val="17"/>
                <w:szCs w:val="17"/>
              </w:rPr>
              <w:t>%</w:t>
            </w:r>
          </w:p>
        </w:tc>
      </w:tr>
      <w:tr w:rsidR="008E7A10" w14:paraId="746F1E07"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DF5" w14:textId="77777777" w:rsidR="008E7A10" w:rsidRDefault="00E047B2">
            <w:pPr>
              <w:textAlignment w:val="bottom"/>
            </w:pPr>
            <w:r>
              <w:rPr>
                <w:rFonts w:ascii="Arial" w:eastAsia="宋体" w:hAnsi="Arial" w:cs="Arial"/>
                <w:color w:val="000000"/>
                <w:sz w:val="17"/>
                <w:szCs w:val="17"/>
              </w:rPr>
              <w:t>Other</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DF6" w14:textId="77777777" w:rsidR="008E7A10" w:rsidRDefault="00E047B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DF7"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F8" w14:textId="77777777" w:rsidR="008E7A10" w:rsidRDefault="00E047B2">
            <w:pPr>
              <w:jc w:val="right"/>
              <w:textAlignment w:val="bottom"/>
            </w:pPr>
            <w:r>
              <w:rPr>
                <w:rFonts w:ascii="Arial" w:eastAsia="宋体" w:hAnsi="Arial" w:cs="Arial"/>
                <w:color w:val="000000"/>
                <w:sz w:val="17"/>
                <w:szCs w:val="17"/>
              </w:rPr>
              <w:t>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F9"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FA" w14:textId="77777777" w:rsidR="008E7A10" w:rsidRDefault="00E047B2">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FB"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DFC" w14:textId="77777777" w:rsidR="008E7A10" w:rsidRDefault="00E047B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DFD"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DFE"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DFF"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E0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01" w14:textId="77777777" w:rsidR="008E7A10" w:rsidRDefault="00E047B2">
            <w:pPr>
              <w:jc w:val="right"/>
              <w:textAlignment w:val="bottom"/>
            </w:pPr>
            <w:r>
              <w:rPr>
                <w:rFonts w:ascii="Arial" w:eastAsia="宋体" w:hAnsi="Arial" w:cs="Arial"/>
                <w:color w:val="000000"/>
                <w:sz w:val="17"/>
                <w:szCs w:val="17"/>
              </w:rPr>
              <w:t>52 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02"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03" w14:textId="77777777" w:rsidR="008E7A10" w:rsidRDefault="00E047B2">
            <w:pPr>
              <w:jc w:val="right"/>
              <w:textAlignment w:val="bottom"/>
            </w:pPr>
            <w:r>
              <w:rPr>
                <w:rFonts w:ascii="Arial" w:eastAsia="宋体" w:hAnsi="Arial" w:cs="Arial"/>
                <w:color w:val="000000"/>
                <w:sz w:val="17"/>
                <w:szCs w:val="17"/>
              </w:rPr>
              <w:t>-23 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04"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05" w14:textId="77777777" w:rsidR="008E7A10" w:rsidRDefault="00E047B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06" w14:textId="77777777" w:rsidR="008E7A10" w:rsidRDefault="00E047B2">
            <w:pPr>
              <w:jc w:val="right"/>
              <w:textAlignment w:val="bottom"/>
            </w:pPr>
            <w:r>
              <w:rPr>
                <w:rFonts w:ascii="Arial" w:eastAsia="宋体" w:hAnsi="Arial" w:cs="Arial"/>
                <w:color w:val="000000"/>
                <w:sz w:val="17"/>
                <w:szCs w:val="17"/>
              </w:rPr>
              <w:t>%</w:t>
            </w:r>
          </w:p>
        </w:tc>
      </w:tr>
      <w:tr w:rsidR="008E7A10" w14:paraId="746F1E1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E08"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E0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E0A" w14:textId="77777777" w:rsidR="008E7A10" w:rsidRDefault="00E047B2">
            <w:pPr>
              <w:jc w:val="right"/>
              <w:textAlignment w:val="bottom"/>
            </w:pPr>
            <w:r>
              <w:rPr>
                <w:rFonts w:ascii="Arial" w:eastAsia="宋体" w:hAnsi="Arial" w:cs="Arial"/>
                <w:b/>
                <w:bCs/>
                <w:color w:val="000000"/>
                <w:sz w:val="17"/>
                <w:szCs w:val="17"/>
              </w:rPr>
              <w:t>476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E0B"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E0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E0D" w14:textId="77777777" w:rsidR="008E7A10" w:rsidRDefault="00E047B2">
            <w:pPr>
              <w:jc w:val="right"/>
              <w:textAlignment w:val="bottom"/>
            </w:pPr>
            <w:r>
              <w:rPr>
                <w:rFonts w:ascii="Arial" w:eastAsia="宋体" w:hAnsi="Arial" w:cs="Arial"/>
                <w:b/>
                <w:bCs/>
                <w:color w:val="000000"/>
                <w:sz w:val="17"/>
                <w:szCs w:val="17"/>
              </w:rPr>
              <w:t>480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0E"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E0F"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10"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E11"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12"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E13"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E14"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E15" w14:textId="77777777" w:rsidR="008E7A10" w:rsidRDefault="00E047B2">
            <w:pPr>
              <w:jc w:val="right"/>
              <w:textAlignment w:val="bottom"/>
            </w:pPr>
            <w:r>
              <w:rPr>
                <w:rFonts w:ascii="Arial" w:eastAsia="宋体" w:hAnsi="Arial" w:cs="Arial"/>
                <w:b/>
                <w:bCs/>
                <w:color w:val="000000"/>
                <w:sz w:val="17"/>
                <w:szCs w:val="17"/>
              </w:rPr>
              <w:t>1,039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E16"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E17"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E18" w14:textId="77777777" w:rsidR="008E7A10" w:rsidRDefault="00E047B2">
            <w:pPr>
              <w:jc w:val="right"/>
              <w:textAlignment w:val="bottom"/>
            </w:pPr>
            <w:r>
              <w:rPr>
                <w:rFonts w:ascii="Arial" w:eastAsia="宋体" w:hAnsi="Arial" w:cs="Arial"/>
                <w:b/>
                <w:bCs/>
                <w:color w:val="000000"/>
                <w:sz w:val="17"/>
                <w:szCs w:val="17"/>
              </w:rPr>
              <w:t>1,035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19"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E1A" w14:textId="77777777" w:rsidR="008E7A10" w:rsidRDefault="00E047B2">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1B"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E1C"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1D" w14:textId="77777777" w:rsidR="008E7A10" w:rsidRDefault="00E047B2">
            <w:pPr>
              <w:jc w:val="right"/>
              <w:textAlignment w:val="bottom"/>
            </w:pPr>
            <w:r>
              <w:rPr>
                <w:rFonts w:ascii="Arial" w:eastAsia="宋体" w:hAnsi="Arial" w:cs="Arial"/>
                <w:b/>
                <w:bCs/>
                <w:color w:val="000000"/>
                <w:sz w:val="17"/>
                <w:szCs w:val="17"/>
              </w:rPr>
              <w:t>%</w:t>
            </w:r>
          </w:p>
        </w:tc>
      </w:tr>
      <w:tr w:rsidR="008E7A10" w14:paraId="746F1E2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E1F" w14:textId="77777777" w:rsidR="008E7A10" w:rsidRDefault="00E047B2">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tcPr>
          <w:p w14:paraId="746F1E20"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E21"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E22"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E23"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E24" w14:textId="77777777" w:rsidR="008E7A10" w:rsidRDefault="008E7A10">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tcPr>
          <w:p w14:paraId="746F1E25"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E26"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E27" w14:textId="77777777" w:rsidR="008E7A10" w:rsidRDefault="008E7A10">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E28" w14:textId="77777777" w:rsidR="008E7A10" w:rsidRDefault="008E7A10">
            <w:pPr>
              <w:rPr>
                <w:rFonts w:ascii="宋体"/>
              </w:rPr>
            </w:pPr>
          </w:p>
        </w:tc>
      </w:tr>
      <w:tr w:rsidR="008E7A10" w14:paraId="746F1E40"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E2A" w14:textId="77777777" w:rsidR="008E7A10" w:rsidRDefault="00E047B2">
            <w:pPr>
              <w:textAlignment w:val="bottom"/>
            </w:pPr>
            <w:r>
              <w:rPr>
                <w:rFonts w:ascii="Arial" w:eastAsia="宋体" w:hAnsi="Arial" w:cs="Arial"/>
                <w:color w:val="000000"/>
                <w:sz w:val="17"/>
                <w:szCs w:val="17"/>
              </w:rPr>
              <w:t>Sales to Wholesale Customers</w:t>
            </w:r>
          </w:p>
        </w:tc>
        <w:tc>
          <w:tcPr>
            <w:tcW w:w="0" w:type="auto"/>
            <w:tcBorders>
              <w:top w:val="single" w:sz="8" w:space="0" w:color="808080"/>
            </w:tcBorders>
            <w:shd w:val="clear" w:color="auto" w:fill="FFF1E7"/>
            <w:tcMar>
              <w:top w:w="40" w:type="dxa"/>
              <w:left w:w="20" w:type="dxa"/>
              <w:bottom w:w="40" w:type="dxa"/>
              <w:right w:w="0" w:type="dxa"/>
            </w:tcMar>
            <w:vAlign w:val="bottom"/>
          </w:tcPr>
          <w:p w14:paraId="746F1E2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E2C" w14:textId="77777777" w:rsidR="008E7A10" w:rsidRDefault="00E047B2">
            <w:pPr>
              <w:jc w:val="right"/>
              <w:textAlignment w:val="bottom"/>
            </w:pPr>
            <w:r>
              <w:rPr>
                <w:rFonts w:ascii="Arial" w:eastAsia="宋体" w:hAnsi="Arial" w:cs="Arial"/>
                <w:color w:val="000000"/>
                <w:sz w:val="17"/>
                <w:szCs w:val="17"/>
              </w:rPr>
              <w:t>259 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E2D"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E2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E2F" w14:textId="77777777" w:rsidR="008E7A10" w:rsidRDefault="00E047B2">
            <w:pPr>
              <w:jc w:val="right"/>
              <w:textAlignment w:val="bottom"/>
            </w:pPr>
            <w:r>
              <w:rPr>
                <w:rFonts w:ascii="Arial" w:eastAsia="宋体" w:hAnsi="Arial" w:cs="Arial"/>
                <w:color w:val="000000"/>
                <w:sz w:val="17"/>
                <w:szCs w:val="17"/>
              </w:rPr>
              <w:t>286 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30"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31" w14:textId="77777777" w:rsidR="008E7A10" w:rsidRDefault="00E047B2">
            <w:pPr>
              <w:jc w:val="right"/>
              <w:textAlignment w:val="bottom"/>
            </w:pPr>
            <w:r>
              <w:rPr>
                <w:rFonts w:ascii="Arial" w:eastAsia="宋体" w:hAnsi="Arial" w:cs="Arial"/>
                <w:color w:val="000000"/>
                <w:sz w:val="17"/>
                <w:szCs w:val="17"/>
              </w:rPr>
              <w:t>-9 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32"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33" w14:textId="77777777" w:rsidR="008E7A10" w:rsidRDefault="00E047B2">
            <w:pPr>
              <w:jc w:val="right"/>
              <w:textAlignment w:val="bottom"/>
            </w:pPr>
            <w:r>
              <w:rPr>
                <w:rFonts w:ascii="Arial" w:eastAsia="宋体" w:hAnsi="Arial" w:cs="Arial"/>
                <w:color w:val="000000"/>
                <w:sz w:val="17"/>
                <w:szCs w:val="17"/>
              </w:rPr>
              <w:t>-13 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34"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E35" w14:textId="77777777" w:rsidR="008E7A10" w:rsidRDefault="008E7A10">
            <w:pPr>
              <w:rPr>
                <w:rFonts w:ascii="宋体"/>
              </w:rPr>
            </w:pPr>
          </w:p>
        </w:tc>
        <w:tc>
          <w:tcPr>
            <w:tcW w:w="0" w:type="auto"/>
            <w:tcBorders>
              <w:top w:val="single" w:sz="8" w:space="0" w:color="808080"/>
            </w:tcBorders>
            <w:shd w:val="clear" w:color="auto" w:fill="FFF1E7"/>
            <w:tcMar>
              <w:top w:w="40" w:type="dxa"/>
              <w:left w:w="20" w:type="dxa"/>
              <w:bottom w:w="40" w:type="dxa"/>
              <w:right w:w="0" w:type="dxa"/>
            </w:tcMar>
            <w:vAlign w:val="bottom"/>
          </w:tcPr>
          <w:p w14:paraId="746F1E36"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FFF1E7"/>
            <w:tcMar>
              <w:top w:w="40" w:type="dxa"/>
              <w:left w:w="0" w:type="dxa"/>
              <w:bottom w:w="40" w:type="dxa"/>
              <w:right w:w="0" w:type="dxa"/>
            </w:tcMar>
            <w:vAlign w:val="bottom"/>
          </w:tcPr>
          <w:p w14:paraId="746F1E37" w14:textId="77777777" w:rsidR="008E7A10" w:rsidRDefault="00E047B2">
            <w:pPr>
              <w:jc w:val="right"/>
              <w:textAlignment w:val="bottom"/>
            </w:pPr>
            <w:r>
              <w:rPr>
                <w:rFonts w:ascii="Arial" w:eastAsia="宋体" w:hAnsi="Arial" w:cs="Arial"/>
                <w:color w:val="000000"/>
                <w:sz w:val="17"/>
                <w:szCs w:val="17"/>
              </w:rPr>
              <w:t>632 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E38" w14:textId="77777777" w:rsidR="008E7A10" w:rsidRDefault="008E7A10">
            <w:pPr>
              <w:jc w:val="right"/>
              <w:rPr>
                <w:rFonts w:ascii="宋体"/>
              </w:rPr>
            </w:pPr>
          </w:p>
        </w:tc>
        <w:tc>
          <w:tcPr>
            <w:tcW w:w="0" w:type="auto"/>
            <w:tcBorders>
              <w:top w:val="single" w:sz="8" w:space="0" w:color="808080"/>
            </w:tcBorders>
            <w:shd w:val="clear" w:color="auto" w:fill="auto"/>
            <w:tcMar>
              <w:top w:w="40" w:type="dxa"/>
              <w:left w:w="20" w:type="dxa"/>
              <w:bottom w:w="40" w:type="dxa"/>
              <w:right w:w="0" w:type="dxa"/>
            </w:tcMar>
            <w:vAlign w:val="bottom"/>
          </w:tcPr>
          <w:p w14:paraId="746F1E39"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tcBorders>
            <w:shd w:val="clear" w:color="auto" w:fill="auto"/>
            <w:tcMar>
              <w:top w:w="40" w:type="dxa"/>
              <w:left w:w="0" w:type="dxa"/>
              <w:bottom w:w="40" w:type="dxa"/>
              <w:right w:w="0" w:type="dxa"/>
            </w:tcMar>
            <w:vAlign w:val="bottom"/>
          </w:tcPr>
          <w:p w14:paraId="746F1E3A" w14:textId="77777777" w:rsidR="008E7A10" w:rsidRDefault="00E047B2">
            <w:pPr>
              <w:jc w:val="right"/>
              <w:textAlignment w:val="bottom"/>
            </w:pPr>
            <w:r>
              <w:rPr>
                <w:rFonts w:ascii="Arial" w:eastAsia="宋体" w:hAnsi="Arial" w:cs="Arial"/>
                <w:color w:val="000000"/>
                <w:sz w:val="17"/>
                <w:szCs w:val="17"/>
              </w:rPr>
              <w:t>653 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3B"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3C" w14:textId="77777777" w:rsidR="008E7A10" w:rsidRDefault="00E047B2">
            <w:pPr>
              <w:jc w:val="right"/>
              <w:textAlignment w:val="bottom"/>
            </w:pPr>
            <w:r>
              <w:rPr>
                <w:rFonts w:ascii="Arial" w:eastAsia="宋体" w:hAnsi="Arial" w:cs="Arial"/>
                <w:color w:val="000000"/>
                <w:sz w:val="17"/>
                <w:szCs w:val="17"/>
              </w:rPr>
              <w:t>-3 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3D"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3E" w14:textId="77777777" w:rsidR="008E7A10" w:rsidRDefault="00E047B2">
            <w:pPr>
              <w:jc w:val="right"/>
              <w:textAlignment w:val="bottom"/>
            </w:pPr>
            <w:r>
              <w:rPr>
                <w:rFonts w:ascii="Arial" w:eastAsia="宋体" w:hAnsi="Arial" w:cs="Arial"/>
                <w:color w:val="000000"/>
                <w:sz w:val="17"/>
                <w:szCs w:val="17"/>
              </w:rPr>
              <w:t>-5 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3F" w14:textId="77777777" w:rsidR="008E7A10" w:rsidRDefault="00E047B2">
            <w:pPr>
              <w:jc w:val="right"/>
              <w:textAlignment w:val="bottom"/>
            </w:pPr>
            <w:r>
              <w:rPr>
                <w:rFonts w:ascii="Arial" w:eastAsia="宋体" w:hAnsi="Arial" w:cs="Arial"/>
                <w:color w:val="000000"/>
                <w:sz w:val="17"/>
                <w:szCs w:val="17"/>
              </w:rPr>
              <w:t>%</w:t>
            </w:r>
          </w:p>
        </w:tc>
      </w:tr>
      <w:tr w:rsidR="008E7A10" w14:paraId="746F1E53" w14:textId="77777777">
        <w:tc>
          <w:tcPr>
            <w:tcW w:w="0" w:type="auto"/>
            <w:gridSpan w:val="3"/>
            <w:tcBorders>
              <w:top w:val="single" w:sz="8" w:space="0" w:color="808080"/>
            </w:tcBorders>
            <w:shd w:val="clear" w:color="auto" w:fill="auto"/>
            <w:tcMar>
              <w:top w:w="40" w:type="dxa"/>
              <w:left w:w="155" w:type="dxa"/>
              <w:bottom w:w="40" w:type="dxa"/>
              <w:right w:w="20" w:type="dxa"/>
            </w:tcMar>
            <w:vAlign w:val="bottom"/>
          </w:tcPr>
          <w:p w14:paraId="746F1E41" w14:textId="77777777" w:rsidR="008E7A10" w:rsidRDefault="00E047B2">
            <w:pPr>
              <w:textAlignment w:val="bottom"/>
            </w:pPr>
            <w:r>
              <w:rPr>
                <w:rFonts w:ascii="Arial" w:eastAsia="宋体" w:hAnsi="Arial" w:cs="Arial"/>
                <w:color w:val="000000"/>
                <w:sz w:val="17"/>
                <w:szCs w:val="17"/>
              </w:rPr>
              <w:t xml:space="preserve">Sales through </w:t>
            </w:r>
            <w:r>
              <w:rPr>
                <w:rFonts w:ascii="Arial" w:eastAsia="宋体" w:hAnsi="Arial" w:cs="Arial"/>
                <w:color w:val="000000"/>
                <w:sz w:val="17"/>
                <w:szCs w:val="17"/>
              </w:rPr>
              <w:t>Direct to Consumer</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E42" w14:textId="77777777" w:rsidR="008E7A10" w:rsidRDefault="00E047B2">
            <w:pPr>
              <w:jc w:val="right"/>
              <w:textAlignment w:val="bottom"/>
            </w:pPr>
            <w:r>
              <w:rPr>
                <w:rFonts w:ascii="Arial" w:eastAsia="宋体" w:hAnsi="Arial" w:cs="Arial"/>
                <w:color w:val="000000"/>
                <w:sz w:val="17"/>
                <w:szCs w:val="17"/>
              </w:rPr>
              <w:t>196 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E43"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44" w14:textId="77777777" w:rsidR="008E7A10" w:rsidRDefault="00E047B2">
            <w:pPr>
              <w:jc w:val="right"/>
              <w:textAlignment w:val="bottom"/>
            </w:pPr>
            <w:r>
              <w:rPr>
                <w:rFonts w:ascii="Arial" w:eastAsia="宋体" w:hAnsi="Arial" w:cs="Arial"/>
                <w:color w:val="000000"/>
                <w:sz w:val="17"/>
                <w:szCs w:val="17"/>
              </w:rPr>
              <w:t>166 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45"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46" w14:textId="77777777" w:rsidR="008E7A10" w:rsidRDefault="00E047B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47"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48" w14:textId="77777777" w:rsidR="008E7A10" w:rsidRDefault="00E047B2">
            <w:pPr>
              <w:jc w:val="right"/>
              <w:textAlignment w:val="bottom"/>
            </w:pPr>
            <w:r>
              <w:rPr>
                <w:rFonts w:ascii="Arial" w:eastAsia="宋体" w:hAnsi="Arial" w:cs="Arial"/>
                <w:color w:val="000000"/>
                <w:sz w:val="17"/>
                <w:szCs w:val="17"/>
              </w:rPr>
              <w:t>15 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49"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E4A"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E4B" w14:textId="77777777" w:rsidR="008E7A10" w:rsidRDefault="00E047B2">
            <w:pPr>
              <w:jc w:val="right"/>
              <w:textAlignment w:val="bottom"/>
            </w:pPr>
            <w:r>
              <w:rPr>
                <w:rFonts w:ascii="Arial" w:eastAsia="宋体" w:hAnsi="Arial" w:cs="Arial"/>
                <w:color w:val="000000"/>
                <w:sz w:val="17"/>
                <w:szCs w:val="17"/>
              </w:rPr>
              <w:t>367 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E4C"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4D" w14:textId="77777777" w:rsidR="008E7A10" w:rsidRDefault="00E047B2">
            <w:pPr>
              <w:jc w:val="right"/>
              <w:textAlignment w:val="bottom"/>
            </w:pPr>
            <w:r>
              <w:rPr>
                <w:rFonts w:ascii="Arial" w:eastAsia="宋体" w:hAnsi="Arial" w:cs="Arial"/>
                <w:color w:val="000000"/>
                <w:sz w:val="17"/>
                <w:szCs w:val="17"/>
              </w:rPr>
              <w:t>330 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4E"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4F"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50"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51" w14:textId="77777777" w:rsidR="008E7A10" w:rsidRDefault="00E047B2">
            <w:pPr>
              <w:jc w:val="right"/>
              <w:textAlignment w:val="bottom"/>
            </w:pPr>
            <w:r>
              <w:rPr>
                <w:rFonts w:ascii="Arial" w:eastAsia="宋体" w:hAnsi="Arial" w:cs="Arial"/>
                <w:color w:val="000000"/>
                <w:sz w:val="17"/>
                <w:szCs w:val="17"/>
              </w:rPr>
              <w:t>10 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52" w14:textId="77777777" w:rsidR="008E7A10" w:rsidRDefault="00E047B2">
            <w:pPr>
              <w:jc w:val="right"/>
              <w:textAlignment w:val="bottom"/>
            </w:pPr>
            <w:r>
              <w:rPr>
                <w:rFonts w:ascii="Arial" w:eastAsia="宋体" w:hAnsi="Arial" w:cs="Arial"/>
                <w:color w:val="000000"/>
                <w:sz w:val="17"/>
                <w:szCs w:val="17"/>
              </w:rPr>
              <w:t>%</w:t>
            </w:r>
          </w:p>
        </w:tc>
      </w:tr>
      <w:tr w:rsidR="008E7A10" w14:paraId="746F1E66" w14:textId="77777777">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E54" w14:textId="77777777" w:rsidR="008E7A10" w:rsidRDefault="00E047B2">
            <w:pPr>
              <w:textAlignment w:val="bottom"/>
            </w:pPr>
            <w:r>
              <w:rPr>
                <w:rFonts w:ascii="Arial" w:eastAsia="宋体" w:hAnsi="Arial" w:cs="Arial"/>
                <w:color w:val="000000"/>
                <w:sz w:val="17"/>
                <w:szCs w:val="17"/>
              </w:rPr>
              <w:t>Other</w:t>
            </w:r>
            <w:r>
              <w:rPr>
                <w:rFonts w:ascii="Arial" w:eastAsia="宋体" w:hAnsi="Arial" w:cs="Arial"/>
                <w:color w:val="000000"/>
                <w:sz w:val="9"/>
                <w:szCs w:val="9"/>
              </w:rPr>
              <w:t>(1)</w:t>
            </w: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E55" w14:textId="77777777" w:rsidR="008E7A10" w:rsidRDefault="00E047B2">
            <w:pPr>
              <w:jc w:val="right"/>
              <w:textAlignment w:val="bottom"/>
            </w:pPr>
            <w:r>
              <w:rPr>
                <w:rFonts w:ascii="Arial" w:eastAsia="宋体" w:hAnsi="Arial" w:cs="Arial"/>
                <w:color w:val="000000"/>
                <w:sz w:val="17"/>
                <w:szCs w:val="17"/>
              </w:rPr>
              <w:t>21 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E56"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57" w14:textId="77777777" w:rsidR="008E7A10" w:rsidRDefault="00E047B2">
            <w:pPr>
              <w:jc w:val="right"/>
              <w:textAlignment w:val="bottom"/>
            </w:pPr>
            <w:r>
              <w:rPr>
                <w:rFonts w:ascii="Arial" w:eastAsia="宋体" w:hAnsi="Arial" w:cs="Arial"/>
                <w:color w:val="000000"/>
                <w:sz w:val="17"/>
                <w:szCs w:val="17"/>
              </w:rPr>
              <w:t>28 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58"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59" w14:textId="77777777" w:rsidR="008E7A10" w:rsidRDefault="00E047B2">
            <w:pPr>
              <w:jc w:val="right"/>
              <w:textAlignment w:val="bottom"/>
            </w:pPr>
            <w:r>
              <w:rPr>
                <w:rFonts w:ascii="Arial" w:eastAsia="宋体" w:hAnsi="Arial" w:cs="Arial"/>
                <w:color w:val="000000"/>
                <w:sz w:val="17"/>
                <w:szCs w:val="17"/>
              </w:rPr>
              <w:t>-25 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5A"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5B" w14:textId="77777777" w:rsidR="008E7A10" w:rsidRDefault="00E047B2">
            <w:pPr>
              <w:jc w:val="right"/>
              <w:textAlignment w:val="bottom"/>
            </w:pPr>
            <w:r>
              <w:rPr>
                <w:rFonts w:ascii="Arial" w:eastAsia="宋体" w:hAnsi="Arial" w:cs="Arial"/>
                <w:color w:val="000000"/>
                <w:sz w:val="17"/>
                <w:szCs w:val="17"/>
              </w:rPr>
              <w:t>-19 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5C"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tcBorders>
            <w:shd w:val="clear" w:color="auto" w:fill="auto"/>
            <w:tcMar>
              <w:top w:w="0" w:type="dxa"/>
              <w:left w:w="20" w:type="dxa"/>
              <w:bottom w:w="0" w:type="dxa"/>
              <w:right w:w="20" w:type="dxa"/>
            </w:tcMar>
          </w:tcPr>
          <w:p w14:paraId="746F1E5D" w14:textId="77777777" w:rsidR="008E7A10" w:rsidRDefault="008E7A10">
            <w:pPr>
              <w:rPr>
                <w:rFonts w:ascii="宋体"/>
              </w:rPr>
            </w:pPr>
          </w:p>
        </w:tc>
        <w:tc>
          <w:tcPr>
            <w:tcW w:w="0" w:type="auto"/>
            <w:gridSpan w:val="2"/>
            <w:tcBorders>
              <w:top w:val="single" w:sz="8" w:space="0" w:color="808080"/>
            </w:tcBorders>
            <w:shd w:val="clear" w:color="auto" w:fill="FFF1E7"/>
            <w:tcMar>
              <w:top w:w="40" w:type="dxa"/>
              <w:left w:w="20" w:type="dxa"/>
              <w:bottom w:w="40" w:type="dxa"/>
              <w:right w:w="0" w:type="dxa"/>
            </w:tcMar>
            <w:vAlign w:val="bottom"/>
          </w:tcPr>
          <w:p w14:paraId="746F1E5E" w14:textId="77777777" w:rsidR="008E7A10" w:rsidRDefault="00E047B2">
            <w:pPr>
              <w:jc w:val="right"/>
              <w:textAlignment w:val="bottom"/>
            </w:pPr>
            <w:r>
              <w:rPr>
                <w:rFonts w:ascii="Arial" w:eastAsia="宋体" w:hAnsi="Arial" w:cs="Arial"/>
                <w:color w:val="000000"/>
                <w:sz w:val="17"/>
                <w:szCs w:val="17"/>
              </w:rPr>
              <w:t>40 </w:t>
            </w:r>
          </w:p>
        </w:tc>
        <w:tc>
          <w:tcPr>
            <w:tcW w:w="0" w:type="auto"/>
            <w:tcBorders>
              <w:top w:val="single" w:sz="8" w:space="0" w:color="808080"/>
            </w:tcBorders>
            <w:shd w:val="clear" w:color="auto" w:fill="FFF1E7"/>
            <w:tcMar>
              <w:top w:w="40" w:type="dxa"/>
              <w:left w:w="0" w:type="dxa"/>
              <w:bottom w:w="40" w:type="dxa"/>
              <w:right w:w="20" w:type="dxa"/>
            </w:tcMar>
            <w:vAlign w:val="bottom"/>
          </w:tcPr>
          <w:p w14:paraId="746F1E5F"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60" w14:textId="77777777" w:rsidR="008E7A10" w:rsidRDefault="00E047B2">
            <w:pPr>
              <w:jc w:val="right"/>
              <w:textAlignment w:val="bottom"/>
            </w:pPr>
            <w:r>
              <w:rPr>
                <w:rFonts w:ascii="Arial" w:eastAsia="宋体" w:hAnsi="Arial" w:cs="Arial"/>
                <w:color w:val="000000"/>
                <w:sz w:val="17"/>
                <w:szCs w:val="17"/>
              </w:rPr>
              <w:t>52 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61" w14:textId="77777777" w:rsidR="008E7A10" w:rsidRDefault="008E7A10">
            <w:pPr>
              <w:jc w:val="right"/>
              <w:rPr>
                <w:rFonts w:ascii="宋体"/>
              </w:rPr>
            </w:pP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62" w14:textId="77777777" w:rsidR="008E7A10" w:rsidRDefault="00E047B2">
            <w:pPr>
              <w:jc w:val="right"/>
              <w:textAlignment w:val="bottom"/>
            </w:pPr>
            <w:r>
              <w:rPr>
                <w:rFonts w:ascii="Arial" w:eastAsia="宋体" w:hAnsi="Arial" w:cs="Arial"/>
                <w:color w:val="000000"/>
                <w:sz w:val="17"/>
                <w:szCs w:val="17"/>
              </w:rPr>
              <w:t>-23 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63" w14:textId="77777777" w:rsidR="008E7A10" w:rsidRDefault="00E047B2">
            <w:pPr>
              <w:jc w:val="right"/>
              <w:textAlignment w:val="bottom"/>
            </w:pPr>
            <w:r>
              <w:rPr>
                <w:rFonts w:ascii="Arial" w:eastAsia="宋体" w:hAnsi="Arial" w:cs="Arial"/>
                <w:color w:val="000000"/>
                <w:sz w:val="17"/>
                <w:szCs w:val="17"/>
              </w:rPr>
              <w:t>%</w:t>
            </w:r>
          </w:p>
        </w:tc>
        <w:tc>
          <w:tcPr>
            <w:tcW w:w="0" w:type="auto"/>
            <w:gridSpan w:val="2"/>
            <w:tcBorders>
              <w:top w:val="single" w:sz="8" w:space="0" w:color="808080"/>
            </w:tcBorders>
            <w:shd w:val="clear" w:color="auto" w:fill="auto"/>
            <w:tcMar>
              <w:top w:w="40" w:type="dxa"/>
              <w:left w:w="20" w:type="dxa"/>
              <w:bottom w:w="40" w:type="dxa"/>
              <w:right w:w="0" w:type="dxa"/>
            </w:tcMar>
            <w:vAlign w:val="bottom"/>
          </w:tcPr>
          <w:p w14:paraId="746F1E64" w14:textId="77777777" w:rsidR="008E7A10" w:rsidRDefault="00E047B2">
            <w:pPr>
              <w:jc w:val="right"/>
              <w:textAlignment w:val="bottom"/>
            </w:pPr>
            <w:r>
              <w:rPr>
                <w:rFonts w:ascii="Arial" w:eastAsia="宋体" w:hAnsi="Arial" w:cs="Arial"/>
                <w:color w:val="000000"/>
                <w:sz w:val="17"/>
                <w:szCs w:val="17"/>
              </w:rPr>
              <w:t>-18 </w:t>
            </w:r>
          </w:p>
        </w:tc>
        <w:tc>
          <w:tcPr>
            <w:tcW w:w="0" w:type="auto"/>
            <w:tcBorders>
              <w:top w:val="single" w:sz="8" w:space="0" w:color="808080"/>
            </w:tcBorders>
            <w:shd w:val="clear" w:color="auto" w:fill="auto"/>
            <w:tcMar>
              <w:top w:w="40" w:type="dxa"/>
              <w:left w:w="0" w:type="dxa"/>
              <w:bottom w:w="40" w:type="dxa"/>
              <w:right w:w="20" w:type="dxa"/>
            </w:tcMar>
            <w:vAlign w:val="bottom"/>
          </w:tcPr>
          <w:p w14:paraId="746F1E65" w14:textId="77777777" w:rsidR="008E7A10" w:rsidRDefault="00E047B2">
            <w:pPr>
              <w:jc w:val="right"/>
              <w:textAlignment w:val="bottom"/>
            </w:pPr>
            <w:r>
              <w:rPr>
                <w:rFonts w:ascii="Arial" w:eastAsia="宋体" w:hAnsi="Arial" w:cs="Arial"/>
                <w:color w:val="000000"/>
                <w:sz w:val="17"/>
                <w:szCs w:val="17"/>
              </w:rPr>
              <w:t>%</w:t>
            </w:r>
          </w:p>
        </w:tc>
      </w:tr>
      <w:tr w:rsidR="008E7A10" w14:paraId="746F1E7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E67" w14:textId="77777777" w:rsidR="008E7A10" w:rsidRDefault="00E047B2">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E68"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E69" w14:textId="77777777" w:rsidR="008E7A10" w:rsidRDefault="00E047B2">
            <w:pPr>
              <w:jc w:val="right"/>
              <w:textAlignment w:val="bottom"/>
            </w:pPr>
            <w:r>
              <w:rPr>
                <w:rFonts w:ascii="Arial" w:eastAsia="宋体" w:hAnsi="Arial" w:cs="Arial"/>
                <w:b/>
                <w:bCs/>
                <w:color w:val="000000"/>
                <w:sz w:val="17"/>
                <w:szCs w:val="17"/>
              </w:rPr>
              <w:t>476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E6A"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E6B"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E6C" w14:textId="77777777" w:rsidR="008E7A10" w:rsidRDefault="00E047B2">
            <w:pPr>
              <w:jc w:val="right"/>
              <w:textAlignment w:val="bottom"/>
            </w:pPr>
            <w:r>
              <w:rPr>
                <w:rFonts w:ascii="Arial" w:eastAsia="宋体" w:hAnsi="Arial" w:cs="Arial"/>
                <w:b/>
                <w:bCs/>
                <w:color w:val="000000"/>
                <w:sz w:val="17"/>
                <w:szCs w:val="17"/>
              </w:rPr>
              <w:t>480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6D"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E6E"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6F"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E70" w14:textId="77777777" w:rsidR="008E7A10" w:rsidRDefault="00E047B2">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71"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tcPr>
          <w:p w14:paraId="746F1E72"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E73"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E74" w14:textId="77777777" w:rsidR="008E7A10" w:rsidRDefault="00E047B2">
            <w:pPr>
              <w:jc w:val="right"/>
              <w:textAlignment w:val="bottom"/>
            </w:pPr>
            <w:r>
              <w:rPr>
                <w:rFonts w:ascii="Arial" w:eastAsia="宋体" w:hAnsi="Arial" w:cs="Arial"/>
                <w:b/>
                <w:bCs/>
                <w:color w:val="000000"/>
                <w:sz w:val="17"/>
                <w:szCs w:val="17"/>
              </w:rPr>
              <w:t>1,039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E75"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E76"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E77" w14:textId="77777777" w:rsidR="008E7A10" w:rsidRDefault="00E047B2">
            <w:pPr>
              <w:jc w:val="right"/>
              <w:textAlignment w:val="bottom"/>
            </w:pPr>
            <w:r>
              <w:rPr>
                <w:rFonts w:ascii="Arial" w:eastAsia="宋体" w:hAnsi="Arial" w:cs="Arial"/>
                <w:b/>
                <w:bCs/>
                <w:color w:val="000000"/>
                <w:sz w:val="17"/>
                <w:szCs w:val="17"/>
              </w:rPr>
              <w:t>1,035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78"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E79" w14:textId="77777777" w:rsidR="008E7A10" w:rsidRDefault="00E047B2">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7A"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E7B" w14:textId="77777777" w:rsidR="008E7A10" w:rsidRDefault="00E047B2">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7C" w14:textId="77777777" w:rsidR="008E7A10" w:rsidRDefault="00E047B2">
            <w:pPr>
              <w:jc w:val="right"/>
              <w:textAlignment w:val="bottom"/>
            </w:pPr>
            <w:r>
              <w:rPr>
                <w:rFonts w:ascii="Arial" w:eastAsia="宋体" w:hAnsi="Arial" w:cs="Arial"/>
                <w:b/>
                <w:bCs/>
                <w:color w:val="000000"/>
                <w:sz w:val="17"/>
                <w:szCs w:val="17"/>
              </w:rPr>
              <w:t>%</w:t>
            </w:r>
          </w:p>
        </w:tc>
      </w:tr>
      <w:tr w:rsidR="008E7A10" w14:paraId="746F1E9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746F1E7E" w14:textId="77777777" w:rsidR="008E7A10" w:rsidRDefault="00E047B2">
            <w:pPr>
              <w:textAlignment w:val="bottom"/>
            </w:pPr>
            <w:r>
              <w:rPr>
                <w:rFonts w:ascii="Arial" w:eastAsia="宋体" w:hAnsi="Arial" w:cs="Arial"/>
                <w:b/>
                <w:bCs/>
                <w:color w:val="000000"/>
                <w:sz w:val="17"/>
                <w:szCs w:val="17"/>
              </w:rPr>
              <w:t>EARNINGS BEFORE INT</w:t>
            </w:r>
            <w:r>
              <w:rPr>
                <w:rFonts w:ascii="Arial" w:eastAsia="宋体" w:hAnsi="Arial" w:cs="Arial"/>
                <w:b/>
                <w:bCs/>
                <w:color w:val="000000"/>
                <w:sz w:val="17"/>
                <w:szCs w:val="17"/>
              </w:rPr>
              <w: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E7F"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E80" w14:textId="77777777" w:rsidR="008E7A10" w:rsidRDefault="00E047B2">
            <w:pPr>
              <w:jc w:val="right"/>
              <w:textAlignment w:val="bottom"/>
            </w:pPr>
            <w:r>
              <w:rPr>
                <w:rFonts w:ascii="Arial" w:eastAsia="宋体" w:hAnsi="Arial" w:cs="Arial"/>
                <w:b/>
                <w:bCs/>
                <w:color w:val="000000"/>
                <w:sz w:val="17"/>
                <w:szCs w:val="17"/>
              </w:rPr>
              <w:t>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E81"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E82"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E83" w14:textId="77777777" w:rsidR="008E7A10" w:rsidRDefault="00E047B2">
            <w:pPr>
              <w:jc w:val="right"/>
              <w:textAlignment w:val="bottom"/>
            </w:pPr>
            <w:r>
              <w:rPr>
                <w:rFonts w:ascii="Arial" w:eastAsia="宋体" w:hAnsi="Arial" w:cs="Arial"/>
                <w:b/>
                <w:bCs/>
                <w:color w:val="000000"/>
                <w:sz w:val="17"/>
                <w:szCs w:val="17"/>
              </w:rPr>
              <w:t>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E84"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E85" w14:textId="77777777" w:rsidR="008E7A10" w:rsidRDefault="00E047B2">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E86"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E87" w14:textId="77777777" w:rsidR="008E7A10" w:rsidRDefault="008E7A10">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E88" w14:textId="77777777" w:rsidR="008E7A10" w:rsidRDefault="008E7A10">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746F1E89"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746F1E8A" w14:textId="77777777" w:rsidR="008E7A10" w:rsidRDefault="00E047B2">
            <w:pPr>
              <w:jc w:val="right"/>
              <w:textAlignment w:val="bottom"/>
            </w:pPr>
            <w:r>
              <w:rPr>
                <w:rFonts w:ascii="Arial" w:eastAsia="宋体" w:hAnsi="Arial" w:cs="Arial"/>
                <w:b/>
                <w:bCs/>
                <w:color w:val="000000"/>
                <w:sz w:val="17"/>
                <w:szCs w:val="17"/>
              </w:rPr>
              <w:t>255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746F1E8B" w14:textId="77777777" w:rsidR="008E7A10" w:rsidRDefault="008E7A10">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E8C" w14:textId="77777777" w:rsidR="008E7A10" w:rsidRDefault="00E047B2">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746F1E8D" w14:textId="77777777" w:rsidR="008E7A10" w:rsidRDefault="00E047B2">
            <w:pPr>
              <w:jc w:val="right"/>
              <w:textAlignment w:val="bottom"/>
            </w:pPr>
            <w:r>
              <w:rPr>
                <w:rFonts w:ascii="Arial" w:eastAsia="宋体" w:hAnsi="Arial" w:cs="Arial"/>
                <w:b/>
                <w:bCs/>
                <w:color w:val="000000"/>
                <w:sz w:val="17"/>
                <w:szCs w:val="17"/>
              </w:rPr>
              <w:t>228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E8E" w14:textId="77777777" w:rsidR="008E7A10" w:rsidRDefault="008E7A10">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746F1E8F" w14:textId="77777777" w:rsidR="008E7A10" w:rsidRDefault="00E047B2">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746F1E90" w14:textId="77777777" w:rsidR="008E7A10" w:rsidRDefault="00E047B2">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tcPr>
          <w:p w14:paraId="746F1E91" w14:textId="77777777" w:rsidR="008E7A10" w:rsidRDefault="008E7A10">
            <w:pPr>
              <w:rPr>
                <w:rFonts w:ascii="宋体"/>
              </w:rPr>
            </w:pPr>
          </w:p>
        </w:tc>
      </w:tr>
    </w:tbl>
    <w:p w14:paraId="746F1E93" w14:textId="77777777" w:rsidR="008E7A10" w:rsidRDefault="00E047B2">
      <w:pPr>
        <w:spacing w:before="60" w:after="60"/>
        <w:ind w:hanging="360"/>
      </w:pPr>
      <w:r>
        <w:rPr>
          <w:rFonts w:ascii="Arial" w:eastAsia="宋体" w:hAnsi="Arial" w:cs="Arial"/>
          <w:i/>
          <w:iCs/>
          <w:color w:val="000000"/>
          <w:sz w:val="14"/>
          <w:szCs w:val="14"/>
        </w:rPr>
        <w:t>(1)    Other revenues consist of territories serviced by third-party licensees w</w:t>
      </w:r>
      <w:r>
        <w:rPr>
          <w:rFonts w:ascii="Arial" w:eastAsia="宋体" w:hAnsi="Arial" w:cs="Arial"/>
          <w:i/>
          <w:iCs/>
          <w:color w:val="000000"/>
          <w:sz w:val="14"/>
          <w:szCs w:val="14"/>
        </w:rPr>
        <w:t>ho pay royalties to Converse for the use of its registered trademarks and other intellectual property rights. We do not own the Converse trademarks in Japan and accordingly do not earn revenues in Japan.</w:t>
      </w:r>
    </w:p>
    <w:p w14:paraId="746F1E94" w14:textId="77777777" w:rsidR="008E7A10" w:rsidRDefault="00E047B2">
      <w:pPr>
        <w:spacing w:before="120"/>
      </w:pPr>
      <w:r>
        <w:rPr>
          <w:rFonts w:ascii="sans-serif" w:eastAsia="sans-serif" w:hAnsi="sans-serif" w:cs="sans-serif"/>
          <w:b/>
          <w:bCs/>
          <w:color w:val="808080"/>
          <w:sz w:val="22"/>
          <w:szCs w:val="22"/>
        </w:rPr>
        <w:t>SECOND QUARTER OF FISCAL 2021 COMPARED TO SECOND QUA</w:t>
      </w:r>
      <w:r>
        <w:rPr>
          <w:rFonts w:ascii="sans-serif" w:eastAsia="sans-serif" w:hAnsi="sans-serif" w:cs="sans-serif"/>
          <w:b/>
          <w:bCs/>
          <w:color w:val="808080"/>
          <w:sz w:val="22"/>
          <w:szCs w:val="22"/>
        </w:rPr>
        <w:t>RTER OF FISCAL 2020</w:t>
      </w:r>
    </w:p>
    <w:p w14:paraId="746F1E95" w14:textId="77777777" w:rsidR="008E7A10" w:rsidRDefault="00E047B2">
      <w:pPr>
        <w:spacing w:after="120"/>
      </w:pPr>
      <w:r>
        <w:rPr>
          <w:rFonts w:ascii="Arial" w:eastAsia="宋体" w:hAnsi="Arial" w:cs="Arial"/>
          <w:color w:val="000000"/>
          <w:sz w:val="17"/>
          <w:szCs w:val="17"/>
        </w:rPr>
        <w:t xml:space="preserve">On a currency-neutral basis, Converse revenues decreased 4% for the second quarter of fiscal 2021. The decrease in revenues was driven by declines in wholesale revenues in North America and Europe as a result of supply chain management </w:t>
      </w:r>
      <w:r>
        <w:rPr>
          <w:rFonts w:ascii="Arial" w:eastAsia="宋体" w:hAnsi="Arial" w:cs="Arial"/>
          <w:color w:val="000000"/>
          <w:sz w:val="17"/>
          <w:szCs w:val="17"/>
        </w:rPr>
        <w:t>and strategic distribution shifts, partially offset by growth in Asia. Direct to consumer revenues increased 15%, as strong digital sales growth across all geographies more than offset declines from Converse owned stores, reflecting the ongoing impact of C</w:t>
      </w:r>
      <w:r>
        <w:rPr>
          <w:rFonts w:ascii="Arial" w:eastAsia="宋体" w:hAnsi="Arial" w:cs="Arial"/>
          <w:color w:val="000000"/>
          <w:sz w:val="17"/>
          <w:szCs w:val="17"/>
        </w:rPr>
        <w:t>OVID-19. Combined unit sales within the wholesale and direct to consumer channels decreased 11%, while ASP increased 9%, primarily due to growth in digital.</w:t>
      </w:r>
    </w:p>
    <w:p w14:paraId="746F1E96" w14:textId="77777777" w:rsidR="008E7A10" w:rsidRDefault="00E047B2">
      <w:pPr>
        <w:spacing w:before="120" w:after="120"/>
      </w:pPr>
      <w:r>
        <w:rPr>
          <w:rFonts w:ascii="Arial" w:eastAsia="宋体" w:hAnsi="Arial" w:cs="Arial"/>
          <w:color w:val="000000"/>
          <w:sz w:val="17"/>
          <w:szCs w:val="17"/>
        </w:rPr>
        <w:t>Reported EBIT decreased 3%, driven by declines in gross margin, partially offset by lower selling a</w:t>
      </w:r>
      <w:r>
        <w:rPr>
          <w:rFonts w:ascii="Arial" w:eastAsia="宋体" w:hAnsi="Arial" w:cs="Arial"/>
          <w:color w:val="000000"/>
          <w:sz w:val="17"/>
          <w:szCs w:val="17"/>
        </w:rPr>
        <w:t>nd administrative expense. Gross margin decreased approximately 230 basis points as higher full-price ASP due to product mix was offset by lower margin in our direct to consumer channel, higher product costs due to product mix, a lower mix of full-price sa</w:t>
      </w:r>
      <w:r>
        <w:rPr>
          <w:rFonts w:ascii="Arial" w:eastAsia="宋体" w:hAnsi="Arial" w:cs="Arial"/>
          <w:color w:val="000000"/>
          <w:sz w:val="17"/>
          <w:szCs w:val="17"/>
        </w:rPr>
        <w:t>les, lower revenues in our licensing business and unfavorable changes in standard foreign currency exchange rates. Lower margin in direct to consumer was driven by higher promotions to reduce excess inventory due to COVID-19. Selling and administrative exp</w:t>
      </w:r>
      <w:r>
        <w:rPr>
          <w:rFonts w:ascii="Arial" w:eastAsia="宋体" w:hAnsi="Arial" w:cs="Arial"/>
          <w:color w:val="000000"/>
          <w:sz w:val="17"/>
          <w:szCs w:val="17"/>
        </w:rPr>
        <w:t>ense decreased primarily due to lower operating overhead, partially offset by increased demand creation expense. Operating overhead expense decreased primarily due to lower travel and related expenses. Demand creation expense increased primarily as a resul</w:t>
      </w:r>
      <w:r>
        <w:rPr>
          <w:rFonts w:ascii="Arial" w:eastAsia="宋体" w:hAnsi="Arial" w:cs="Arial"/>
          <w:color w:val="000000"/>
          <w:sz w:val="17"/>
          <w:szCs w:val="17"/>
        </w:rPr>
        <w:t>t of higher advertising costs.</w:t>
      </w:r>
    </w:p>
    <w:p w14:paraId="746F1E97" w14:textId="77777777" w:rsidR="008E7A10" w:rsidRDefault="00E047B2">
      <w:pPr>
        <w:spacing w:before="120"/>
      </w:pPr>
      <w:r>
        <w:rPr>
          <w:rFonts w:ascii="sans-serif" w:eastAsia="sans-serif" w:hAnsi="sans-serif" w:cs="sans-serif"/>
          <w:b/>
          <w:bCs/>
          <w:color w:val="808080"/>
          <w:sz w:val="22"/>
          <w:szCs w:val="22"/>
        </w:rPr>
        <w:t>FIRST SIX MONTHS OF FISCAL 2021 COMPARED TO FIRST SIX MONTHS OF FISCAL 2020</w:t>
      </w:r>
    </w:p>
    <w:p w14:paraId="746F1E98" w14:textId="77777777" w:rsidR="008E7A10" w:rsidRDefault="00E047B2">
      <w:pPr>
        <w:spacing w:after="120"/>
      </w:pPr>
      <w:r>
        <w:rPr>
          <w:rFonts w:ascii="Arial" w:eastAsia="宋体" w:hAnsi="Arial" w:cs="Arial"/>
          <w:color w:val="000000"/>
          <w:sz w:val="17"/>
          <w:szCs w:val="17"/>
        </w:rPr>
        <w:t>On a currency-neutral basis, Converse revenues decreased 1% for the first six months of fiscal 2021, driven by lower wholesale revenues in North Amer</w:t>
      </w:r>
      <w:r>
        <w:rPr>
          <w:rFonts w:ascii="Arial" w:eastAsia="宋体" w:hAnsi="Arial" w:cs="Arial"/>
          <w:color w:val="000000"/>
          <w:sz w:val="17"/>
          <w:szCs w:val="17"/>
        </w:rPr>
        <w:t>ica, as a result of supply chain management and strategic distribution shifts, partially offset by growth in Asia. Direct to consumer revenues increased 10%, as strong digital sales growth across all geographies more than offset declines from Converse owne</w:t>
      </w:r>
      <w:r>
        <w:rPr>
          <w:rFonts w:ascii="Arial" w:eastAsia="宋体" w:hAnsi="Arial" w:cs="Arial"/>
          <w:color w:val="000000"/>
          <w:sz w:val="17"/>
          <w:szCs w:val="17"/>
        </w:rPr>
        <w:t>d stores reflecting the ongoing impact of COVID-19. Combined unit sales within the wholesale and direct to consumer channels decreased 3%, while ASP increased 4%, primarily due to growth in digital.</w:t>
      </w:r>
    </w:p>
    <w:p w14:paraId="746F1E99" w14:textId="77777777" w:rsidR="008E7A10" w:rsidRDefault="00E047B2">
      <w:pPr>
        <w:spacing w:before="120" w:after="120"/>
      </w:pPr>
      <w:r>
        <w:rPr>
          <w:rFonts w:ascii="Arial" w:eastAsia="宋体" w:hAnsi="Arial" w:cs="Arial"/>
          <w:color w:val="000000"/>
          <w:sz w:val="17"/>
          <w:szCs w:val="17"/>
        </w:rPr>
        <w:t>Reported EBIT increased 12%, primarily due to lower selli</w:t>
      </w:r>
      <w:r>
        <w:rPr>
          <w:rFonts w:ascii="Arial" w:eastAsia="宋体" w:hAnsi="Arial" w:cs="Arial"/>
          <w:color w:val="000000"/>
          <w:sz w:val="17"/>
          <w:szCs w:val="17"/>
        </w:rPr>
        <w:t>ng and administrative expense, partially offset by lower gross margin. Gross margin decreased approximately 220 basis points as higher full-price ASP was more than offset by lower margin in our direct to consumer channel, higher product costs due to produc</w:t>
      </w:r>
      <w:r>
        <w:rPr>
          <w:rFonts w:ascii="Arial" w:eastAsia="宋体" w:hAnsi="Arial" w:cs="Arial"/>
          <w:color w:val="000000"/>
          <w:sz w:val="17"/>
          <w:szCs w:val="17"/>
        </w:rPr>
        <w:t>t mix, unfavorable changes in standard foreign currency exchange rates and lower revenues in our licensing business. Lower margin in direct to consumer was driven by higher promotions to reduce excess inventory due to COVID-19. Selling and administrative e</w:t>
      </w:r>
      <w:r>
        <w:rPr>
          <w:rFonts w:ascii="Arial" w:eastAsia="宋体" w:hAnsi="Arial" w:cs="Arial"/>
          <w:color w:val="000000"/>
          <w:sz w:val="17"/>
          <w:szCs w:val="17"/>
        </w:rPr>
        <w:t>xpense decreased due to lower operating overhead and demand creation expense. Operating overhead expense decreased primarily due to lower administrative expenses. Demand creation expense decreased as a result of lower advertising and marketing costs, as we</w:t>
      </w:r>
      <w:r>
        <w:rPr>
          <w:rFonts w:ascii="Arial" w:eastAsia="宋体" w:hAnsi="Arial" w:cs="Arial"/>
          <w:color w:val="000000"/>
          <w:sz w:val="17"/>
          <w:szCs w:val="17"/>
        </w:rPr>
        <w:t>ll as lower retail brand presentation costs.</w:t>
      </w:r>
    </w:p>
    <w:p w14:paraId="746F1E9A" w14:textId="77777777" w:rsidR="008E7A10" w:rsidRDefault="00E047B2">
      <w:pPr>
        <w:spacing w:before="120" w:after="120"/>
        <w:jc w:val="right"/>
      </w:pPr>
      <w:r>
        <w:rPr>
          <w:rFonts w:ascii="Arial" w:eastAsia="宋体" w:hAnsi="Arial" w:cs="Arial"/>
          <w:color w:val="E87722"/>
          <w:sz w:val="17"/>
          <w:szCs w:val="17"/>
        </w:rPr>
        <w:t>39</w:t>
      </w:r>
    </w:p>
    <w:p w14:paraId="746F1E9B" w14:textId="77777777" w:rsidR="008E7A10" w:rsidRDefault="00E047B2">
      <w:r>
        <w:pict w14:anchorId="746F202F">
          <v:rect id="_x0000_i1065" style="width:415.3pt;height:1.5pt" o:hralign="center" o:hrstd="t" o:hr="t" fillcolor="#a0a0a0" stroked="f"/>
        </w:pict>
      </w:r>
    </w:p>
    <w:p w14:paraId="746F1E9C" w14:textId="77777777" w:rsidR="008E7A10" w:rsidRDefault="008E7A10"/>
    <w:p w14:paraId="746F1E9D" w14:textId="77777777" w:rsidR="008E7A10" w:rsidRDefault="00E047B2">
      <w:hyperlink r:id="rId109" w:anchor="i31a624617c6c41b38f8f700fa0df5bde_7" w:history="1">
        <w:r>
          <w:rPr>
            <w:rStyle w:val="a5"/>
            <w:rFonts w:ascii="sans-serif" w:eastAsia="sans-serif" w:hAnsi="sans-serif" w:cs="sans-serif"/>
            <w:sz w:val="17"/>
            <w:szCs w:val="17"/>
          </w:rPr>
          <w:t>Table of Contents</w:t>
        </w:r>
      </w:hyperlink>
    </w:p>
    <w:p w14:paraId="746F1E9E" w14:textId="77777777" w:rsidR="008E7A10" w:rsidRDefault="008E7A10"/>
    <w:p w14:paraId="746F1E9F" w14:textId="77777777" w:rsidR="008E7A10" w:rsidRDefault="00E047B2">
      <w:pPr>
        <w:spacing w:before="240" w:after="120"/>
      </w:pPr>
      <w:r>
        <w:rPr>
          <w:rFonts w:ascii="sans-serif" w:eastAsia="sans-serif" w:hAnsi="sans-serif" w:cs="sans-serif"/>
          <w:b/>
          <w:bCs/>
          <w:color w:val="000000"/>
          <w:sz w:val="28"/>
          <w:szCs w:val="28"/>
        </w:rPr>
        <w:t>CORPORATE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3480"/>
        <w:gridCol w:w="37"/>
        <w:gridCol w:w="115"/>
        <w:gridCol w:w="620"/>
        <w:gridCol w:w="36"/>
        <w:gridCol w:w="115"/>
        <w:gridCol w:w="620"/>
        <w:gridCol w:w="36"/>
        <w:gridCol w:w="70"/>
        <w:gridCol w:w="574"/>
        <w:gridCol w:w="172"/>
        <w:gridCol w:w="36"/>
        <w:gridCol w:w="36"/>
        <w:gridCol w:w="36"/>
        <w:gridCol w:w="115"/>
        <w:gridCol w:w="573"/>
        <w:gridCol w:w="36"/>
        <w:gridCol w:w="115"/>
        <w:gridCol w:w="621"/>
        <w:gridCol w:w="36"/>
        <w:gridCol w:w="70"/>
        <w:gridCol w:w="577"/>
        <w:gridCol w:w="172"/>
      </w:tblGrid>
      <w:tr w:rsidR="008E7A10" w14:paraId="746F1EB8" w14:textId="77777777">
        <w:tc>
          <w:tcPr>
            <w:tcW w:w="50" w:type="pct"/>
            <w:shd w:val="clear" w:color="auto" w:fill="auto"/>
          </w:tcPr>
          <w:p w14:paraId="746F1EA0" w14:textId="77777777" w:rsidR="008E7A10" w:rsidRDefault="008E7A10">
            <w:pPr>
              <w:rPr>
                <w:rFonts w:ascii="宋体"/>
              </w:rPr>
            </w:pPr>
          </w:p>
        </w:tc>
        <w:tc>
          <w:tcPr>
            <w:tcW w:w="2128" w:type="pct"/>
            <w:shd w:val="clear" w:color="auto" w:fill="auto"/>
          </w:tcPr>
          <w:p w14:paraId="746F1EA1" w14:textId="77777777" w:rsidR="008E7A10" w:rsidRDefault="008E7A10">
            <w:pPr>
              <w:rPr>
                <w:rFonts w:ascii="宋体"/>
              </w:rPr>
            </w:pPr>
          </w:p>
        </w:tc>
        <w:tc>
          <w:tcPr>
            <w:tcW w:w="5" w:type="pct"/>
            <w:shd w:val="clear" w:color="auto" w:fill="auto"/>
          </w:tcPr>
          <w:p w14:paraId="746F1EA2" w14:textId="77777777" w:rsidR="008E7A10" w:rsidRDefault="008E7A10">
            <w:pPr>
              <w:rPr>
                <w:rFonts w:ascii="宋体"/>
              </w:rPr>
            </w:pPr>
          </w:p>
        </w:tc>
        <w:tc>
          <w:tcPr>
            <w:tcW w:w="50" w:type="pct"/>
            <w:shd w:val="clear" w:color="auto" w:fill="auto"/>
          </w:tcPr>
          <w:p w14:paraId="746F1EA3" w14:textId="77777777" w:rsidR="008E7A10" w:rsidRDefault="008E7A10">
            <w:pPr>
              <w:rPr>
                <w:rFonts w:ascii="宋体"/>
              </w:rPr>
            </w:pPr>
          </w:p>
        </w:tc>
        <w:tc>
          <w:tcPr>
            <w:tcW w:w="407" w:type="pct"/>
            <w:shd w:val="clear" w:color="auto" w:fill="auto"/>
          </w:tcPr>
          <w:p w14:paraId="746F1EA4" w14:textId="77777777" w:rsidR="008E7A10" w:rsidRDefault="008E7A10">
            <w:pPr>
              <w:rPr>
                <w:rFonts w:ascii="宋体"/>
              </w:rPr>
            </w:pPr>
          </w:p>
        </w:tc>
        <w:tc>
          <w:tcPr>
            <w:tcW w:w="5" w:type="pct"/>
            <w:shd w:val="clear" w:color="auto" w:fill="auto"/>
          </w:tcPr>
          <w:p w14:paraId="746F1EA5" w14:textId="77777777" w:rsidR="008E7A10" w:rsidRDefault="008E7A10">
            <w:pPr>
              <w:rPr>
                <w:rFonts w:ascii="宋体"/>
              </w:rPr>
            </w:pPr>
          </w:p>
        </w:tc>
        <w:tc>
          <w:tcPr>
            <w:tcW w:w="50" w:type="pct"/>
            <w:shd w:val="clear" w:color="auto" w:fill="auto"/>
          </w:tcPr>
          <w:p w14:paraId="746F1EA6" w14:textId="77777777" w:rsidR="008E7A10" w:rsidRDefault="008E7A10">
            <w:pPr>
              <w:rPr>
                <w:rFonts w:ascii="宋体"/>
              </w:rPr>
            </w:pPr>
          </w:p>
        </w:tc>
        <w:tc>
          <w:tcPr>
            <w:tcW w:w="407" w:type="pct"/>
            <w:shd w:val="clear" w:color="auto" w:fill="auto"/>
          </w:tcPr>
          <w:p w14:paraId="746F1EA7" w14:textId="77777777" w:rsidR="008E7A10" w:rsidRDefault="008E7A10">
            <w:pPr>
              <w:rPr>
                <w:rFonts w:ascii="宋体"/>
              </w:rPr>
            </w:pPr>
          </w:p>
        </w:tc>
        <w:tc>
          <w:tcPr>
            <w:tcW w:w="5" w:type="pct"/>
            <w:shd w:val="clear" w:color="auto" w:fill="auto"/>
          </w:tcPr>
          <w:p w14:paraId="746F1EA8" w14:textId="77777777" w:rsidR="008E7A10" w:rsidRDefault="008E7A10">
            <w:pPr>
              <w:rPr>
                <w:rFonts w:ascii="宋体"/>
              </w:rPr>
            </w:pPr>
          </w:p>
        </w:tc>
        <w:tc>
          <w:tcPr>
            <w:tcW w:w="50" w:type="pct"/>
            <w:shd w:val="clear" w:color="auto" w:fill="auto"/>
          </w:tcPr>
          <w:p w14:paraId="746F1EA9" w14:textId="77777777" w:rsidR="008E7A10" w:rsidRDefault="008E7A10">
            <w:pPr>
              <w:rPr>
                <w:rFonts w:ascii="宋体"/>
              </w:rPr>
            </w:pPr>
          </w:p>
        </w:tc>
        <w:tc>
          <w:tcPr>
            <w:tcW w:w="407" w:type="pct"/>
            <w:shd w:val="clear" w:color="auto" w:fill="auto"/>
          </w:tcPr>
          <w:p w14:paraId="746F1EAA" w14:textId="77777777" w:rsidR="008E7A10" w:rsidRDefault="008E7A10">
            <w:pPr>
              <w:rPr>
                <w:rFonts w:ascii="宋体"/>
              </w:rPr>
            </w:pPr>
          </w:p>
        </w:tc>
        <w:tc>
          <w:tcPr>
            <w:tcW w:w="5" w:type="pct"/>
            <w:shd w:val="clear" w:color="auto" w:fill="auto"/>
          </w:tcPr>
          <w:p w14:paraId="746F1EAB" w14:textId="77777777" w:rsidR="008E7A10" w:rsidRDefault="008E7A10">
            <w:pPr>
              <w:rPr>
                <w:rFonts w:ascii="宋体"/>
              </w:rPr>
            </w:pPr>
          </w:p>
        </w:tc>
        <w:tc>
          <w:tcPr>
            <w:tcW w:w="5" w:type="pct"/>
            <w:shd w:val="clear" w:color="auto" w:fill="auto"/>
          </w:tcPr>
          <w:p w14:paraId="746F1EAC" w14:textId="77777777" w:rsidR="008E7A10" w:rsidRDefault="008E7A10">
            <w:pPr>
              <w:rPr>
                <w:rFonts w:ascii="宋体"/>
              </w:rPr>
            </w:pPr>
          </w:p>
        </w:tc>
        <w:tc>
          <w:tcPr>
            <w:tcW w:w="28" w:type="pct"/>
            <w:shd w:val="clear" w:color="auto" w:fill="auto"/>
          </w:tcPr>
          <w:p w14:paraId="746F1EAD" w14:textId="77777777" w:rsidR="008E7A10" w:rsidRDefault="008E7A10">
            <w:pPr>
              <w:rPr>
                <w:rFonts w:ascii="宋体"/>
              </w:rPr>
            </w:pPr>
          </w:p>
        </w:tc>
        <w:tc>
          <w:tcPr>
            <w:tcW w:w="5" w:type="pct"/>
            <w:shd w:val="clear" w:color="auto" w:fill="auto"/>
          </w:tcPr>
          <w:p w14:paraId="746F1EAE" w14:textId="77777777" w:rsidR="008E7A10" w:rsidRDefault="008E7A10">
            <w:pPr>
              <w:rPr>
                <w:rFonts w:ascii="宋体"/>
              </w:rPr>
            </w:pPr>
          </w:p>
        </w:tc>
        <w:tc>
          <w:tcPr>
            <w:tcW w:w="50" w:type="pct"/>
            <w:shd w:val="clear" w:color="auto" w:fill="auto"/>
          </w:tcPr>
          <w:p w14:paraId="746F1EAF" w14:textId="77777777" w:rsidR="008E7A10" w:rsidRDefault="008E7A10">
            <w:pPr>
              <w:rPr>
                <w:rFonts w:ascii="宋体"/>
              </w:rPr>
            </w:pPr>
          </w:p>
        </w:tc>
        <w:tc>
          <w:tcPr>
            <w:tcW w:w="407" w:type="pct"/>
            <w:shd w:val="clear" w:color="auto" w:fill="auto"/>
          </w:tcPr>
          <w:p w14:paraId="746F1EB0" w14:textId="77777777" w:rsidR="008E7A10" w:rsidRDefault="008E7A10">
            <w:pPr>
              <w:rPr>
                <w:rFonts w:ascii="宋体"/>
              </w:rPr>
            </w:pPr>
          </w:p>
        </w:tc>
        <w:tc>
          <w:tcPr>
            <w:tcW w:w="5" w:type="pct"/>
            <w:shd w:val="clear" w:color="auto" w:fill="auto"/>
          </w:tcPr>
          <w:p w14:paraId="746F1EB1" w14:textId="77777777" w:rsidR="008E7A10" w:rsidRDefault="008E7A10">
            <w:pPr>
              <w:rPr>
                <w:rFonts w:ascii="宋体"/>
              </w:rPr>
            </w:pPr>
          </w:p>
        </w:tc>
        <w:tc>
          <w:tcPr>
            <w:tcW w:w="50" w:type="pct"/>
            <w:shd w:val="clear" w:color="auto" w:fill="auto"/>
          </w:tcPr>
          <w:p w14:paraId="746F1EB2" w14:textId="77777777" w:rsidR="008E7A10" w:rsidRDefault="008E7A10">
            <w:pPr>
              <w:rPr>
                <w:rFonts w:ascii="宋体"/>
              </w:rPr>
            </w:pPr>
          </w:p>
        </w:tc>
        <w:tc>
          <w:tcPr>
            <w:tcW w:w="407" w:type="pct"/>
            <w:shd w:val="clear" w:color="auto" w:fill="auto"/>
          </w:tcPr>
          <w:p w14:paraId="746F1EB3" w14:textId="77777777" w:rsidR="008E7A10" w:rsidRDefault="008E7A10">
            <w:pPr>
              <w:rPr>
                <w:rFonts w:ascii="宋体"/>
              </w:rPr>
            </w:pPr>
          </w:p>
        </w:tc>
        <w:tc>
          <w:tcPr>
            <w:tcW w:w="5" w:type="pct"/>
            <w:shd w:val="clear" w:color="auto" w:fill="auto"/>
          </w:tcPr>
          <w:p w14:paraId="746F1EB4" w14:textId="77777777" w:rsidR="008E7A10" w:rsidRDefault="008E7A10">
            <w:pPr>
              <w:rPr>
                <w:rFonts w:ascii="宋体"/>
              </w:rPr>
            </w:pPr>
          </w:p>
        </w:tc>
        <w:tc>
          <w:tcPr>
            <w:tcW w:w="50" w:type="pct"/>
            <w:shd w:val="clear" w:color="auto" w:fill="auto"/>
          </w:tcPr>
          <w:p w14:paraId="746F1EB5" w14:textId="77777777" w:rsidR="008E7A10" w:rsidRDefault="008E7A10">
            <w:pPr>
              <w:rPr>
                <w:rFonts w:ascii="宋体"/>
              </w:rPr>
            </w:pPr>
          </w:p>
        </w:tc>
        <w:tc>
          <w:tcPr>
            <w:tcW w:w="408" w:type="pct"/>
            <w:shd w:val="clear" w:color="auto" w:fill="auto"/>
          </w:tcPr>
          <w:p w14:paraId="746F1EB6" w14:textId="77777777" w:rsidR="008E7A10" w:rsidRDefault="008E7A10">
            <w:pPr>
              <w:rPr>
                <w:rFonts w:ascii="宋体"/>
              </w:rPr>
            </w:pPr>
          </w:p>
        </w:tc>
        <w:tc>
          <w:tcPr>
            <w:tcW w:w="5" w:type="pct"/>
            <w:shd w:val="clear" w:color="auto" w:fill="auto"/>
          </w:tcPr>
          <w:p w14:paraId="746F1EB7" w14:textId="77777777" w:rsidR="008E7A10" w:rsidRDefault="008E7A10">
            <w:pPr>
              <w:rPr>
                <w:rFonts w:ascii="宋体"/>
              </w:rPr>
            </w:pPr>
          </w:p>
        </w:tc>
      </w:tr>
      <w:tr w:rsidR="008E7A10" w14:paraId="746F1EBD" w14:textId="77777777">
        <w:tc>
          <w:tcPr>
            <w:tcW w:w="0" w:type="auto"/>
            <w:gridSpan w:val="3"/>
            <w:shd w:val="clear" w:color="auto" w:fill="auto"/>
            <w:tcMar>
              <w:top w:w="0" w:type="dxa"/>
              <w:left w:w="20" w:type="dxa"/>
              <w:bottom w:w="0" w:type="dxa"/>
              <w:right w:w="20" w:type="dxa"/>
            </w:tcMar>
          </w:tcPr>
          <w:p w14:paraId="746F1EB9"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EBA" w14:textId="77777777" w:rsidR="008E7A10" w:rsidRDefault="00E047B2">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tcPr>
          <w:p w14:paraId="746F1EBB" w14:textId="77777777" w:rsidR="008E7A10" w:rsidRDefault="008E7A10">
            <w:pPr>
              <w:rPr>
                <w:rFonts w:ascii="宋体"/>
              </w:rPr>
            </w:pPr>
          </w:p>
        </w:tc>
        <w:tc>
          <w:tcPr>
            <w:tcW w:w="0" w:type="auto"/>
            <w:gridSpan w:val="9"/>
            <w:shd w:val="clear" w:color="auto" w:fill="auto"/>
            <w:tcMar>
              <w:top w:w="40" w:type="dxa"/>
              <w:left w:w="20" w:type="dxa"/>
              <w:bottom w:w="40" w:type="dxa"/>
              <w:right w:w="20" w:type="dxa"/>
            </w:tcMar>
            <w:vAlign w:val="bottom"/>
          </w:tcPr>
          <w:p w14:paraId="746F1EBC" w14:textId="77777777" w:rsidR="008E7A10" w:rsidRDefault="00E047B2">
            <w:pPr>
              <w:jc w:val="center"/>
              <w:textAlignment w:val="bottom"/>
            </w:pPr>
            <w:r>
              <w:rPr>
                <w:rFonts w:ascii="sans-serif" w:eastAsia="sans-serif" w:hAnsi="sans-serif" w:cs="sans-serif"/>
                <w:b/>
                <w:bCs/>
                <w:color w:val="000000"/>
                <w:sz w:val="17"/>
                <w:szCs w:val="17"/>
              </w:rPr>
              <w:t>SIX MONTHS ENDED NOVEMBER 30,</w:t>
            </w:r>
          </w:p>
        </w:tc>
      </w:tr>
      <w:tr w:rsidR="008E7A10" w14:paraId="746F1EC6" w14:textId="77777777">
        <w:tc>
          <w:tcPr>
            <w:tcW w:w="0" w:type="auto"/>
            <w:gridSpan w:val="3"/>
            <w:shd w:val="clear" w:color="auto" w:fill="auto"/>
            <w:tcMar>
              <w:top w:w="40" w:type="dxa"/>
              <w:left w:w="20" w:type="dxa"/>
              <w:bottom w:w="40" w:type="dxa"/>
              <w:right w:w="20" w:type="dxa"/>
            </w:tcMar>
            <w:vAlign w:val="bottom"/>
          </w:tcPr>
          <w:p w14:paraId="746F1EBE" w14:textId="77777777" w:rsidR="008E7A10" w:rsidRDefault="00E047B2">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EBF"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EC0"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EC1" w14:textId="77777777" w:rsidR="008E7A10" w:rsidRDefault="00E047B2">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tcPr>
          <w:p w14:paraId="746F1EC2" w14:textId="77777777" w:rsidR="008E7A10" w:rsidRDefault="008E7A10">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EC3" w14:textId="77777777" w:rsidR="008E7A10" w:rsidRDefault="00E047B2">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EC4" w14:textId="77777777" w:rsidR="008E7A10" w:rsidRDefault="00E047B2">
            <w:pPr>
              <w:jc w:val="center"/>
              <w:textAlignment w:val="bottom"/>
            </w:pPr>
            <w:r>
              <w:rPr>
                <w:rFonts w:ascii="sans-serif" w:eastAsia="sans-serif" w:hAnsi="sans-serif" w:cs="sans-serif"/>
                <w:b/>
                <w:bCs/>
                <w:color w:val="000000"/>
                <w:sz w:val="17"/>
                <w:szCs w:val="17"/>
              </w:rPr>
              <w:t>2019</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EC5" w14:textId="77777777" w:rsidR="008E7A10" w:rsidRDefault="00E047B2">
            <w:pPr>
              <w:jc w:val="right"/>
              <w:textAlignment w:val="bottom"/>
            </w:pPr>
            <w:r>
              <w:rPr>
                <w:rFonts w:ascii="sans-serif" w:eastAsia="sans-serif" w:hAnsi="sans-serif" w:cs="sans-serif"/>
                <w:b/>
                <w:bCs/>
                <w:color w:val="000000"/>
                <w:sz w:val="17"/>
                <w:szCs w:val="17"/>
              </w:rPr>
              <w:t>% CHANGE</w:t>
            </w:r>
          </w:p>
        </w:tc>
      </w:tr>
      <w:tr w:rsidR="008E7A10" w14:paraId="746F1ED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EC7" w14:textId="77777777" w:rsidR="008E7A10" w:rsidRDefault="00E047B2">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746F1EC8"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EC9" w14:textId="77777777" w:rsidR="008E7A10" w:rsidRDefault="00E047B2">
            <w:pPr>
              <w:jc w:val="right"/>
              <w:textAlignment w:val="bottom"/>
            </w:pPr>
            <w:r>
              <w:rPr>
                <w:rFonts w:ascii="Arial" w:eastAsia="宋体" w:hAnsi="Arial" w:cs="Arial"/>
                <w:color w:val="000000"/>
                <w:sz w:val="17"/>
                <w:szCs w:val="17"/>
              </w:rPr>
              <w:t>26 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ECA"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EC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ECC" w14:textId="77777777" w:rsidR="008E7A10" w:rsidRDefault="00E047B2">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CD"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ECE"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CF" w14:textId="77777777" w:rsidR="008E7A10" w:rsidRDefault="008E7A10">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tcPr>
          <w:p w14:paraId="746F1ED0" w14:textId="77777777" w:rsidR="008E7A10" w:rsidRDefault="008E7A10">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746F1ED1"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746F1ED2" w14:textId="77777777" w:rsidR="008E7A10" w:rsidRDefault="00E047B2">
            <w:pPr>
              <w:jc w:val="right"/>
              <w:textAlignment w:val="bottom"/>
            </w:pPr>
            <w:r>
              <w:rPr>
                <w:rFonts w:ascii="Arial" w:eastAsia="宋体" w:hAnsi="Arial" w:cs="Arial"/>
                <w:color w:val="000000"/>
                <w:sz w:val="17"/>
                <w:szCs w:val="17"/>
              </w:rPr>
              <w:t>39 </w:t>
            </w:r>
          </w:p>
        </w:tc>
        <w:tc>
          <w:tcPr>
            <w:tcW w:w="0" w:type="auto"/>
            <w:tcBorders>
              <w:top w:val="single" w:sz="8" w:space="0" w:color="E87722"/>
            </w:tcBorders>
            <w:shd w:val="clear" w:color="auto" w:fill="FFF1E7"/>
            <w:tcMar>
              <w:top w:w="40" w:type="dxa"/>
              <w:left w:w="0" w:type="dxa"/>
              <w:bottom w:w="40" w:type="dxa"/>
              <w:right w:w="20" w:type="dxa"/>
            </w:tcMar>
            <w:vAlign w:val="bottom"/>
          </w:tcPr>
          <w:p w14:paraId="746F1ED3" w14:textId="77777777" w:rsidR="008E7A10" w:rsidRDefault="008E7A10">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746F1ED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746F1ED5" w14:textId="77777777" w:rsidR="008E7A10" w:rsidRDefault="00E047B2">
            <w:pPr>
              <w:jc w:val="right"/>
              <w:textAlignment w:val="bottom"/>
            </w:pPr>
            <w:r>
              <w:rPr>
                <w:rFonts w:ascii="Arial" w:eastAsia="宋体" w:hAnsi="Arial" w:cs="Arial"/>
                <w:color w:val="000000"/>
                <w:sz w:val="17"/>
                <w:szCs w:val="17"/>
              </w:rPr>
              <w:t>11 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D6" w14:textId="77777777" w:rsidR="008E7A10" w:rsidRDefault="008E7A10">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746F1ED7" w14:textId="77777777" w:rsidR="008E7A10" w:rsidRDefault="00E047B2">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746F1ED8" w14:textId="77777777" w:rsidR="008E7A10" w:rsidRDefault="008E7A10">
            <w:pPr>
              <w:jc w:val="right"/>
              <w:rPr>
                <w:rFonts w:ascii="宋体"/>
              </w:rPr>
            </w:pPr>
          </w:p>
        </w:tc>
      </w:tr>
      <w:tr w:rsidR="008E7A10" w14:paraId="746F1EEC"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F1EDA" w14:textId="77777777" w:rsidR="008E7A10" w:rsidRDefault="00E047B2">
            <w:pPr>
              <w:textAlignment w:val="bottom"/>
            </w:pPr>
            <w:r>
              <w:rPr>
                <w:rFonts w:ascii="Arial" w:eastAsia="宋体" w:hAnsi="Arial" w:cs="Arial"/>
                <w:color w:val="000000"/>
                <w:sz w:val="17"/>
                <w:szCs w:val="17"/>
              </w:rPr>
              <w:t>Earnings (Loss) Before Interest and Taxes</w:t>
            </w: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1EDB"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746F1EDC" w14:textId="77777777" w:rsidR="008E7A10" w:rsidRDefault="00E047B2">
            <w:pPr>
              <w:jc w:val="right"/>
              <w:textAlignment w:val="bottom"/>
            </w:pPr>
            <w:r>
              <w:rPr>
                <w:rFonts w:ascii="Arial" w:eastAsia="宋体" w:hAnsi="Arial" w:cs="Arial"/>
                <w:color w:val="000000"/>
                <w:sz w:val="17"/>
                <w:szCs w:val="17"/>
              </w:rPr>
              <w:t>(718)</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1EDD" w14:textId="77777777" w:rsidR="008E7A10" w:rsidRDefault="008E7A10">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EDE"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746F1EDF" w14:textId="77777777" w:rsidR="008E7A10" w:rsidRDefault="00E047B2">
            <w:pPr>
              <w:jc w:val="right"/>
              <w:textAlignment w:val="bottom"/>
            </w:pPr>
            <w:r>
              <w:rPr>
                <w:rFonts w:ascii="Arial" w:eastAsia="宋体" w:hAnsi="Arial" w:cs="Arial"/>
                <w:color w:val="000000"/>
                <w:sz w:val="17"/>
                <w:szCs w:val="17"/>
              </w:rPr>
              <w:t>(413)</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EE0"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EE1" w14:textId="77777777" w:rsidR="008E7A10" w:rsidRDefault="00E047B2">
            <w:pPr>
              <w:jc w:val="right"/>
              <w:textAlignment w:val="bottom"/>
            </w:pPr>
            <w:r>
              <w:rPr>
                <w:rFonts w:ascii="Arial" w:eastAsia="宋体" w:hAnsi="Arial" w:cs="Arial"/>
                <w:color w:val="000000"/>
                <w:sz w:val="17"/>
                <w:szCs w:val="17"/>
              </w:rPr>
              <w:t>-74 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EE2" w14:textId="77777777" w:rsidR="008E7A10" w:rsidRDefault="00E047B2">
            <w:pPr>
              <w:jc w:val="right"/>
              <w:textAlignment w:val="bottom"/>
            </w:pPr>
            <w:r>
              <w:rPr>
                <w:rFonts w:ascii="Arial" w:eastAsia="宋体" w:hAnsi="Arial" w:cs="Arial"/>
                <w:color w:val="000000"/>
                <w:sz w:val="17"/>
                <w:szCs w:val="17"/>
              </w:rPr>
              <w:t>%</w:t>
            </w:r>
          </w:p>
        </w:tc>
        <w:tc>
          <w:tcPr>
            <w:tcW w:w="0" w:type="auto"/>
            <w:gridSpan w:val="3"/>
            <w:tcBorders>
              <w:top w:val="single" w:sz="8" w:space="0" w:color="808080"/>
              <w:bottom w:val="single" w:sz="8" w:space="0" w:color="E87722"/>
            </w:tcBorders>
            <w:shd w:val="clear" w:color="auto" w:fill="auto"/>
            <w:tcMar>
              <w:top w:w="0" w:type="dxa"/>
              <w:left w:w="20" w:type="dxa"/>
              <w:bottom w:w="0" w:type="dxa"/>
              <w:right w:w="20" w:type="dxa"/>
            </w:tcMar>
          </w:tcPr>
          <w:p w14:paraId="746F1EE3" w14:textId="77777777" w:rsidR="008E7A10" w:rsidRDefault="008E7A10">
            <w:pPr>
              <w:rPr>
                <w:rFonts w:ascii="宋体"/>
              </w:rPr>
            </w:pPr>
          </w:p>
        </w:tc>
        <w:tc>
          <w:tcPr>
            <w:tcW w:w="0" w:type="auto"/>
            <w:tcBorders>
              <w:top w:val="single" w:sz="8" w:space="0" w:color="808080"/>
              <w:bottom w:val="single" w:sz="8" w:space="0" w:color="E87722"/>
            </w:tcBorders>
            <w:shd w:val="clear" w:color="auto" w:fill="FFF1E7"/>
            <w:tcMar>
              <w:top w:w="40" w:type="dxa"/>
              <w:left w:w="20" w:type="dxa"/>
              <w:bottom w:w="40" w:type="dxa"/>
              <w:right w:w="0" w:type="dxa"/>
            </w:tcMar>
            <w:vAlign w:val="bottom"/>
          </w:tcPr>
          <w:p w14:paraId="746F1EE4"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FFF1E7"/>
            <w:tcMar>
              <w:top w:w="40" w:type="dxa"/>
              <w:left w:w="0" w:type="dxa"/>
              <w:bottom w:w="40" w:type="dxa"/>
              <w:right w:w="0" w:type="dxa"/>
            </w:tcMar>
            <w:vAlign w:val="bottom"/>
          </w:tcPr>
          <w:p w14:paraId="746F1EE5" w14:textId="77777777" w:rsidR="008E7A10" w:rsidRDefault="00E047B2">
            <w:pPr>
              <w:jc w:val="right"/>
              <w:textAlignment w:val="bottom"/>
            </w:pPr>
            <w:r>
              <w:rPr>
                <w:rFonts w:ascii="Arial" w:eastAsia="宋体" w:hAnsi="Arial" w:cs="Arial"/>
                <w:color w:val="000000"/>
                <w:sz w:val="17"/>
                <w:szCs w:val="17"/>
              </w:rPr>
              <w:t>(1,215)</w:t>
            </w:r>
          </w:p>
        </w:tc>
        <w:tc>
          <w:tcPr>
            <w:tcW w:w="0" w:type="auto"/>
            <w:tcBorders>
              <w:top w:val="single" w:sz="8" w:space="0" w:color="808080"/>
              <w:bottom w:val="single" w:sz="8" w:space="0" w:color="E87722"/>
            </w:tcBorders>
            <w:shd w:val="clear" w:color="auto" w:fill="FFF1E7"/>
            <w:tcMar>
              <w:top w:w="40" w:type="dxa"/>
              <w:left w:w="0" w:type="dxa"/>
              <w:bottom w:w="40" w:type="dxa"/>
              <w:right w:w="20" w:type="dxa"/>
            </w:tcMar>
            <w:vAlign w:val="bottom"/>
          </w:tcPr>
          <w:p w14:paraId="746F1EE6" w14:textId="77777777" w:rsidR="008E7A10" w:rsidRDefault="008E7A10">
            <w:pPr>
              <w:jc w:val="right"/>
              <w:rPr>
                <w:rFonts w:ascii="宋体"/>
              </w:rPr>
            </w:pPr>
          </w:p>
        </w:tc>
        <w:tc>
          <w:tcPr>
            <w:tcW w:w="0" w:type="auto"/>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EE7" w14:textId="77777777" w:rsidR="008E7A10" w:rsidRDefault="00E047B2">
            <w:pPr>
              <w:textAlignment w:val="bottom"/>
            </w:pPr>
            <w:r>
              <w:rPr>
                <w:rFonts w:ascii="Arial" w:eastAsia="宋体" w:hAnsi="Arial" w:cs="Arial"/>
                <w:color w:val="000000"/>
                <w:sz w:val="17"/>
                <w:szCs w:val="17"/>
              </w:rPr>
              <w:t>$</w:t>
            </w:r>
          </w:p>
        </w:tc>
        <w:tc>
          <w:tcPr>
            <w:tcW w:w="0" w:type="auto"/>
            <w:tcBorders>
              <w:top w:val="single" w:sz="8" w:space="0" w:color="808080"/>
              <w:bottom w:val="single" w:sz="8" w:space="0" w:color="E87722"/>
            </w:tcBorders>
            <w:shd w:val="clear" w:color="auto" w:fill="auto"/>
            <w:tcMar>
              <w:top w:w="40" w:type="dxa"/>
              <w:left w:w="0" w:type="dxa"/>
              <w:bottom w:w="40" w:type="dxa"/>
              <w:right w:w="0" w:type="dxa"/>
            </w:tcMar>
            <w:vAlign w:val="bottom"/>
          </w:tcPr>
          <w:p w14:paraId="746F1EE8" w14:textId="77777777" w:rsidR="008E7A10" w:rsidRDefault="00E047B2">
            <w:pPr>
              <w:jc w:val="right"/>
              <w:textAlignment w:val="bottom"/>
            </w:pPr>
            <w:r>
              <w:rPr>
                <w:rFonts w:ascii="Arial" w:eastAsia="宋体" w:hAnsi="Arial" w:cs="Arial"/>
                <w:color w:val="000000"/>
                <w:sz w:val="17"/>
                <w:szCs w:val="17"/>
              </w:rPr>
              <w:t>(837)</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EE9" w14:textId="77777777" w:rsidR="008E7A10" w:rsidRDefault="008E7A10">
            <w:pPr>
              <w:jc w:val="right"/>
              <w:rPr>
                <w:rFonts w:ascii="宋体"/>
              </w:rPr>
            </w:pPr>
          </w:p>
        </w:tc>
        <w:tc>
          <w:tcPr>
            <w:tcW w:w="0" w:type="auto"/>
            <w:gridSpan w:val="2"/>
            <w:tcBorders>
              <w:top w:val="single" w:sz="8" w:space="0" w:color="808080"/>
              <w:bottom w:val="single" w:sz="8" w:space="0" w:color="E87722"/>
            </w:tcBorders>
            <w:shd w:val="clear" w:color="auto" w:fill="auto"/>
            <w:tcMar>
              <w:top w:w="40" w:type="dxa"/>
              <w:left w:w="20" w:type="dxa"/>
              <w:bottom w:w="40" w:type="dxa"/>
              <w:right w:w="0" w:type="dxa"/>
            </w:tcMar>
            <w:vAlign w:val="bottom"/>
          </w:tcPr>
          <w:p w14:paraId="746F1EEA" w14:textId="77777777" w:rsidR="008E7A10" w:rsidRDefault="00E047B2">
            <w:pPr>
              <w:jc w:val="right"/>
              <w:textAlignment w:val="bottom"/>
            </w:pPr>
            <w:r>
              <w:rPr>
                <w:rFonts w:ascii="Arial" w:eastAsia="宋体" w:hAnsi="Arial" w:cs="Arial"/>
                <w:color w:val="000000"/>
                <w:sz w:val="17"/>
                <w:szCs w:val="17"/>
              </w:rPr>
              <w:t>-45 </w:t>
            </w:r>
          </w:p>
        </w:tc>
        <w:tc>
          <w:tcPr>
            <w:tcW w:w="0" w:type="auto"/>
            <w:tcBorders>
              <w:top w:val="single" w:sz="8" w:space="0" w:color="808080"/>
              <w:bottom w:val="single" w:sz="8" w:space="0" w:color="E87722"/>
            </w:tcBorders>
            <w:shd w:val="clear" w:color="auto" w:fill="auto"/>
            <w:tcMar>
              <w:top w:w="40" w:type="dxa"/>
              <w:left w:w="0" w:type="dxa"/>
              <w:bottom w:w="40" w:type="dxa"/>
              <w:right w:w="20" w:type="dxa"/>
            </w:tcMar>
            <w:vAlign w:val="bottom"/>
          </w:tcPr>
          <w:p w14:paraId="746F1EEB" w14:textId="77777777" w:rsidR="008E7A10" w:rsidRDefault="00E047B2">
            <w:pPr>
              <w:jc w:val="right"/>
              <w:textAlignment w:val="bottom"/>
            </w:pPr>
            <w:r>
              <w:rPr>
                <w:rFonts w:ascii="Arial" w:eastAsia="宋体" w:hAnsi="Arial" w:cs="Arial"/>
                <w:color w:val="000000"/>
                <w:sz w:val="17"/>
                <w:szCs w:val="17"/>
              </w:rPr>
              <w:t>%</w:t>
            </w:r>
          </w:p>
        </w:tc>
      </w:tr>
    </w:tbl>
    <w:p w14:paraId="746F1EED" w14:textId="77777777" w:rsidR="008E7A10" w:rsidRDefault="00E047B2">
      <w:pPr>
        <w:spacing w:before="120" w:after="120"/>
      </w:pPr>
      <w:r>
        <w:rPr>
          <w:rFonts w:ascii="Arial" w:eastAsia="宋体" w:hAnsi="Arial" w:cs="Arial"/>
          <w:color w:val="000000"/>
          <w:sz w:val="17"/>
          <w:szCs w:val="17"/>
        </w:rPr>
        <w:t>Corporate revenues primarily consist of foreign currency hedge gains and losses related to revenue</w:t>
      </w:r>
      <w:r>
        <w:rPr>
          <w:rFonts w:ascii="Arial" w:eastAsia="宋体" w:hAnsi="Arial" w:cs="Arial"/>
          <w:color w:val="000000"/>
          <w:sz w:val="17"/>
          <w:szCs w:val="17"/>
        </w:rPr>
        <w:t>s generated by entities within the NIKE Brand geographic operating segments and Converse, but managed through our central foreign exchange risk management program.</w:t>
      </w:r>
    </w:p>
    <w:p w14:paraId="746F1EEE" w14:textId="77777777" w:rsidR="008E7A10" w:rsidRDefault="00E047B2">
      <w:pPr>
        <w:spacing w:before="120" w:after="120"/>
      </w:pPr>
      <w:r>
        <w:rPr>
          <w:rFonts w:ascii="Arial" w:eastAsia="宋体" w:hAnsi="Arial" w:cs="Arial"/>
          <w:color w:val="000000"/>
          <w:sz w:val="17"/>
          <w:szCs w:val="17"/>
        </w:rPr>
        <w:t>The Corporate loss before interest and taxes primarily consists of unallocated general and a</w:t>
      </w:r>
      <w:r>
        <w:rPr>
          <w:rFonts w:ascii="Arial" w:eastAsia="宋体" w:hAnsi="Arial" w:cs="Arial"/>
          <w:color w:val="000000"/>
          <w:sz w:val="17"/>
          <w:szCs w:val="17"/>
        </w:rPr>
        <w:t>dministrative expenses, including expenses associated with centrally managed departments; depreciation and amortization related to our corporate headquarters; unallocated insurance, benefit and compensation programs, including stock-based compensation; and</w:t>
      </w:r>
      <w:r>
        <w:rPr>
          <w:rFonts w:ascii="Arial" w:eastAsia="宋体" w:hAnsi="Arial" w:cs="Arial"/>
          <w:color w:val="000000"/>
          <w:sz w:val="17"/>
          <w:szCs w:val="17"/>
        </w:rPr>
        <w:t xml:space="preserve"> certain foreign currency gains and losses. </w:t>
      </w:r>
    </w:p>
    <w:p w14:paraId="746F1EEF" w14:textId="77777777" w:rsidR="008E7A10" w:rsidRDefault="00E047B2">
      <w:pPr>
        <w:spacing w:before="120" w:after="120"/>
      </w:pPr>
      <w:r>
        <w:rPr>
          <w:rFonts w:ascii="Arial" w:eastAsia="宋体" w:hAnsi="Arial" w:cs="Arial"/>
          <w:color w:val="000000"/>
          <w:sz w:val="17"/>
          <w:szCs w:val="17"/>
        </w:rPr>
        <w:t>In addition to the foreign currency gains and losses recognized in Corporate revenues, foreign currency results in Corporate include gains and losses resulting from the difference between actual foreign currency</w:t>
      </w:r>
      <w:r>
        <w:rPr>
          <w:rFonts w:ascii="Arial" w:eastAsia="宋体" w:hAnsi="Arial" w:cs="Arial"/>
          <w:color w:val="000000"/>
          <w:sz w:val="17"/>
          <w:szCs w:val="17"/>
        </w:rPr>
        <w:t xml:space="preserve"> exchange rates and standard rates used to record non-functional currency denominated product purchases within the NIKE Brand geographic operating segments and Converse; related foreign currency hedge results; conversion gains and losses arising from re-me</w:t>
      </w:r>
      <w:r>
        <w:rPr>
          <w:rFonts w:ascii="Arial" w:eastAsia="宋体" w:hAnsi="Arial" w:cs="Arial"/>
          <w:color w:val="000000"/>
          <w:sz w:val="17"/>
          <w:szCs w:val="17"/>
        </w:rPr>
        <w:t>asurement of monetary assets and liabilities in non-functional currencies; and certain other foreign currency derivative instruments.</w:t>
      </w:r>
    </w:p>
    <w:p w14:paraId="746F1EF0" w14:textId="77777777" w:rsidR="008E7A10" w:rsidRDefault="00E047B2">
      <w:pPr>
        <w:spacing w:before="120"/>
      </w:pPr>
      <w:r>
        <w:rPr>
          <w:rFonts w:ascii="sans-serif" w:eastAsia="sans-serif" w:hAnsi="sans-serif" w:cs="sans-serif"/>
          <w:b/>
          <w:bCs/>
          <w:color w:val="808080"/>
          <w:sz w:val="22"/>
          <w:szCs w:val="22"/>
        </w:rPr>
        <w:t>SECOND QUARTER OF FISCAL 2021 COMPARED TO SECOND QUARTER OF FISCAL 2020</w:t>
      </w:r>
    </w:p>
    <w:p w14:paraId="746F1EF1" w14:textId="77777777" w:rsidR="008E7A10" w:rsidRDefault="00E047B2">
      <w:pPr>
        <w:spacing w:after="120"/>
      </w:pPr>
      <w:r>
        <w:rPr>
          <w:rFonts w:ascii="Arial" w:eastAsia="宋体" w:hAnsi="Arial" w:cs="Arial"/>
          <w:color w:val="000000"/>
          <w:sz w:val="17"/>
          <w:szCs w:val="17"/>
        </w:rPr>
        <w:t>Corporate's loss before interest and taxes increas</w:t>
      </w:r>
      <w:r>
        <w:rPr>
          <w:rFonts w:ascii="Arial" w:eastAsia="宋体" w:hAnsi="Arial" w:cs="Arial"/>
          <w:color w:val="000000"/>
          <w:sz w:val="17"/>
          <w:szCs w:val="17"/>
        </w:rPr>
        <w:t>ed $305 million for the second quarter of fiscal 2021, primarily due to the following:</w:t>
      </w:r>
    </w:p>
    <w:p w14:paraId="746F1EF2" w14:textId="77777777" w:rsidR="008E7A10" w:rsidRDefault="00E047B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an unfavorable change of $276 million in part due to $171 million of </w:t>
      </w:r>
      <w:r>
        <w:rPr>
          <w:rFonts w:ascii="Arial" w:eastAsia="宋体" w:hAnsi="Arial" w:cs="Arial"/>
          <w:color w:val="000000"/>
          <w:sz w:val="17"/>
          <w:szCs w:val="17"/>
          <w:shd w:val="clear" w:color="auto" w:fill="FFFFFF"/>
        </w:rPr>
        <w:t xml:space="preserve">restructuring-related costs associated with changes to our organizational model announced in July 2020, as well as a </w:t>
      </w:r>
      <w:r>
        <w:rPr>
          <w:rFonts w:ascii="Arial" w:eastAsia="宋体" w:hAnsi="Arial" w:cs="Arial"/>
          <w:color w:val="000000"/>
          <w:sz w:val="17"/>
          <w:szCs w:val="17"/>
        </w:rPr>
        <w:t xml:space="preserve">charge related to our planned, strategic distributor partnership transition within APLA; </w:t>
      </w:r>
    </w:p>
    <w:p w14:paraId="746F1EF3" w14:textId="77777777" w:rsidR="008E7A10" w:rsidRDefault="00E047B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an unfavorable change in net foreign currency ga</w:t>
      </w:r>
      <w:r>
        <w:rPr>
          <w:rFonts w:ascii="Arial" w:eastAsia="宋体" w:hAnsi="Arial" w:cs="Arial"/>
          <w:color w:val="000000"/>
          <w:sz w:val="17"/>
          <w:szCs w:val="17"/>
        </w:rPr>
        <w:t>ins and losses of $53 million related to the re-measurement of monetary assets and liabilities denominated in non-functional currencies and the impact of certain foreign currency derivative instruments, reported as a component of consolidated Other (income</w:t>
      </w:r>
      <w:r>
        <w:rPr>
          <w:rFonts w:ascii="Arial" w:eastAsia="宋体" w:hAnsi="Arial" w:cs="Arial"/>
          <w:color w:val="000000"/>
          <w:sz w:val="17"/>
          <w:szCs w:val="17"/>
        </w:rPr>
        <w:t>) expense, net; and</w:t>
      </w:r>
    </w:p>
    <w:p w14:paraId="746F1EF4" w14:textId="77777777" w:rsidR="008E7A10" w:rsidRDefault="00E047B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 favorable change of $24 million related to the difference between actual foreign currency exchange rates and standard foreign currency exchange rates assigned to the NIKE Brand geographic operating segments and Converse, net of hedge</w:t>
      </w:r>
      <w:r>
        <w:rPr>
          <w:rFonts w:ascii="Arial" w:eastAsia="宋体" w:hAnsi="Arial" w:cs="Arial"/>
          <w:color w:val="000000"/>
          <w:sz w:val="17"/>
          <w:szCs w:val="17"/>
        </w:rPr>
        <w:t xml:space="preserve"> gains and losses; these results are reported as a component of consolidated gross margin.</w:t>
      </w:r>
    </w:p>
    <w:p w14:paraId="746F1EF5" w14:textId="77777777" w:rsidR="008E7A10" w:rsidRDefault="00E047B2">
      <w:pPr>
        <w:spacing w:before="120"/>
      </w:pPr>
      <w:r>
        <w:rPr>
          <w:rFonts w:ascii="sans-serif" w:eastAsia="sans-serif" w:hAnsi="sans-serif" w:cs="sans-serif"/>
          <w:b/>
          <w:bCs/>
          <w:color w:val="808080"/>
          <w:sz w:val="22"/>
          <w:szCs w:val="22"/>
        </w:rPr>
        <w:t>FIRST SIX MONTHS OF FISCAL 2021 COMPARED TO FIRST SIX MONTHS OF FISCAL 2020</w:t>
      </w:r>
    </w:p>
    <w:p w14:paraId="746F1EF6" w14:textId="77777777" w:rsidR="008E7A10" w:rsidRDefault="00E047B2">
      <w:pPr>
        <w:spacing w:after="120"/>
      </w:pPr>
      <w:r>
        <w:rPr>
          <w:rFonts w:ascii="Arial" w:eastAsia="宋体" w:hAnsi="Arial" w:cs="Arial"/>
          <w:color w:val="000000"/>
          <w:sz w:val="17"/>
          <w:szCs w:val="17"/>
        </w:rPr>
        <w:t>Corporate's loss before interest and taxes increased $378 million for the first six month</w:t>
      </w:r>
      <w:r>
        <w:rPr>
          <w:rFonts w:ascii="Arial" w:eastAsia="宋体" w:hAnsi="Arial" w:cs="Arial"/>
          <w:color w:val="000000"/>
          <w:sz w:val="17"/>
          <w:szCs w:val="17"/>
        </w:rPr>
        <w:t>s of fiscal 2021, primarily due to the following:</w:t>
      </w:r>
    </w:p>
    <w:p w14:paraId="746F1EF7" w14:textId="77777777" w:rsidR="008E7A10" w:rsidRDefault="00E047B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an unfavorable change of $416 million in part due to $218 million of </w:t>
      </w:r>
      <w:r>
        <w:rPr>
          <w:rFonts w:ascii="Arial" w:eastAsia="宋体" w:hAnsi="Arial" w:cs="Arial"/>
          <w:color w:val="000000"/>
          <w:sz w:val="17"/>
          <w:szCs w:val="17"/>
          <w:shd w:val="clear" w:color="auto" w:fill="FFFFFF"/>
        </w:rPr>
        <w:t xml:space="preserve">restructuring-related costs associated with changes to our organizational model announced in July 2020, as well as </w:t>
      </w:r>
      <w:r>
        <w:rPr>
          <w:rFonts w:ascii="Arial" w:eastAsia="宋体" w:hAnsi="Arial" w:cs="Arial"/>
          <w:color w:val="000000"/>
          <w:sz w:val="17"/>
          <w:szCs w:val="17"/>
        </w:rPr>
        <w:t>charges related to ou</w:t>
      </w:r>
      <w:r>
        <w:rPr>
          <w:rFonts w:ascii="Arial" w:eastAsia="宋体" w:hAnsi="Arial" w:cs="Arial"/>
          <w:color w:val="000000"/>
          <w:sz w:val="17"/>
          <w:szCs w:val="17"/>
        </w:rPr>
        <w:t>r planned, strategic distributor partnership transition within APLA;</w:t>
      </w:r>
    </w:p>
    <w:p w14:paraId="746F1EF8" w14:textId="77777777" w:rsidR="008E7A10" w:rsidRDefault="00E047B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 favorable change of $100 million related to the difference between actual foreign currency exchange rates and standard foreign currency exchange rates assigned to the NIKE Brand geogra</w:t>
      </w:r>
      <w:r>
        <w:rPr>
          <w:rFonts w:ascii="Arial" w:eastAsia="宋体" w:hAnsi="Arial" w:cs="Arial"/>
          <w:color w:val="000000"/>
          <w:sz w:val="17"/>
          <w:szCs w:val="17"/>
        </w:rPr>
        <w:t>phic operating segments and Converse, net of hedge gains and losses; these results are reported as a component of consolidated gross margin; and</w:t>
      </w:r>
    </w:p>
    <w:p w14:paraId="746F1EF9" w14:textId="77777777" w:rsidR="008E7A10" w:rsidRDefault="00E047B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an unfavorable change in net foreign currency gains and losses of $62 million related to the </w:t>
      </w:r>
      <w:r>
        <w:rPr>
          <w:rFonts w:ascii="Arial" w:eastAsia="宋体" w:hAnsi="Arial" w:cs="Arial"/>
          <w:color w:val="000000"/>
          <w:sz w:val="17"/>
          <w:szCs w:val="17"/>
        </w:rPr>
        <w:t>re-measurement of monetary assets and liabilities denominated in non-functional currencies and the impact of certain foreign currency derivative instruments, reported as a component of consolidated Other (income) expense, net</w:t>
      </w:r>
      <w:r>
        <w:rPr>
          <w:rFonts w:ascii="Arial" w:eastAsia="宋体" w:hAnsi="Arial" w:cs="Arial"/>
          <w:i/>
          <w:iCs/>
          <w:color w:val="000000"/>
          <w:sz w:val="17"/>
          <w:szCs w:val="17"/>
        </w:rPr>
        <w:t>.</w:t>
      </w:r>
    </w:p>
    <w:p w14:paraId="746F1EFA" w14:textId="77777777" w:rsidR="008E7A10" w:rsidRDefault="00E047B2">
      <w:pPr>
        <w:spacing w:before="60" w:after="60"/>
      </w:pPr>
      <w:r>
        <w:rPr>
          <w:rFonts w:ascii="Arial" w:eastAsia="宋体" w:hAnsi="Arial" w:cs="Arial"/>
          <w:color w:val="000000"/>
          <w:sz w:val="17"/>
          <w:szCs w:val="17"/>
        </w:rPr>
        <w:t xml:space="preserve">For more information related </w:t>
      </w:r>
      <w:r>
        <w:rPr>
          <w:rFonts w:ascii="Arial" w:eastAsia="宋体" w:hAnsi="Arial" w:cs="Arial"/>
          <w:color w:val="000000"/>
          <w:sz w:val="17"/>
          <w:szCs w:val="17"/>
        </w:rPr>
        <w:t>to our distributor partnership transition within APLA, as well as more information related to our organizational realignment and related costs, see Note 13 — Acquisitions and Divestitures and Note 14 — Restructuring, respectively, within the accompanying N</w:t>
      </w:r>
      <w:r>
        <w:rPr>
          <w:rFonts w:ascii="Arial" w:eastAsia="宋体" w:hAnsi="Arial" w:cs="Arial"/>
          <w:color w:val="000000"/>
          <w:sz w:val="17"/>
          <w:szCs w:val="17"/>
        </w:rPr>
        <w:t>otes to the Unaudited Condensed Consolidated Financial Statements.</w:t>
      </w:r>
    </w:p>
    <w:p w14:paraId="746F1EFB" w14:textId="77777777" w:rsidR="008E7A10" w:rsidRDefault="00E047B2">
      <w:pPr>
        <w:spacing w:before="120" w:after="120"/>
      </w:pPr>
      <w:r>
        <w:rPr>
          <w:rFonts w:ascii="Arial" w:eastAsia="宋体" w:hAnsi="Arial" w:cs="Arial"/>
          <w:color w:val="E87722"/>
          <w:sz w:val="17"/>
          <w:szCs w:val="17"/>
        </w:rPr>
        <w:t>40</w:t>
      </w:r>
      <w:r>
        <w:rPr>
          <w:rFonts w:ascii="sans-serif" w:eastAsia="sans-serif" w:hAnsi="sans-serif" w:cs="sans-serif"/>
          <w:color w:val="000000"/>
          <w:sz w:val="17"/>
          <w:szCs w:val="17"/>
        </w:rPr>
        <w:t xml:space="preserve"> </w:t>
      </w:r>
    </w:p>
    <w:p w14:paraId="746F1EFC" w14:textId="77777777" w:rsidR="008E7A10" w:rsidRDefault="00E047B2">
      <w:r>
        <w:pict w14:anchorId="746F2030">
          <v:rect id="_x0000_i1066" style="width:415.3pt;height:1.5pt" o:hralign="center" o:hrstd="t" o:hr="t" fillcolor="#a0a0a0" stroked="f"/>
        </w:pict>
      </w:r>
    </w:p>
    <w:p w14:paraId="746F1EFD" w14:textId="77777777" w:rsidR="008E7A10" w:rsidRDefault="008E7A10"/>
    <w:p w14:paraId="746F1EFE" w14:textId="77777777" w:rsidR="008E7A10" w:rsidRDefault="00E047B2">
      <w:hyperlink r:id="rId110" w:anchor="i31a624617c6c41b38f8f700fa0df5bde_7" w:history="1">
        <w:r>
          <w:rPr>
            <w:rStyle w:val="a5"/>
            <w:rFonts w:ascii="sans-serif" w:eastAsia="sans-serif" w:hAnsi="sans-serif" w:cs="sans-serif"/>
            <w:sz w:val="17"/>
            <w:szCs w:val="17"/>
          </w:rPr>
          <w:t>Table of Contents</w:t>
        </w:r>
      </w:hyperlink>
    </w:p>
    <w:p w14:paraId="746F1EFF" w14:textId="77777777" w:rsidR="008E7A10" w:rsidRDefault="008E7A10"/>
    <w:p w14:paraId="746F1F00" w14:textId="77777777" w:rsidR="008E7A10" w:rsidRDefault="00E047B2">
      <w:pPr>
        <w:spacing w:before="300" w:after="120"/>
      </w:pPr>
      <w:r>
        <w:rPr>
          <w:rFonts w:ascii="sans-serif" w:eastAsia="sans-serif" w:hAnsi="sans-serif" w:cs="sans-serif"/>
          <w:b/>
          <w:bCs/>
          <w:color w:val="E87722"/>
          <w:sz w:val="36"/>
          <w:szCs w:val="36"/>
        </w:rPr>
        <w:t>FOREIGN CUR</w:t>
      </w:r>
      <w:r>
        <w:rPr>
          <w:rFonts w:ascii="sans-serif" w:eastAsia="sans-serif" w:hAnsi="sans-serif" w:cs="sans-serif"/>
          <w:b/>
          <w:bCs/>
          <w:color w:val="E87722"/>
          <w:sz w:val="36"/>
          <w:szCs w:val="36"/>
        </w:rPr>
        <w:t>RENCY EXPOSURES AND HEDGING PRACTICES</w:t>
      </w:r>
    </w:p>
    <w:p w14:paraId="746F1F01" w14:textId="77777777" w:rsidR="008E7A10" w:rsidRDefault="00E047B2">
      <w:pPr>
        <w:spacing w:before="240" w:after="120"/>
      </w:pPr>
      <w:r>
        <w:rPr>
          <w:rFonts w:ascii="sans-serif" w:eastAsia="sans-serif" w:hAnsi="sans-serif" w:cs="sans-serif"/>
          <w:b/>
          <w:bCs/>
          <w:color w:val="000000"/>
          <w:sz w:val="28"/>
          <w:szCs w:val="28"/>
        </w:rPr>
        <w:t>OVERVIEW</w:t>
      </w:r>
    </w:p>
    <w:p w14:paraId="746F1F02" w14:textId="77777777" w:rsidR="008E7A10" w:rsidRDefault="00E047B2">
      <w:pPr>
        <w:spacing w:before="120" w:after="120"/>
      </w:pPr>
      <w:r>
        <w:rPr>
          <w:rFonts w:ascii="Arial" w:eastAsia="宋体" w:hAnsi="Arial" w:cs="Arial"/>
          <w:color w:val="000000"/>
          <w:sz w:val="17"/>
          <w:szCs w:val="17"/>
        </w:rPr>
        <w:t xml:space="preserve">As a global company with significant operations outside the United States, in the normal course of business we are exposed to risk arising from changes in currency exchange rates. Our primary foreign </w:t>
      </w:r>
      <w:r>
        <w:rPr>
          <w:rFonts w:ascii="Arial" w:eastAsia="宋体" w:hAnsi="Arial" w:cs="Arial"/>
          <w:color w:val="000000"/>
          <w:sz w:val="17"/>
          <w:szCs w:val="17"/>
        </w:rPr>
        <w:t>currency exposures arise from the recording of transactions denominated in non-functional currencies and the translation of foreign currency denominated results of operations, financial position and cash flows into U.S. Dollars.</w:t>
      </w:r>
    </w:p>
    <w:p w14:paraId="746F1F03" w14:textId="77777777" w:rsidR="008E7A10" w:rsidRDefault="00E047B2">
      <w:pPr>
        <w:spacing w:before="120" w:after="120"/>
      </w:pPr>
      <w:r>
        <w:rPr>
          <w:rFonts w:ascii="Arial" w:eastAsia="宋体" w:hAnsi="Arial" w:cs="Arial"/>
          <w:color w:val="000000"/>
          <w:sz w:val="17"/>
          <w:szCs w:val="17"/>
        </w:rPr>
        <w:t>Our foreign exchange risk m</w:t>
      </w:r>
      <w:r>
        <w:rPr>
          <w:rFonts w:ascii="Arial" w:eastAsia="宋体" w:hAnsi="Arial" w:cs="Arial"/>
          <w:color w:val="000000"/>
          <w:sz w:val="17"/>
          <w:szCs w:val="17"/>
        </w:rPr>
        <w:t>anagement program is intended to lessen both the positive and negative effects of currency fluctuations on our consolidated results of operations, financial position and cash flows. We manage global foreign exchange risk centrally on a portfolio basis to a</w:t>
      </w:r>
      <w:r>
        <w:rPr>
          <w:rFonts w:ascii="Arial" w:eastAsia="宋体" w:hAnsi="Arial" w:cs="Arial"/>
          <w:color w:val="000000"/>
          <w:sz w:val="17"/>
          <w:szCs w:val="17"/>
        </w:rPr>
        <w:t>ddress those risks material to NIKE, Inc. Our hedging policy is designed to partially or entirely offset the impact of exchange rate changes on the underlying net exposures being hedged. Where exposures are hedged, our program has the effect of delaying th</w:t>
      </w:r>
      <w:r>
        <w:rPr>
          <w:rFonts w:ascii="Arial" w:eastAsia="宋体" w:hAnsi="Arial" w:cs="Arial"/>
          <w:color w:val="000000"/>
          <w:sz w:val="17"/>
          <w:szCs w:val="17"/>
        </w:rPr>
        <w:t>e impact of exchange rate movements on our Unaudited Condensed Consolidated Financial Statements; the length of the delay is dependent upon hedge horizons. We do not hold or issue derivative instruments for trading or speculative purposes. As of and for th</w:t>
      </w:r>
      <w:r>
        <w:rPr>
          <w:rFonts w:ascii="Arial" w:eastAsia="宋体" w:hAnsi="Arial" w:cs="Arial"/>
          <w:color w:val="000000"/>
          <w:sz w:val="17"/>
          <w:szCs w:val="17"/>
        </w:rPr>
        <w:t xml:space="preserve">e six months ended November 30, 2020, there have been no material changes to the Company's hedging program or strategy from what was disclosed within the Annual Report on Form 10-K. </w:t>
      </w:r>
    </w:p>
    <w:p w14:paraId="746F1F04" w14:textId="77777777" w:rsidR="008E7A10" w:rsidRDefault="00E047B2">
      <w:pPr>
        <w:spacing w:before="120" w:after="120"/>
      </w:pPr>
      <w:r>
        <w:rPr>
          <w:rFonts w:ascii="Arial" w:eastAsia="宋体" w:hAnsi="Arial" w:cs="Arial"/>
          <w:color w:val="000000"/>
          <w:sz w:val="17"/>
          <w:szCs w:val="17"/>
        </w:rPr>
        <w:t>Refer to Note 4 — Fair Value Measurements and Note 9 — Risk Management an</w:t>
      </w:r>
      <w:r>
        <w:rPr>
          <w:rFonts w:ascii="Arial" w:eastAsia="宋体" w:hAnsi="Arial" w:cs="Arial"/>
          <w:color w:val="000000"/>
          <w:sz w:val="17"/>
          <w:szCs w:val="17"/>
        </w:rPr>
        <w:t>d Derivatives in the accompanying Notes to the Unaudited Condensed Consolidated Financial Statements for additional description of outstanding derivatives at each reported period end. For additional information about our Foreign Currency Exposures and Hedg</w:t>
      </w:r>
      <w:r>
        <w:rPr>
          <w:rFonts w:ascii="Arial" w:eastAsia="宋体" w:hAnsi="Arial" w:cs="Arial"/>
          <w:color w:val="000000"/>
          <w:sz w:val="17"/>
          <w:szCs w:val="17"/>
        </w:rPr>
        <w:t>ing Practices refer to Part II, Item 7. Management's Discussion and Analysis of Financial Condition and Results of Operations of our Annual Report on Form 10-K for the fiscal year ended May 31, 2020.</w:t>
      </w:r>
    </w:p>
    <w:p w14:paraId="746F1F05" w14:textId="77777777" w:rsidR="008E7A10" w:rsidRDefault="00E047B2">
      <w:pPr>
        <w:spacing w:before="240" w:after="120"/>
      </w:pPr>
      <w:r>
        <w:rPr>
          <w:rFonts w:ascii="sans-serif" w:eastAsia="sans-serif" w:hAnsi="sans-serif" w:cs="sans-serif"/>
          <w:b/>
          <w:bCs/>
          <w:color w:val="000000"/>
          <w:sz w:val="28"/>
          <w:szCs w:val="28"/>
        </w:rPr>
        <w:t>TRANSACTIONAL EXPOSURES</w:t>
      </w:r>
    </w:p>
    <w:p w14:paraId="746F1F06" w14:textId="77777777" w:rsidR="008E7A10" w:rsidRDefault="00E047B2">
      <w:pPr>
        <w:spacing w:before="120" w:after="120"/>
      </w:pPr>
      <w:r>
        <w:rPr>
          <w:rFonts w:ascii="Arial" w:eastAsia="宋体" w:hAnsi="Arial" w:cs="Arial"/>
          <w:color w:val="000000"/>
          <w:sz w:val="17"/>
          <w:szCs w:val="17"/>
        </w:rPr>
        <w:t>We conduct business in various c</w:t>
      </w:r>
      <w:r>
        <w:rPr>
          <w:rFonts w:ascii="Arial" w:eastAsia="宋体" w:hAnsi="Arial" w:cs="Arial"/>
          <w:color w:val="000000"/>
          <w:sz w:val="17"/>
          <w:szCs w:val="17"/>
        </w:rPr>
        <w:t>urrencies and have transactions which subject us to foreign currency risk. Our most significant transactional foreign currency exposures are:</w:t>
      </w:r>
    </w:p>
    <w:p w14:paraId="746F1F07" w14:textId="77777777" w:rsidR="008E7A10" w:rsidRDefault="00E047B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Product Costs — Product purchases denominated in currencies other than the functional currency of the transacting</w:t>
      </w:r>
      <w:r>
        <w:rPr>
          <w:rFonts w:ascii="Arial" w:eastAsia="宋体" w:hAnsi="Arial" w:cs="Arial"/>
          <w:color w:val="000000"/>
          <w:sz w:val="17"/>
          <w:szCs w:val="17"/>
        </w:rPr>
        <w:t xml:space="preserve"> entity and factory input costs from the foreign currency adjustments program with certain factories.</w:t>
      </w:r>
    </w:p>
    <w:p w14:paraId="746F1F08" w14:textId="77777777" w:rsidR="008E7A10" w:rsidRDefault="00E047B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Non-Functional Currency Denominated External Sales — A portion of our NIKE Brand and Converse revenues associated with European operations are earned in </w:t>
      </w:r>
      <w:r>
        <w:rPr>
          <w:rFonts w:ascii="Arial" w:eastAsia="宋体" w:hAnsi="Arial" w:cs="Arial"/>
          <w:color w:val="000000"/>
          <w:sz w:val="17"/>
          <w:szCs w:val="17"/>
        </w:rPr>
        <w:t>currencies other than the Euro (e.g., the British Pound) but are recognized at a subsidiary that uses the Euro as its functional currency. These sales generate a foreign currency exposure.</w:t>
      </w:r>
    </w:p>
    <w:p w14:paraId="746F1F09" w14:textId="77777777" w:rsidR="008E7A10" w:rsidRDefault="00E047B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Other Costs — Non-functional currency denominated costs, such as e</w:t>
      </w:r>
      <w:r>
        <w:rPr>
          <w:rFonts w:ascii="Arial" w:eastAsia="宋体" w:hAnsi="Arial" w:cs="Arial"/>
          <w:color w:val="000000"/>
          <w:sz w:val="17"/>
          <w:szCs w:val="17"/>
        </w:rPr>
        <w:t xml:space="preserve">ndorsement contracts, also generate foreign currency risk, though to a lesser extent. </w:t>
      </w:r>
    </w:p>
    <w:p w14:paraId="746F1F0A" w14:textId="77777777" w:rsidR="008E7A10" w:rsidRDefault="00E047B2">
      <w:pP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Non-Functional Currency Denominated Monetary Assets and Liabilities — Our global subsidiaries have various assets and liabilities, primarily receivables and </w:t>
      </w:r>
      <w:r>
        <w:rPr>
          <w:rFonts w:ascii="Arial" w:eastAsia="宋体" w:hAnsi="Arial" w:cs="Arial"/>
          <w:color w:val="000000"/>
          <w:sz w:val="17"/>
          <w:szCs w:val="17"/>
        </w:rPr>
        <w:t>payables, including intercompany receivables and payables, denominated in currencies other than their functional currencies. These balance sheet items are subject to re-measurement which may create fluctuations in Other (income) expense, net within our con</w:t>
      </w:r>
      <w:r>
        <w:rPr>
          <w:rFonts w:ascii="Arial" w:eastAsia="宋体" w:hAnsi="Arial" w:cs="Arial"/>
          <w:color w:val="000000"/>
          <w:sz w:val="17"/>
          <w:szCs w:val="17"/>
        </w:rPr>
        <w:t>solidated results of operations.</w:t>
      </w:r>
    </w:p>
    <w:p w14:paraId="746F1F0B" w14:textId="77777777" w:rsidR="008E7A10" w:rsidRDefault="00E047B2">
      <w:pPr>
        <w:spacing w:before="120"/>
      </w:pPr>
      <w:r>
        <w:rPr>
          <w:rFonts w:ascii="sans-serif" w:eastAsia="sans-serif" w:hAnsi="sans-serif" w:cs="sans-serif"/>
          <w:b/>
          <w:bCs/>
          <w:color w:val="808080"/>
          <w:sz w:val="22"/>
          <w:szCs w:val="22"/>
        </w:rPr>
        <w:t>MANAGING TRANSACTIONAL EXPOSURES</w:t>
      </w:r>
    </w:p>
    <w:p w14:paraId="746F1F0C" w14:textId="77777777" w:rsidR="008E7A10" w:rsidRDefault="00E047B2">
      <w:pPr>
        <w:spacing w:after="120"/>
      </w:pPr>
      <w:r>
        <w:rPr>
          <w:rFonts w:ascii="Arial" w:eastAsia="宋体" w:hAnsi="Arial" w:cs="Arial"/>
          <w:color w:val="000000"/>
          <w:sz w:val="17"/>
          <w:szCs w:val="17"/>
        </w:rPr>
        <w:t>Transactional exposures are managed on a portfolio basis within our foreign currency risk management program. We manage these exposures by taking advantage of natural offsets and currency co</w:t>
      </w:r>
      <w:r>
        <w:rPr>
          <w:rFonts w:ascii="Arial" w:eastAsia="宋体" w:hAnsi="Arial" w:cs="Arial"/>
          <w:color w:val="000000"/>
          <w:sz w:val="17"/>
          <w:szCs w:val="17"/>
        </w:rPr>
        <w:t>rrelations that exist within the portfolio and may also elect to use currency forward and option contracts to hedge the remaining effect of exchange rate fluctuations on probable forecasted future cash flows, including certain product cost exposures, non-f</w:t>
      </w:r>
      <w:r>
        <w:rPr>
          <w:rFonts w:ascii="Arial" w:eastAsia="宋体" w:hAnsi="Arial" w:cs="Arial"/>
          <w:color w:val="000000"/>
          <w:sz w:val="17"/>
          <w:szCs w:val="17"/>
        </w:rPr>
        <w:t xml:space="preserve">unctional currency denominated external sales and other costs described above. </w:t>
      </w:r>
    </w:p>
    <w:p w14:paraId="746F1F0D" w14:textId="77777777" w:rsidR="008E7A10" w:rsidRDefault="00E047B2">
      <w:pPr>
        <w:spacing w:after="120"/>
      </w:pPr>
      <w:r>
        <w:rPr>
          <w:rFonts w:ascii="Arial" w:eastAsia="宋体" w:hAnsi="Arial" w:cs="Arial"/>
          <w:color w:val="000000"/>
          <w:sz w:val="17"/>
          <w:szCs w:val="17"/>
        </w:rPr>
        <w:t>Certain currency forward contracts used to manage the foreign exchange exposure of non-functional currency denominated monetary assets and liabilities subject to re-measurement</w:t>
      </w:r>
      <w:r>
        <w:rPr>
          <w:rFonts w:ascii="Arial" w:eastAsia="宋体" w:hAnsi="Arial" w:cs="Arial"/>
          <w:color w:val="000000"/>
          <w:sz w:val="17"/>
          <w:szCs w:val="17"/>
        </w:rPr>
        <w:t xml:space="preserve"> and embedded derivative contracts are not formally designated as hedging instruments and are recognized in Other (income) expense, net. </w:t>
      </w:r>
    </w:p>
    <w:p w14:paraId="746F1F0E" w14:textId="77777777" w:rsidR="008E7A10" w:rsidRDefault="00E047B2">
      <w:pPr>
        <w:spacing w:before="120" w:after="120"/>
        <w:jc w:val="right"/>
      </w:pPr>
      <w:r>
        <w:rPr>
          <w:rFonts w:ascii="Arial" w:eastAsia="宋体" w:hAnsi="Arial" w:cs="Arial"/>
          <w:color w:val="E87722"/>
          <w:sz w:val="17"/>
          <w:szCs w:val="17"/>
        </w:rPr>
        <w:t>41</w:t>
      </w:r>
    </w:p>
    <w:p w14:paraId="746F1F0F" w14:textId="77777777" w:rsidR="008E7A10" w:rsidRDefault="00E047B2">
      <w:r>
        <w:pict w14:anchorId="746F2031">
          <v:rect id="_x0000_i1067" style="width:415.3pt;height:1.5pt" o:hralign="center" o:hrstd="t" o:hr="t" fillcolor="#a0a0a0" stroked="f"/>
        </w:pict>
      </w:r>
    </w:p>
    <w:p w14:paraId="746F1F10" w14:textId="77777777" w:rsidR="008E7A10" w:rsidRDefault="008E7A10"/>
    <w:p w14:paraId="746F1F11" w14:textId="77777777" w:rsidR="008E7A10" w:rsidRDefault="00E047B2">
      <w:hyperlink r:id="rId111" w:anchor="i31a624617c6c41b38f8f700fa0df5bde_7" w:history="1">
        <w:r>
          <w:rPr>
            <w:rStyle w:val="a5"/>
            <w:rFonts w:ascii="sans-serif" w:eastAsia="sans-serif" w:hAnsi="sans-serif" w:cs="sans-serif"/>
            <w:sz w:val="17"/>
            <w:szCs w:val="17"/>
          </w:rPr>
          <w:t>Table of Contents</w:t>
        </w:r>
      </w:hyperlink>
    </w:p>
    <w:p w14:paraId="746F1F12" w14:textId="77777777" w:rsidR="008E7A10" w:rsidRDefault="008E7A10"/>
    <w:p w14:paraId="746F1F13" w14:textId="77777777" w:rsidR="008E7A10" w:rsidRDefault="00E047B2">
      <w:pPr>
        <w:spacing w:before="240" w:after="120"/>
      </w:pPr>
      <w:r>
        <w:rPr>
          <w:rFonts w:ascii="sans-serif" w:eastAsia="sans-serif" w:hAnsi="sans-serif" w:cs="sans-serif"/>
          <w:b/>
          <w:bCs/>
          <w:color w:val="000000"/>
          <w:sz w:val="28"/>
          <w:szCs w:val="28"/>
        </w:rPr>
        <w:t>TRANSLATIONAL EXPOSURES</w:t>
      </w:r>
    </w:p>
    <w:p w14:paraId="746F1F14" w14:textId="77777777" w:rsidR="008E7A10" w:rsidRDefault="00E047B2">
      <w:pPr>
        <w:spacing w:before="120" w:after="120"/>
      </w:pPr>
      <w:r>
        <w:rPr>
          <w:rFonts w:ascii="Arial" w:eastAsia="宋体" w:hAnsi="Arial" w:cs="Arial"/>
          <w:color w:val="000000"/>
          <w:sz w:val="17"/>
          <w:szCs w:val="17"/>
        </w:rPr>
        <w:t xml:space="preserve">Many of our foreign subsidiaries operate in functional currencies other than the U.S. Dollar. Fluctuations in currency exchange rates create volatility in our </w:t>
      </w:r>
      <w:r>
        <w:rPr>
          <w:rFonts w:ascii="Arial" w:eastAsia="宋体" w:hAnsi="Arial" w:cs="Arial"/>
          <w:color w:val="000000"/>
          <w:sz w:val="17"/>
          <w:szCs w:val="17"/>
        </w:rPr>
        <w:t xml:space="preserve">reported results as we are required to translate the balance sheets, operational results and cash flows of these subsidiaries into U.S. Dollars for consolidated reporting. The translation of foreign subsidiaries' non-U.S. Dollar denominated balance sheets </w:t>
      </w:r>
      <w:r>
        <w:rPr>
          <w:rFonts w:ascii="Arial" w:eastAsia="宋体" w:hAnsi="Arial" w:cs="Arial"/>
          <w:color w:val="000000"/>
          <w:sz w:val="17"/>
          <w:szCs w:val="17"/>
        </w:rPr>
        <w:t>into U.S. Dollars for consolidated reporting results in a cumulative translation adjustment to Accumulated other comprehensive income (loss) within Shareholders' equity. The impact of foreign exchange rate fluctuations on the translation of our consolidate</w:t>
      </w:r>
      <w:r>
        <w:rPr>
          <w:rFonts w:ascii="Arial" w:eastAsia="宋体" w:hAnsi="Arial" w:cs="Arial"/>
          <w:color w:val="000000"/>
          <w:sz w:val="17"/>
          <w:szCs w:val="17"/>
        </w:rPr>
        <w:t xml:space="preserve">d Revenues was a benefit of approximately $184 million and $73 million for the three and six months ended November 30, 2020, respectively, and a detriment of approximately $233 million and $546 million for the three and six months ended November 30, 2019, </w:t>
      </w:r>
      <w:r>
        <w:rPr>
          <w:rFonts w:ascii="Arial" w:eastAsia="宋体" w:hAnsi="Arial" w:cs="Arial"/>
          <w:color w:val="000000"/>
          <w:sz w:val="17"/>
          <w:szCs w:val="17"/>
        </w:rPr>
        <w:t>respectively. The impact of foreign exchange rate fluctuations on the translation of our</w:t>
      </w:r>
      <w:r>
        <w:rPr>
          <w:rFonts w:ascii="Arial" w:eastAsia="宋体" w:hAnsi="Arial" w:cs="Arial"/>
          <w:i/>
          <w:iCs/>
          <w:color w:val="000000"/>
          <w:sz w:val="17"/>
          <w:szCs w:val="17"/>
        </w:rPr>
        <w:t xml:space="preserve"> </w:t>
      </w:r>
      <w:r>
        <w:rPr>
          <w:rFonts w:ascii="Arial" w:eastAsia="宋体" w:hAnsi="Arial" w:cs="Arial"/>
          <w:color w:val="000000"/>
          <w:sz w:val="17"/>
          <w:szCs w:val="17"/>
        </w:rPr>
        <w:t>Income before income taxes was a benefit of approximately $63 million and $34 million for the three and six months ended November 30, 2020, respectively, and a detrime</w:t>
      </w:r>
      <w:r>
        <w:rPr>
          <w:rFonts w:ascii="Arial" w:eastAsia="宋体" w:hAnsi="Arial" w:cs="Arial"/>
          <w:color w:val="000000"/>
          <w:sz w:val="17"/>
          <w:szCs w:val="17"/>
        </w:rPr>
        <w:t>nt of approximately $66 million and $152 million for the three and six months ended November 30, 2019, respectively.</w:t>
      </w:r>
    </w:p>
    <w:p w14:paraId="746F1F15" w14:textId="77777777" w:rsidR="008E7A10" w:rsidRDefault="00E047B2">
      <w:pPr>
        <w:spacing w:before="120" w:after="120"/>
      </w:pPr>
      <w:r>
        <w:rPr>
          <w:rFonts w:ascii="Arial" w:eastAsia="宋体" w:hAnsi="Arial" w:cs="Arial"/>
          <w:color w:val="000000"/>
          <w:sz w:val="17"/>
          <w:szCs w:val="17"/>
        </w:rPr>
        <w:t>Management generally identifies hyper-inflationary markets as those markets whose cumulative inflation rate over a three-year period exceed</w:t>
      </w:r>
      <w:r>
        <w:rPr>
          <w:rFonts w:ascii="Arial" w:eastAsia="宋体" w:hAnsi="Arial" w:cs="Arial"/>
          <w:color w:val="000000"/>
          <w:sz w:val="17"/>
          <w:szCs w:val="17"/>
        </w:rPr>
        <w:t>s 100%. Management has concluded our Argentina subsidiary within our APLA operating segment is operating in a hyper-inflationary market. As a result, beginning in the second quarter of fiscal 2019, the functional currency of our Argentina subsidiary change</w:t>
      </w:r>
      <w:r>
        <w:rPr>
          <w:rFonts w:ascii="Arial" w:eastAsia="宋体" w:hAnsi="Arial" w:cs="Arial"/>
          <w:color w:val="000000"/>
          <w:sz w:val="17"/>
          <w:szCs w:val="17"/>
        </w:rPr>
        <w:t>d from the local currency to the U.S. Dollar. As of and for the three and six months ended November 30, 2020, this change did not have a material impact on our results of operations or financial condition and we do not anticipate it will have a material im</w:t>
      </w:r>
      <w:r>
        <w:rPr>
          <w:rFonts w:ascii="Arial" w:eastAsia="宋体" w:hAnsi="Arial" w:cs="Arial"/>
          <w:color w:val="000000"/>
          <w:sz w:val="17"/>
          <w:szCs w:val="17"/>
        </w:rPr>
        <w:t>pact in future periods based on current rates.</w:t>
      </w:r>
    </w:p>
    <w:p w14:paraId="746F1F16" w14:textId="77777777" w:rsidR="008E7A10" w:rsidRDefault="00E047B2">
      <w:pPr>
        <w:spacing w:before="120"/>
      </w:pPr>
      <w:r>
        <w:rPr>
          <w:rFonts w:ascii="sans-serif" w:eastAsia="sans-serif" w:hAnsi="sans-serif" w:cs="sans-serif"/>
          <w:b/>
          <w:bCs/>
          <w:color w:val="808080"/>
          <w:sz w:val="22"/>
          <w:szCs w:val="22"/>
        </w:rPr>
        <w:t>MANAGING TRANSLATIONAL EXPOSURES</w:t>
      </w:r>
    </w:p>
    <w:p w14:paraId="746F1F17" w14:textId="77777777" w:rsidR="008E7A10" w:rsidRDefault="00E047B2">
      <w:pPr>
        <w:spacing w:after="120"/>
      </w:pPr>
      <w:r>
        <w:rPr>
          <w:rFonts w:ascii="Arial" w:eastAsia="宋体" w:hAnsi="Arial" w:cs="Arial"/>
          <w:color w:val="000000"/>
          <w:sz w:val="17"/>
          <w:szCs w:val="17"/>
        </w:rPr>
        <w:t>To minimize the impact of translating foreign currency denominated revenues and expenses into U.S. Dollars for consolidated reporting, certain foreign subsidiaries use excess c</w:t>
      </w:r>
      <w:r>
        <w:rPr>
          <w:rFonts w:ascii="Arial" w:eastAsia="宋体" w:hAnsi="Arial" w:cs="Arial"/>
          <w:color w:val="000000"/>
          <w:sz w:val="17"/>
          <w:szCs w:val="17"/>
        </w:rPr>
        <w:t>ash to purchase U.S. Dollar denominated available-for-sale investments. The variable future cash flows associated with the purchase and subsequent sale of these U.S. Dollar denominated investments at non-U.S. Dollar functional currency subsidiaries creates</w:t>
      </w:r>
      <w:r>
        <w:rPr>
          <w:rFonts w:ascii="Arial" w:eastAsia="宋体" w:hAnsi="Arial" w:cs="Arial"/>
          <w:color w:val="000000"/>
          <w:sz w:val="17"/>
          <w:szCs w:val="17"/>
        </w:rPr>
        <w:t xml:space="preserve"> a foreign currency exposure that qualifies for hedge accounting under U.S. GAAP. We utilize forward contracts and/or options to mitigate the variability of the forecasted future purchases and sales of these U.S. Dollar investments. The combination of the </w:t>
      </w:r>
      <w:r>
        <w:rPr>
          <w:rFonts w:ascii="Arial" w:eastAsia="宋体" w:hAnsi="Arial" w:cs="Arial"/>
          <w:color w:val="000000"/>
          <w:sz w:val="17"/>
          <w:szCs w:val="17"/>
        </w:rPr>
        <w:t xml:space="preserve">purchase and sale of the U.S. Dollar investment and the hedging instrument has the effect of partially offsetting the year-over-year foreign currency translation impact on net earnings in the period the investments are sold. Hedges of the purchase of U.S. </w:t>
      </w:r>
      <w:r>
        <w:rPr>
          <w:rFonts w:ascii="Arial" w:eastAsia="宋体" w:hAnsi="Arial" w:cs="Arial"/>
          <w:color w:val="000000"/>
          <w:sz w:val="17"/>
          <w:szCs w:val="17"/>
        </w:rPr>
        <w:t xml:space="preserve">Dollar denominated available-for-sale investments are accounted for as cash flow hedges. </w:t>
      </w:r>
    </w:p>
    <w:p w14:paraId="746F1F18" w14:textId="77777777" w:rsidR="008E7A10" w:rsidRDefault="00E047B2">
      <w:pPr>
        <w:spacing w:after="120"/>
      </w:pPr>
      <w:r>
        <w:rPr>
          <w:rFonts w:ascii="Arial" w:eastAsia="宋体" w:hAnsi="Arial" w:cs="Arial"/>
          <w:color w:val="000000"/>
          <w:sz w:val="17"/>
          <w:szCs w:val="17"/>
        </w:rPr>
        <w:t>We estimate the combination of translation of foreign currency-denominated profits from our international businesses and the year-over-year change in foreign currency</w:t>
      </w:r>
      <w:r>
        <w:rPr>
          <w:rFonts w:ascii="Arial" w:eastAsia="宋体" w:hAnsi="Arial" w:cs="Arial"/>
          <w:color w:val="000000"/>
          <w:sz w:val="17"/>
          <w:szCs w:val="17"/>
        </w:rPr>
        <w:t xml:space="preserve"> related gains and losses included in Other (income) expense, net had a favorable impact of approximately $10 million and an unfavorable impact of approximately $28 million on our Income before income taxes for the three months and six months ended Novembe</w:t>
      </w:r>
      <w:r>
        <w:rPr>
          <w:rFonts w:ascii="Arial" w:eastAsia="宋体" w:hAnsi="Arial" w:cs="Arial"/>
          <w:color w:val="000000"/>
          <w:sz w:val="17"/>
          <w:szCs w:val="17"/>
        </w:rPr>
        <w:t>r 30, 2020, respectively.</w:t>
      </w:r>
    </w:p>
    <w:p w14:paraId="746F1F19" w14:textId="77777777" w:rsidR="008E7A10" w:rsidRDefault="00E047B2">
      <w:pPr>
        <w:spacing w:before="300" w:after="120"/>
      </w:pPr>
      <w:r>
        <w:rPr>
          <w:rFonts w:ascii="sans-serif" w:eastAsia="sans-serif" w:hAnsi="sans-serif" w:cs="sans-serif"/>
          <w:b/>
          <w:bCs/>
          <w:color w:val="E87722"/>
          <w:sz w:val="36"/>
          <w:szCs w:val="36"/>
        </w:rPr>
        <w:t>LIQUIDITY AND CAPITAL RESOURCES</w:t>
      </w:r>
    </w:p>
    <w:p w14:paraId="746F1F1A" w14:textId="77777777" w:rsidR="008E7A10" w:rsidRDefault="00E047B2">
      <w:pPr>
        <w:spacing w:before="240" w:after="120"/>
      </w:pPr>
      <w:r>
        <w:rPr>
          <w:rFonts w:ascii="sans-serif" w:eastAsia="sans-serif" w:hAnsi="sans-serif" w:cs="sans-serif"/>
          <w:b/>
          <w:bCs/>
          <w:color w:val="000000"/>
          <w:sz w:val="28"/>
          <w:szCs w:val="28"/>
        </w:rPr>
        <w:t>CASH FLOW ACTIVITY</w:t>
      </w:r>
    </w:p>
    <w:p w14:paraId="746F1F1B" w14:textId="77777777" w:rsidR="008E7A10" w:rsidRDefault="00E047B2">
      <w:pPr>
        <w:spacing w:before="120" w:after="120"/>
      </w:pPr>
      <w:r>
        <w:rPr>
          <w:rFonts w:ascii="Arial" w:eastAsia="宋体" w:hAnsi="Arial" w:cs="Arial"/>
          <w:color w:val="000000"/>
          <w:sz w:val="17"/>
          <w:szCs w:val="17"/>
        </w:rPr>
        <w:t>Cash provided (used) by operations was an inflow of $3,355 million for the first six months of fiscal 2021, compared to $1,306 million for the first six months of fiscal 2020. Net</w:t>
      </w:r>
      <w:r>
        <w:rPr>
          <w:rFonts w:ascii="Arial" w:eastAsia="宋体" w:hAnsi="Arial" w:cs="Arial"/>
          <w:color w:val="000000"/>
          <w:sz w:val="17"/>
          <w:szCs w:val="17"/>
        </w:rPr>
        <w:t xml:space="preserve"> income, adjusted for non-cash items, generated $3,283 million of operating cash inflow for the first six months of fiscal 2021, compared to $2,906 million for the first six months of fiscal 2020. The net change in working capital and other assets and liab</w:t>
      </w:r>
      <w:r>
        <w:rPr>
          <w:rFonts w:ascii="Arial" w:eastAsia="宋体" w:hAnsi="Arial" w:cs="Arial"/>
          <w:color w:val="000000"/>
          <w:sz w:val="17"/>
          <w:szCs w:val="17"/>
        </w:rPr>
        <w:t>ilities resulted in an increase to Cash provided (used) by operations</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of $72 million for the first six months of fiscal 2021 compared to a decrease of $1,600 million for the first six months of fiscal 2020. This favorable impact on Cash provided (used) by </w:t>
      </w:r>
      <w:r>
        <w:rPr>
          <w:rFonts w:ascii="Arial" w:eastAsia="宋体" w:hAnsi="Arial" w:cs="Arial"/>
          <w:color w:val="000000"/>
          <w:sz w:val="17"/>
          <w:szCs w:val="17"/>
        </w:rPr>
        <w:t xml:space="preserve">operations was primarily the result of a $1,929 million decrease in Inventories driven by </w:t>
      </w:r>
      <w:r>
        <w:rPr>
          <w:rFonts w:ascii="Arial" w:eastAsia="宋体" w:hAnsi="Arial" w:cs="Arial"/>
          <w:color w:val="212529"/>
          <w:sz w:val="17"/>
          <w:szCs w:val="17"/>
        </w:rPr>
        <w:t>our intentional supply and demand management, as well as strong digital sales growth.</w:t>
      </w:r>
    </w:p>
    <w:p w14:paraId="746F1F1C" w14:textId="77777777" w:rsidR="008E7A10" w:rsidRDefault="00E047B2">
      <w:pPr>
        <w:spacing w:before="120" w:after="120"/>
      </w:pPr>
      <w:r>
        <w:rPr>
          <w:rFonts w:ascii="Arial" w:eastAsia="宋体" w:hAnsi="Arial" w:cs="Arial"/>
          <w:color w:val="000000"/>
          <w:sz w:val="17"/>
          <w:szCs w:val="17"/>
        </w:rPr>
        <w:t>Cash provided (used) by investing activities was an outflow of $2,877 million fo</w:t>
      </w:r>
      <w:r>
        <w:rPr>
          <w:rFonts w:ascii="Arial" w:eastAsia="宋体" w:hAnsi="Arial" w:cs="Arial"/>
          <w:color w:val="000000"/>
          <w:sz w:val="17"/>
          <w:szCs w:val="17"/>
        </w:rPr>
        <w:t>r the first six months of fiscal 2021, compared to $788 million for the first six months of fiscal 2020, driven by the net change in short-term investments. For the first six months of fiscal 2021, the net change in short-term investments (including sales,</w:t>
      </w:r>
      <w:r>
        <w:rPr>
          <w:rFonts w:ascii="Arial" w:eastAsia="宋体" w:hAnsi="Arial" w:cs="Arial"/>
          <w:color w:val="000000"/>
          <w:sz w:val="17"/>
          <w:szCs w:val="17"/>
        </w:rPr>
        <w:t xml:space="preserve"> maturities and purchases) resulted in a cash outflow of $2,789 million compared to $157 million for the first six months of fiscal 2020.</w:t>
      </w:r>
    </w:p>
    <w:p w14:paraId="746F1F1D" w14:textId="77777777" w:rsidR="008E7A10" w:rsidRDefault="00E047B2">
      <w:pPr>
        <w:spacing w:before="120" w:after="120"/>
      </w:pPr>
      <w:r>
        <w:rPr>
          <w:rFonts w:ascii="Arial" w:eastAsia="宋体" w:hAnsi="Arial" w:cs="Arial"/>
          <w:color w:val="000000"/>
          <w:sz w:val="17"/>
          <w:szCs w:val="17"/>
        </w:rPr>
        <w:t>Cash provided (used) by financing activities was an outflow of $292 million for the first six months of fiscal 2021 co</w:t>
      </w:r>
      <w:r>
        <w:rPr>
          <w:rFonts w:ascii="Arial" w:eastAsia="宋体" w:hAnsi="Arial" w:cs="Arial"/>
          <w:color w:val="000000"/>
          <w:sz w:val="17"/>
          <w:szCs w:val="17"/>
        </w:rPr>
        <w:t>mpared to $1,868 million for the first six months of fiscal 2020, with the decrease from the prior period driven by our election to temporarily suspend share repurchases, resulting in no share repurchases for the first six months of fiscal 2021 compared to</w:t>
      </w:r>
      <w:r>
        <w:rPr>
          <w:rFonts w:ascii="Arial" w:eastAsia="宋体" w:hAnsi="Arial" w:cs="Arial"/>
          <w:color w:val="000000"/>
          <w:sz w:val="17"/>
          <w:szCs w:val="17"/>
        </w:rPr>
        <w:t xml:space="preserve"> $1,921 million in the first six months of fiscal 2020.</w:t>
      </w:r>
    </w:p>
    <w:p w14:paraId="746F1F1E" w14:textId="77777777" w:rsidR="008E7A10" w:rsidRDefault="00E047B2">
      <w:pPr>
        <w:spacing w:before="120" w:after="120"/>
      </w:pPr>
      <w:r>
        <w:rPr>
          <w:rFonts w:ascii="Arial" w:eastAsia="宋体" w:hAnsi="Arial" w:cs="Arial"/>
          <w:color w:val="E87722"/>
          <w:sz w:val="17"/>
          <w:szCs w:val="17"/>
        </w:rPr>
        <w:t>42</w:t>
      </w:r>
      <w:r>
        <w:rPr>
          <w:rFonts w:ascii="sans-serif" w:eastAsia="sans-serif" w:hAnsi="sans-serif" w:cs="sans-serif"/>
          <w:color w:val="000000"/>
          <w:sz w:val="17"/>
          <w:szCs w:val="17"/>
        </w:rPr>
        <w:t xml:space="preserve"> </w:t>
      </w:r>
    </w:p>
    <w:p w14:paraId="746F1F1F" w14:textId="77777777" w:rsidR="008E7A10" w:rsidRDefault="00E047B2">
      <w:r>
        <w:pict w14:anchorId="746F2032">
          <v:rect id="_x0000_i1068" style="width:415.3pt;height:1.5pt" o:hralign="center" o:hrstd="t" o:hr="t" fillcolor="#a0a0a0" stroked="f"/>
        </w:pict>
      </w:r>
    </w:p>
    <w:p w14:paraId="746F1F20" w14:textId="77777777" w:rsidR="008E7A10" w:rsidRDefault="008E7A10"/>
    <w:p w14:paraId="746F1F21" w14:textId="77777777" w:rsidR="008E7A10" w:rsidRDefault="00E047B2">
      <w:hyperlink r:id="rId112" w:anchor="i31a624617c6c41b38f8f700fa0df5bde_7" w:history="1">
        <w:r>
          <w:rPr>
            <w:rStyle w:val="a5"/>
            <w:rFonts w:ascii="sans-serif" w:eastAsia="sans-serif" w:hAnsi="sans-serif" w:cs="sans-serif"/>
            <w:sz w:val="17"/>
            <w:szCs w:val="17"/>
          </w:rPr>
          <w:t>Table of Contents</w:t>
        </w:r>
      </w:hyperlink>
    </w:p>
    <w:p w14:paraId="746F1F22" w14:textId="77777777" w:rsidR="008E7A10" w:rsidRDefault="008E7A10"/>
    <w:p w14:paraId="746F1F23" w14:textId="77777777" w:rsidR="008E7A10" w:rsidRDefault="00E047B2">
      <w:r>
        <w:rPr>
          <w:rFonts w:ascii="Arial" w:eastAsia="宋体" w:hAnsi="Arial" w:cs="Arial"/>
          <w:color w:val="000000"/>
          <w:sz w:val="17"/>
          <w:szCs w:val="17"/>
        </w:rPr>
        <w:t>As of November 30, 2020, we had repurchased 45.2 million shares at a cost of approximately $4.0 billion (an average price of $89.00 per share) under the four-year, $15 billion share repurchase program approved by the Board of Directors in June 2018. To enh</w:t>
      </w:r>
      <w:r>
        <w:rPr>
          <w:rFonts w:ascii="Arial" w:eastAsia="宋体" w:hAnsi="Arial" w:cs="Arial"/>
          <w:color w:val="000000"/>
          <w:sz w:val="17"/>
          <w:szCs w:val="17"/>
        </w:rPr>
        <w:t>ance our liquidity position in response to COVID-19, during the fourth quarter of fiscal 2020, we elected to temporarily suspend share repurchases under our existing share repurchase program. As such, there were no share repurchases made during the quarter</w:t>
      </w:r>
      <w:r>
        <w:rPr>
          <w:rFonts w:ascii="Arial" w:eastAsia="宋体" w:hAnsi="Arial" w:cs="Arial"/>
          <w:color w:val="000000"/>
          <w:sz w:val="17"/>
          <w:szCs w:val="17"/>
        </w:rPr>
        <w:t xml:space="preserve"> ended November 30, 2020. The existing program remains authorized by the Board of Directors and we may resume share repurchases in the future at any time, depending upon market conditions, our capital needs and other factors. We continue to expect funding </w:t>
      </w:r>
      <w:r>
        <w:rPr>
          <w:rFonts w:ascii="Arial" w:eastAsia="宋体" w:hAnsi="Arial" w:cs="Arial"/>
          <w:color w:val="000000"/>
          <w:sz w:val="17"/>
          <w:szCs w:val="17"/>
        </w:rPr>
        <w:t xml:space="preserve">of share repurchases will come from operating cash flows, excess cash and/or proceeds from debt. </w:t>
      </w:r>
    </w:p>
    <w:p w14:paraId="746F1F24" w14:textId="77777777" w:rsidR="008E7A10" w:rsidRDefault="00E047B2">
      <w:pPr>
        <w:spacing w:before="240" w:after="120"/>
      </w:pPr>
      <w:r>
        <w:rPr>
          <w:rFonts w:ascii="sans-serif" w:eastAsia="sans-serif" w:hAnsi="sans-serif" w:cs="sans-serif"/>
          <w:b/>
          <w:bCs/>
          <w:color w:val="000000"/>
          <w:sz w:val="28"/>
          <w:szCs w:val="28"/>
        </w:rPr>
        <w:t>CAPITAL RESOURCES</w:t>
      </w:r>
    </w:p>
    <w:p w14:paraId="746F1F25" w14:textId="77777777" w:rsidR="008E7A10" w:rsidRDefault="00E047B2">
      <w:pPr>
        <w:spacing w:before="120" w:after="120"/>
      </w:pPr>
      <w:r>
        <w:rPr>
          <w:rFonts w:ascii="Arial" w:eastAsia="宋体" w:hAnsi="Arial" w:cs="Arial"/>
          <w:color w:val="000000"/>
          <w:sz w:val="17"/>
          <w:szCs w:val="17"/>
        </w:rPr>
        <w:t>On July 23, 2019, we filed a shelf registration statement (the “Shelf”) with the U.S. Securities and Exchange Commission (SEC) which permits</w:t>
      </w:r>
      <w:r>
        <w:rPr>
          <w:rFonts w:ascii="Arial" w:eastAsia="宋体" w:hAnsi="Arial" w:cs="Arial"/>
          <w:color w:val="000000"/>
          <w:sz w:val="17"/>
          <w:szCs w:val="17"/>
        </w:rPr>
        <w:t xml:space="preserve"> us to issue an unlimited amount of debt securities from time to time. The Shelf expires on July 23, 2022.</w:t>
      </w:r>
    </w:p>
    <w:p w14:paraId="746F1F26" w14:textId="77777777" w:rsidR="008E7A10" w:rsidRDefault="00E047B2">
      <w:pPr>
        <w:spacing w:before="120" w:after="120"/>
      </w:pPr>
      <w:r>
        <w:rPr>
          <w:rFonts w:ascii="Arial" w:eastAsia="宋体" w:hAnsi="Arial" w:cs="Arial"/>
          <w:color w:val="000000"/>
          <w:sz w:val="17"/>
          <w:szCs w:val="17"/>
        </w:rPr>
        <w:t xml:space="preserve">Our committed credit facilities remain unchanged from the information previously reported on Form 10-K for the fiscal year ended May 31, 2020. As of </w:t>
      </w:r>
      <w:r>
        <w:rPr>
          <w:rFonts w:ascii="Arial" w:eastAsia="宋体" w:hAnsi="Arial" w:cs="Arial"/>
          <w:color w:val="000000"/>
          <w:sz w:val="17"/>
          <w:szCs w:val="17"/>
        </w:rPr>
        <w:t>November 30, 2020 and May 31, 2020, no amounts were outstanding under our committed credit facilities. We currently have long-term debt ratings of AA- and A1 from Standard and Poor's Corporation and Moody's Investor Services, respectively. Any changes to t</w:t>
      </w:r>
      <w:r>
        <w:rPr>
          <w:rFonts w:ascii="Arial" w:eastAsia="宋体" w:hAnsi="Arial" w:cs="Arial"/>
          <w:color w:val="000000"/>
          <w:sz w:val="17"/>
          <w:szCs w:val="17"/>
        </w:rPr>
        <w:t>hese ratings could result in interest rate and facility fee changes. As of November 30, 2020, we were in full compliance of the covenants under our committed credit facilities and believe it is unlikely we will fail to meet any of the covenants in the fore</w:t>
      </w:r>
      <w:r>
        <w:rPr>
          <w:rFonts w:ascii="Arial" w:eastAsia="宋体" w:hAnsi="Arial" w:cs="Arial"/>
          <w:color w:val="000000"/>
          <w:sz w:val="17"/>
          <w:szCs w:val="17"/>
        </w:rPr>
        <w:t>seeable future.</w:t>
      </w:r>
    </w:p>
    <w:p w14:paraId="746F1F27" w14:textId="77777777" w:rsidR="008E7A10" w:rsidRDefault="00E047B2">
      <w:pPr>
        <w:spacing w:before="120" w:after="120"/>
      </w:pPr>
      <w:r>
        <w:rPr>
          <w:rFonts w:ascii="Arial" w:eastAsia="宋体" w:hAnsi="Arial" w:cs="Arial"/>
          <w:color w:val="000000"/>
          <w:sz w:val="17"/>
          <w:szCs w:val="17"/>
        </w:rPr>
        <w:t>Liquidity is also provided by our $4 billion commercial paper program. During the three months ended November 30, 2020, the maximum amount of commercial paper borrowings outstanding at any point was $112 million. As of November 30, 2020 and</w:t>
      </w:r>
      <w:r>
        <w:rPr>
          <w:rFonts w:ascii="Arial" w:eastAsia="宋体" w:hAnsi="Arial" w:cs="Arial"/>
          <w:color w:val="000000"/>
          <w:sz w:val="17"/>
          <w:szCs w:val="17"/>
        </w:rPr>
        <w:t xml:space="preserve"> May 31, 2020, the Company had $23 million and $248 million of borrowings outstanding at a weighted average interest rate of 1.76% and 1.65%, respectively. We may continue to issue commercial paper or other debt securities depending on general corporate ne</w:t>
      </w:r>
      <w:r>
        <w:rPr>
          <w:rFonts w:ascii="Arial" w:eastAsia="宋体" w:hAnsi="Arial" w:cs="Arial"/>
          <w:color w:val="000000"/>
          <w:sz w:val="17"/>
          <w:szCs w:val="17"/>
        </w:rPr>
        <w:t>eds. We currently have short-term debt ratings of A1+ and P1 from Standard and Poor's Corporation and Moody's Investor Services, respectively.</w:t>
      </w:r>
    </w:p>
    <w:p w14:paraId="746F1F28" w14:textId="77777777" w:rsidR="008E7A10" w:rsidRDefault="00E047B2">
      <w:pPr>
        <w:spacing w:before="120" w:after="120"/>
      </w:pPr>
      <w:r>
        <w:rPr>
          <w:rFonts w:ascii="Arial" w:eastAsia="宋体" w:hAnsi="Arial" w:cs="Arial"/>
          <w:color w:val="000000"/>
          <w:sz w:val="17"/>
          <w:szCs w:val="17"/>
        </w:rPr>
        <w:t>To date, in fiscal 2021, we have not experienced difficulty accessing the credit markets; however, future volatil</w:t>
      </w:r>
      <w:r>
        <w:rPr>
          <w:rFonts w:ascii="Arial" w:eastAsia="宋体" w:hAnsi="Arial" w:cs="Arial"/>
          <w:color w:val="000000"/>
          <w:sz w:val="17"/>
          <w:szCs w:val="17"/>
        </w:rPr>
        <w:t>ity in the capital markets may increase costs associated with issuing commercial paper or other debt instruments or affect our ability to access those markets.</w:t>
      </w:r>
    </w:p>
    <w:p w14:paraId="746F1F29" w14:textId="77777777" w:rsidR="008E7A10" w:rsidRDefault="00E047B2">
      <w:pPr>
        <w:spacing w:before="120" w:after="120"/>
      </w:pPr>
      <w:r>
        <w:rPr>
          <w:rFonts w:ascii="Arial" w:eastAsia="宋体" w:hAnsi="Arial" w:cs="Arial"/>
          <w:color w:val="000000"/>
          <w:sz w:val="17"/>
          <w:szCs w:val="17"/>
        </w:rPr>
        <w:t>As of November 30, 2020, we had cash, cash equivalents and short-term investments totaling $11.8</w:t>
      </w:r>
      <w:r>
        <w:rPr>
          <w:rFonts w:ascii="Arial" w:eastAsia="宋体" w:hAnsi="Arial" w:cs="Arial"/>
          <w:color w:val="000000"/>
          <w:sz w:val="17"/>
          <w:szCs w:val="17"/>
        </w:rPr>
        <w:t xml:space="preserve"> billion, primarily consisting of commercial paper, corporate notes, deposits held at major banks, money market funds, U.S. government sponsored enterprise obligations, U.S. Treasury obligations and other investment grade fixed-income securities. Our fixed</w:t>
      </w:r>
      <w:r>
        <w:rPr>
          <w:rFonts w:ascii="Arial" w:eastAsia="宋体" w:hAnsi="Arial" w:cs="Arial"/>
          <w:color w:val="000000"/>
          <w:sz w:val="17"/>
          <w:szCs w:val="17"/>
        </w:rPr>
        <w:t>-income investments are exposed to both credit and interest rate risk. All of our investments are investment grade to minimize our credit risk. While individual securities have varying durations, as of November 30, 2020, the weighted-average days to maturi</w:t>
      </w:r>
      <w:r>
        <w:rPr>
          <w:rFonts w:ascii="Arial" w:eastAsia="宋体" w:hAnsi="Arial" w:cs="Arial"/>
          <w:color w:val="000000"/>
          <w:sz w:val="17"/>
          <w:szCs w:val="17"/>
        </w:rPr>
        <w:t>ty of our cash equivalents and short-term investments portfolio was 33 days.</w:t>
      </w:r>
    </w:p>
    <w:p w14:paraId="746F1F2A" w14:textId="77777777" w:rsidR="008E7A10" w:rsidRDefault="00E047B2">
      <w:pPr>
        <w:spacing w:before="120" w:after="120"/>
      </w:pPr>
      <w:r>
        <w:rPr>
          <w:rFonts w:ascii="Arial" w:eastAsia="宋体" w:hAnsi="Arial" w:cs="Arial"/>
          <w:color w:val="000000"/>
          <w:sz w:val="17"/>
          <w:szCs w:val="17"/>
        </w:rPr>
        <w:t>We believe that existing cash, cash equivalents, short-term investments and cash generated by operations, together with access to external sources of funds as described above, wil</w:t>
      </w:r>
      <w:r>
        <w:rPr>
          <w:rFonts w:ascii="Arial" w:eastAsia="宋体" w:hAnsi="Arial" w:cs="Arial"/>
          <w:color w:val="000000"/>
          <w:sz w:val="17"/>
          <w:szCs w:val="17"/>
        </w:rPr>
        <w:t>l be sufficient to meet our domestic and foreign capital needs in the foreseeable future.</w:t>
      </w:r>
    </w:p>
    <w:p w14:paraId="746F1F2B" w14:textId="77777777" w:rsidR="008E7A10" w:rsidRDefault="00E047B2">
      <w:pPr>
        <w:spacing w:before="120" w:after="120"/>
      </w:pPr>
      <w:r>
        <w:rPr>
          <w:rFonts w:ascii="Arial" w:eastAsia="宋体" w:hAnsi="Arial" w:cs="Arial"/>
          <w:color w:val="000000"/>
          <w:sz w:val="17"/>
          <w:szCs w:val="17"/>
        </w:rPr>
        <w:t>We utilize a variety of tax planning and financing strategies to manage our worldwide cash and deploy funds to locations where they are needed. We indefinitely reinve</w:t>
      </w:r>
      <w:r>
        <w:rPr>
          <w:rFonts w:ascii="Arial" w:eastAsia="宋体" w:hAnsi="Arial" w:cs="Arial"/>
          <w:color w:val="000000"/>
          <w:sz w:val="17"/>
          <w:szCs w:val="17"/>
        </w:rPr>
        <w:t xml:space="preserve">st a significant portion of our foreign earnings, and our current plans do not demonstrate a need to repatriate these earnings. Should we require additional capital in the United States, we may determine to repatriate indefinitely reinvested foreign funds </w:t>
      </w:r>
      <w:r>
        <w:rPr>
          <w:rFonts w:ascii="Arial" w:eastAsia="宋体" w:hAnsi="Arial" w:cs="Arial"/>
          <w:color w:val="000000"/>
          <w:sz w:val="17"/>
          <w:szCs w:val="17"/>
        </w:rPr>
        <w:t>or raise capital in the United States through debt. Given our existing structure, if we were to repatriate indefinitely reinvested foreign earnings, we would be required to accrue and pay withholding taxes in certain foreign jurisdictions.</w:t>
      </w:r>
    </w:p>
    <w:p w14:paraId="746F1F2C" w14:textId="77777777" w:rsidR="008E7A10" w:rsidRDefault="00E047B2">
      <w:pPr>
        <w:spacing w:before="240" w:after="120"/>
      </w:pPr>
      <w:r>
        <w:rPr>
          <w:rFonts w:ascii="sans-serif" w:eastAsia="sans-serif" w:hAnsi="sans-serif" w:cs="sans-serif"/>
          <w:b/>
          <w:bCs/>
          <w:color w:val="000000"/>
          <w:sz w:val="28"/>
          <w:szCs w:val="28"/>
        </w:rPr>
        <w:t>OFF-BALANCE SHEE</w:t>
      </w:r>
      <w:r>
        <w:rPr>
          <w:rFonts w:ascii="sans-serif" w:eastAsia="sans-serif" w:hAnsi="sans-serif" w:cs="sans-serif"/>
          <w:b/>
          <w:bCs/>
          <w:color w:val="000000"/>
          <w:sz w:val="28"/>
          <w:szCs w:val="28"/>
        </w:rPr>
        <w:t>T ARRANGEMENTS</w:t>
      </w:r>
    </w:p>
    <w:p w14:paraId="746F1F2D" w14:textId="77777777" w:rsidR="008E7A10" w:rsidRDefault="00E047B2">
      <w:pPr>
        <w:spacing w:before="120" w:after="120"/>
      </w:pPr>
      <w:r>
        <w:rPr>
          <w:rFonts w:ascii="Arial" w:eastAsia="宋体" w:hAnsi="Arial" w:cs="Arial"/>
          <w:color w:val="000000"/>
          <w:sz w:val="17"/>
          <w:szCs w:val="17"/>
        </w:rPr>
        <w:t>As of November 30, 2020, we did not have any off-balance sheet arrangements that have, or are reasonably likely to have, a material current or future effect on our financial condition, results of operations, liquidity, capital expenditures o</w:t>
      </w:r>
      <w:r>
        <w:rPr>
          <w:rFonts w:ascii="Arial" w:eastAsia="宋体" w:hAnsi="Arial" w:cs="Arial"/>
          <w:color w:val="000000"/>
          <w:sz w:val="17"/>
          <w:szCs w:val="17"/>
        </w:rPr>
        <w:t>r capital resources.</w:t>
      </w:r>
    </w:p>
    <w:p w14:paraId="746F1F2E" w14:textId="77777777" w:rsidR="008E7A10" w:rsidRDefault="00E047B2">
      <w:pPr>
        <w:spacing w:before="240" w:after="120"/>
      </w:pPr>
      <w:r>
        <w:rPr>
          <w:rFonts w:ascii="sans-serif" w:eastAsia="sans-serif" w:hAnsi="sans-serif" w:cs="sans-serif"/>
          <w:b/>
          <w:bCs/>
          <w:color w:val="000000"/>
          <w:sz w:val="28"/>
          <w:szCs w:val="28"/>
        </w:rPr>
        <w:t>CONTRACTUAL OBLIGATIONS</w:t>
      </w:r>
    </w:p>
    <w:p w14:paraId="746F1F2F" w14:textId="77777777" w:rsidR="008E7A10" w:rsidRDefault="00E047B2">
      <w:pPr>
        <w:spacing w:before="120" w:after="120"/>
      </w:pPr>
      <w:r>
        <w:rPr>
          <w:rFonts w:ascii="Arial" w:eastAsia="宋体" w:hAnsi="Arial" w:cs="Arial"/>
          <w:color w:val="000000"/>
          <w:sz w:val="17"/>
          <w:szCs w:val="17"/>
        </w:rPr>
        <w:t>There have been no significant changes to the contractual obligations reported in our Annual Report on Form 10-K for the fiscal year ended May 31, 2020.</w:t>
      </w:r>
    </w:p>
    <w:p w14:paraId="746F1F30" w14:textId="77777777" w:rsidR="008E7A10" w:rsidRDefault="00E047B2">
      <w:pPr>
        <w:spacing w:before="300" w:after="120"/>
      </w:pPr>
      <w:r>
        <w:rPr>
          <w:rFonts w:ascii="sans-serif" w:eastAsia="sans-serif" w:hAnsi="sans-serif" w:cs="sans-serif"/>
          <w:b/>
          <w:bCs/>
          <w:color w:val="E87722"/>
          <w:sz w:val="36"/>
          <w:szCs w:val="36"/>
        </w:rPr>
        <w:t>NEW ACCOUNTING PRONOUNCEMENTS</w:t>
      </w:r>
    </w:p>
    <w:p w14:paraId="746F1F31" w14:textId="77777777" w:rsidR="008E7A10" w:rsidRDefault="00E047B2">
      <w:pPr>
        <w:spacing w:before="120" w:after="120"/>
      </w:pPr>
      <w:r>
        <w:rPr>
          <w:rFonts w:ascii="Arial" w:eastAsia="宋体" w:hAnsi="Arial" w:cs="Arial"/>
          <w:color w:val="000000"/>
          <w:sz w:val="17"/>
          <w:szCs w:val="17"/>
        </w:rPr>
        <w:t xml:space="preserve">There have been no material </w:t>
      </w:r>
      <w:r>
        <w:rPr>
          <w:rFonts w:ascii="Arial" w:eastAsia="宋体" w:hAnsi="Arial" w:cs="Arial"/>
          <w:color w:val="000000"/>
          <w:sz w:val="17"/>
          <w:szCs w:val="17"/>
        </w:rPr>
        <w:t>changes in recently issued or adopted accounting standards from those disclosed in our Annual Report on Form 10-K for the fiscal year ended May 31, 2020.</w:t>
      </w:r>
    </w:p>
    <w:p w14:paraId="746F1F32" w14:textId="77777777" w:rsidR="008E7A10" w:rsidRDefault="00E047B2">
      <w:pPr>
        <w:spacing w:before="120" w:after="120"/>
        <w:jc w:val="right"/>
      </w:pPr>
      <w:r>
        <w:rPr>
          <w:rFonts w:ascii="Arial" w:eastAsia="宋体" w:hAnsi="Arial" w:cs="Arial"/>
          <w:color w:val="E87722"/>
          <w:sz w:val="17"/>
          <w:szCs w:val="17"/>
        </w:rPr>
        <w:t>43</w:t>
      </w:r>
    </w:p>
    <w:p w14:paraId="746F1F33" w14:textId="77777777" w:rsidR="008E7A10" w:rsidRDefault="00E047B2">
      <w:r>
        <w:pict w14:anchorId="746F2033">
          <v:rect id="_x0000_i1069" style="width:415.3pt;height:1.5pt" o:hralign="center" o:hrstd="t" o:hr="t" fillcolor="#a0a0a0" stroked="f"/>
        </w:pict>
      </w:r>
    </w:p>
    <w:p w14:paraId="746F1F34" w14:textId="77777777" w:rsidR="008E7A10" w:rsidRDefault="008E7A10"/>
    <w:p w14:paraId="746F1F35" w14:textId="77777777" w:rsidR="008E7A10" w:rsidRDefault="00E047B2">
      <w:hyperlink r:id="rId113" w:anchor="i31a624617c6c41b38f8f700fa0df5bde_7" w:history="1">
        <w:r>
          <w:rPr>
            <w:rStyle w:val="a5"/>
            <w:rFonts w:ascii="sans-serif" w:eastAsia="sans-serif" w:hAnsi="sans-serif" w:cs="sans-serif"/>
            <w:sz w:val="17"/>
            <w:szCs w:val="17"/>
          </w:rPr>
          <w:t>Table of Contents</w:t>
        </w:r>
      </w:hyperlink>
    </w:p>
    <w:p w14:paraId="746F1F36" w14:textId="77777777" w:rsidR="008E7A10" w:rsidRDefault="008E7A10"/>
    <w:p w14:paraId="746F1F37" w14:textId="77777777" w:rsidR="008E7A10" w:rsidRDefault="00E047B2">
      <w:pPr>
        <w:spacing w:before="300" w:after="120"/>
      </w:pPr>
      <w:r>
        <w:rPr>
          <w:rFonts w:ascii="sans-serif" w:eastAsia="sans-serif" w:hAnsi="sans-serif" w:cs="sans-serif"/>
          <w:b/>
          <w:bCs/>
          <w:color w:val="E87722"/>
          <w:sz w:val="36"/>
          <w:szCs w:val="36"/>
        </w:rPr>
        <w:t>CRITICAL ACCOUNTING POLICIES</w:t>
      </w:r>
    </w:p>
    <w:p w14:paraId="746F1F38" w14:textId="77777777" w:rsidR="008E7A10" w:rsidRDefault="00E047B2">
      <w:pPr>
        <w:spacing w:before="120" w:after="120"/>
      </w:pPr>
      <w:r>
        <w:rPr>
          <w:rFonts w:ascii="Arial" w:eastAsia="宋体" w:hAnsi="Arial" w:cs="Arial"/>
          <w:color w:val="000000"/>
          <w:sz w:val="17"/>
          <w:szCs w:val="17"/>
        </w:rPr>
        <w:t>Our discussion and analysis of our financial condition a</w:t>
      </w:r>
      <w:r>
        <w:rPr>
          <w:rFonts w:ascii="Arial" w:eastAsia="宋体" w:hAnsi="Arial" w:cs="Arial"/>
          <w:color w:val="000000"/>
          <w:sz w:val="17"/>
          <w:szCs w:val="17"/>
        </w:rPr>
        <w:t>nd results of operations are based upon our Unaudited Condensed Consolidated Financial Statements, which have been prepared in accordance with accounting principles generally accepted in the United States of America. The preparation of these financial stat</w:t>
      </w:r>
      <w:r>
        <w:rPr>
          <w:rFonts w:ascii="Arial" w:eastAsia="宋体" w:hAnsi="Arial" w:cs="Arial"/>
          <w:color w:val="000000"/>
          <w:sz w:val="17"/>
          <w:szCs w:val="17"/>
        </w:rPr>
        <w:t xml:space="preserve">ements requires us to make estimates and judgments that affect the reported amounts of assets, liabilities, revenues and expenses and related disclosure of contingent assets and liabilities. </w:t>
      </w:r>
    </w:p>
    <w:p w14:paraId="746F1F39" w14:textId="77777777" w:rsidR="008E7A10" w:rsidRDefault="00E047B2">
      <w:pPr>
        <w:spacing w:before="120" w:after="120"/>
      </w:pPr>
      <w:r>
        <w:rPr>
          <w:rFonts w:ascii="Arial" w:eastAsia="宋体" w:hAnsi="Arial" w:cs="Arial"/>
          <w:color w:val="000000"/>
          <w:sz w:val="17"/>
          <w:szCs w:val="17"/>
        </w:rPr>
        <w:t>We believe that the estimates, assumptions and judgments involve</w:t>
      </w:r>
      <w:r>
        <w:rPr>
          <w:rFonts w:ascii="Arial" w:eastAsia="宋体" w:hAnsi="Arial" w:cs="Arial"/>
          <w:color w:val="000000"/>
          <w:sz w:val="17"/>
          <w:szCs w:val="17"/>
        </w:rPr>
        <w:t>d in the accounting policies described in the “Management's Discussion and Analysis of Financial Condition and Results of Operations” section of our most recent Annual Report on Form 10-K have the greatest potential impact on our financial statements, so w</w:t>
      </w:r>
      <w:r>
        <w:rPr>
          <w:rFonts w:ascii="Arial" w:eastAsia="宋体" w:hAnsi="Arial" w:cs="Arial"/>
          <w:color w:val="000000"/>
          <w:sz w:val="17"/>
          <w:szCs w:val="17"/>
        </w:rPr>
        <w:t>e consider these to be our critical accounting policies. Actual results could differ from the estimates we use in applying our critical accounting policies. We are not currently aware of any reasonably likely events or circumstances that would result in ma</w:t>
      </w:r>
      <w:r>
        <w:rPr>
          <w:rFonts w:ascii="Arial" w:eastAsia="宋体" w:hAnsi="Arial" w:cs="Arial"/>
          <w:color w:val="000000"/>
          <w:sz w:val="17"/>
          <w:szCs w:val="17"/>
        </w:rPr>
        <w:t>terially different amounts being reported.</w:t>
      </w:r>
    </w:p>
    <w:p w14:paraId="746F1F3A" w14:textId="77777777" w:rsidR="008E7A10" w:rsidRDefault="00E047B2">
      <w:pPr>
        <w:spacing w:before="120" w:after="120"/>
      </w:pPr>
      <w:r>
        <w:rPr>
          <w:rFonts w:ascii="Arial" w:eastAsia="宋体" w:hAnsi="Arial" w:cs="Arial"/>
          <w:color w:val="E87722"/>
          <w:sz w:val="17"/>
          <w:szCs w:val="17"/>
        </w:rPr>
        <w:t>44</w:t>
      </w:r>
      <w:r>
        <w:rPr>
          <w:rFonts w:ascii="sans-serif" w:eastAsia="sans-serif" w:hAnsi="sans-serif" w:cs="sans-serif"/>
          <w:color w:val="000000"/>
          <w:sz w:val="17"/>
          <w:szCs w:val="17"/>
        </w:rPr>
        <w:t xml:space="preserve"> </w:t>
      </w:r>
    </w:p>
    <w:p w14:paraId="746F1F3B" w14:textId="77777777" w:rsidR="008E7A10" w:rsidRDefault="00E047B2">
      <w:r>
        <w:pict w14:anchorId="746F2034">
          <v:rect id="_x0000_i1070" style="width:415.3pt;height:1.5pt" o:hralign="center" o:hrstd="t" o:hr="t" fillcolor="#a0a0a0" stroked="f"/>
        </w:pict>
      </w:r>
    </w:p>
    <w:p w14:paraId="746F1F3C" w14:textId="77777777" w:rsidR="008E7A10" w:rsidRDefault="008E7A10"/>
    <w:p w14:paraId="746F1F3D" w14:textId="77777777" w:rsidR="008E7A10" w:rsidRDefault="00E047B2">
      <w:hyperlink r:id="rId114" w:anchor="i31a624617c6c41b38f8f700fa0df5bde_7" w:history="1">
        <w:r>
          <w:rPr>
            <w:rStyle w:val="a5"/>
            <w:rFonts w:ascii="sans-serif" w:eastAsia="sans-serif" w:hAnsi="sans-serif" w:cs="sans-serif"/>
            <w:sz w:val="17"/>
            <w:szCs w:val="17"/>
          </w:rPr>
          <w:t>Table of Contents</w:t>
        </w:r>
      </w:hyperlink>
    </w:p>
    <w:p w14:paraId="746F1F3E" w14:textId="77777777" w:rsidR="008E7A10" w:rsidRDefault="008E7A10"/>
    <w:p w14:paraId="746F1F3F" w14:textId="77777777" w:rsidR="008E7A10" w:rsidRDefault="00E047B2">
      <w:pPr>
        <w:spacing w:before="360" w:after="180"/>
      </w:pPr>
      <w:r>
        <w:rPr>
          <w:rFonts w:ascii="sans-serif" w:eastAsia="sans-serif" w:hAnsi="sans-serif" w:cs="sans-serif"/>
          <w:color w:val="000000"/>
          <w:sz w:val="44"/>
          <w:szCs w:val="44"/>
        </w:rPr>
        <w:t>ITEM 3. QUANTITATIVE AND QUALITATIVE DISCLOSURES ABOUT MARKET RISK</w:t>
      </w:r>
    </w:p>
    <w:p w14:paraId="746F1F40" w14:textId="77777777" w:rsidR="008E7A10" w:rsidRDefault="00E047B2">
      <w:r>
        <w:rPr>
          <w:rFonts w:ascii="Arial" w:eastAsia="宋体" w:hAnsi="Arial" w:cs="Arial"/>
          <w:color w:val="000000"/>
          <w:sz w:val="17"/>
          <w:szCs w:val="17"/>
        </w:rPr>
        <w:t>There have been no</w:t>
      </w:r>
      <w:r>
        <w:rPr>
          <w:rFonts w:ascii="Arial" w:eastAsia="宋体" w:hAnsi="Arial" w:cs="Arial"/>
          <w:color w:val="000000"/>
          <w:sz w:val="17"/>
          <w:szCs w:val="17"/>
        </w:rPr>
        <w:t xml:space="preserve"> material changes from the information previously reported under Part II, Item 7A of our Annual Report on Form 10-K for the fiscal year ended May 31, 2020.</w:t>
      </w:r>
    </w:p>
    <w:p w14:paraId="746F1F41" w14:textId="77777777" w:rsidR="008E7A10" w:rsidRDefault="00E047B2">
      <w:pPr>
        <w:spacing w:before="360" w:after="180"/>
      </w:pPr>
      <w:r>
        <w:rPr>
          <w:rFonts w:ascii="sans-serif" w:eastAsia="sans-serif" w:hAnsi="sans-serif" w:cs="sans-serif"/>
          <w:color w:val="000000"/>
          <w:sz w:val="44"/>
          <w:szCs w:val="44"/>
        </w:rPr>
        <w:t>ITEM 4. CONTROLS AND PROCEDURES</w:t>
      </w:r>
    </w:p>
    <w:p w14:paraId="746F1F42" w14:textId="77777777" w:rsidR="008E7A10" w:rsidRDefault="00E047B2">
      <w:pPr>
        <w:spacing w:before="120" w:after="120"/>
      </w:pPr>
      <w:r>
        <w:rPr>
          <w:rFonts w:ascii="Arial" w:eastAsia="宋体" w:hAnsi="Arial" w:cs="Arial"/>
          <w:color w:val="000000"/>
          <w:sz w:val="17"/>
          <w:szCs w:val="17"/>
        </w:rPr>
        <w:t xml:space="preserve">We maintain disclosure controls and procedures that are designed to </w:t>
      </w:r>
      <w:r>
        <w:rPr>
          <w:rFonts w:ascii="Arial" w:eastAsia="宋体" w:hAnsi="Arial" w:cs="Arial"/>
          <w:color w:val="000000"/>
          <w:sz w:val="17"/>
          <w:szCs w:val="17"/>
        </w:rPr>
        <w:t>provide reasonable assurance that information required to be disclosed in our Securities Exchange Act of 1934, as amended ("the Exchange Act") reports is recorded, processed, summarized and reported within the time periods specified in the Securities and E</w:t>
      </w:r>
      <w:r>
        <w:rPr>
          <w:rFonts w:ascii="Arial" w:eastAsia="宋体" w:hAnsi="Arial" w:cs="Arial"/>
          <w:color w:val="000000"/>
          <w:sz w:val="17"/>
          <w:szCs w:val="17"/>
        </w:rPr>
        <w:t>xchange Commission's rules and forms and that such information is accumulated and communicated to our management, including our Chief Executive Officer and Chief Financial Officer, as appropriate, to allow for timely decisions regarding required disclosure</w:t>
      </w:r>
      <w:r>
        <w:rPr>
          <w:rFonts w:ascii="Arial" w:eastAsia="宋体" w:hAnsi="Arial" w:cs="Arial"/>
          <w:color w:val="000000"/>
          <w:sz w:val="17"/>
          <w:szCs w:val="17"/>
        </w:rPr>
        <w:t>. In designing and evaluating the disclosure controls and procedures, management recognizes that any controls and procedures, no matter how well designed and operated, can provide only reasonable assurance of achieving the desired control objectives, and m</w:t>
      </w:r>
      <w:r>
        <w:rPr>
          <w:rFonts w:ascii="Arial" w:eastAsia="宋体" w:hAnsi="Arial" w:cs="Arial"/>
          <w:color w:val="000000"/>
          <w:sz w:val="17"/>
          <w:szCs w:val="17"/>
        </w:rPr>
        <w:t>anagement is required to apply its judgment in evaluating the cost-benefit relationship of possible controls and procedures.</w:t>
      </w:r>
    </w:p>
    <w:p w14:paraId="746F1F43" w14:textId="77777777" w:rsidR="008E7A10" w:rsidRDefault="00E047B2">
      <w:pPr>
        <w:spacing w:before="120" w:after="120"/>
      </w:pPr>
      <w:r>
        <w:rPr>
          <w:rFonts w:ascii="Arial" w:eastAsia="宋体" w:hAnsi="Arial" w:cs="Arial"/>
          <w:color w:val="000000"/>
          <w:sz w:val="17"/>
          <w:szCs w:val="17"/>
        </w:rPr>
        <w:t xml:space="preserve">We carry out a variety of ongoing procedures, under the supervision and with the participation of our management, </w:t>
      </w:r>
      <w:r>
        <w:rPr>
          <w:rFonts w:ascii="Arial" w:eastAsia="宋体" w:hAnsi="Arial" w:cs="Arial"/>
          <w:color w:val="000000"/>
          <w:sz w:val="17"/>
          <w:szCs w:val="17"/>
        </w:rPr>
        <w:t>including our Chief Executive Officer and Chief Financial Officer, to evaluate the effectiveness of the design and operation of our disclosure controls and procedures. Based on the foregoing, our Chief Executive Officer and Chief Financial Officer conclude</w:t>
      </w:r>
      <w:r>
        <w:rPr>
          <w:rFonts w:ascii="Arial" w:eastAsia="宋体" w:hAnsi="Arial" w:cs="Arial"/>
          <w:color w:val="000000"/>
          <w:sz w:val="17"/>
          <w:szCs w:val="17"/>
        </w:rPr>
        <w:t>d that our disclosure controls and procedures were effective at the reasonable assurance level as of November 30, 2020.</w:t>
      </w:r>
    </w:p>
    <w:p w14:paraId="746F1F44" w14:textId="77777777" w:rsidR="008E7A10" w:rsidRDefault="00E047B2">
      <w:pPr>
        <w:spacing w:before="120" w:after="120"/>
      </w:pPr>
      <w:r>
        <w:rPr>
          <w:rFonts w:ascii="Arial" w:eastAsia="宋体" w:hAnsi="Arial" w:cs="Arial"/>
          <w:color w:val="000000"/>
          <w:sz w:val="17"/>
          <w:szCs w:val="17"/>
        </w:rPr>
        <w:t xml:space="preserve">We are continuing several transformation initiatives to centralize and simplify our business processes and systems. These are long-term </w:t>
      </w:r>
      <w:r>
        <w:rPr>
          <w:rFonts w:ascii="Arial" w:eastAsia="宋体" w:hAnsi="Arial" w:cs="Arial"/>
          <w:color w:val="000000"/>
          <w:sz w:val="17"/>
          <w:szCs w:val="17"/>
        </w:rPr>
        <w:t>initiatives, which we believe will enhance our internal control over financial reporting due to increased automation and further integration of related processes. We will continue to monitor our internal control over financial reporting for effectiveness t</w:t>
      </w:r>
      <w:r>
        <w:rPr>
          <w:rFonts w:ascii="Arial" w:eastAsia="宋体" w:hAnsi="Arial" w:cs="Arial"/>
          <w:color w:val="000000"/>
          <w:sz w:val="17"/>
          <w:szCs w:val="17"/>
        </w:rPr>
        <w:t>hroughout these transformation initiatives.</w:t>
      </w:r>
    </w:p>
    <w:p w14:paraId="746F1F45" w14:textId="77777777" w:rsidR="008E7A10" w:rsidRDefault="00E047B2">
      <w:pPr>
        <w:spacing w:before="120" w:after="120"/>
      </w:pPr>
      <w:r>
        <w:rPr>
          <w:rFonts w:ascii="Arial" w:eastAsia="宋体" w:hAnsi="Arial" w:cs="Arial"/>
          <w:color w:val="000000"/>
          <w:sz w:val="17"/>
          <w:szCs w:val="17"/>
        </w:rPr>
        <w:t>There have not been any changes in our internal control over financial reporting during our most recent fiscal quarter that have materially affected, or are reasonably likely to materially affect, our internal co</w:t>
      </w:r>
      <w:r>
        <w:rPr>
          <w:rFonts w:ascii="Arial" w:eastAsia="宋体" w:hAnsi="Arial" w:cs="Arial"/>
          <w:color w:val="000000"/>
          <w:sz w:val="17"/>
          <w:szCs w:val="17"/>
        </w:rPr>
        <w:t>ntrol over financial reporting.</w:t>
      </w:r>
    </w:p>
    <w:p w14:paraId="746F1F46" w14:textId="77777777" w:rsidR="008E7A10" w:rsidRDefault="00E047B2">
      <w:pPr>
        <w:spacing w:before="120" w:after="120"/>
        <w:jc w:val="right"/>
      </w:pPr>
      <w:r>
        <w:rPr>
          <w:rFonts w:ascii="Arial" w:eastAsia="宋体" w:hAnsi="Arial" w:cs="Arial"/>
          <w:color w:val="E87722"/>
          <w:sz w:val="17"/>
          <w:szCs w:val="17"/>
        </w:rPr>
        <w:t>45</w:t>
      </w:r>
    </w:p>
    <w:p w14:paraId="746F1F47" w14:textId="77777777" w:rsidR="008E7A10" w:rsidRDefault="00E047B2">
      <w:r>
        <w:pict w14:anchorId="746F2035">
          <v:rect id="_x0000_i1071" style="width:415.3pt;height:1.5pt" o:hralign="center" o:hrstd="t" o:hr="t" fillcolor="#a0a0a0" stroked="f"/>
        </w:pict>
      </w:r>
    </w:p>
    <w:p w14:paraId="746F1F48" w14:textId="77777777" w:rsidR="008E7A10" w:rsidRDefault="008E7A10"/>
    <w:p w14:paraId="746F1F49" w14:textId="77777777" w:rsidR="008E7A10" w:rsidRDefault="00E047B2">
      <w:hyperlink r:id="rId115" w:anchor="i31a624617c6c41b38f8f700fa0df5bde_7" w:history="1">
        <w:r>
          <w:rPr>
            <w:rStyle w:val="a5"/>
            <w:rFonts w:ascii="sans-serif" w:eastAsia="sans-serif" w:hAnsi="sans-serif" w:cs="sans-serif"/>
            <w:sz w:val="17"/>
            <w:szCs w:val="17"/>
          </w:rPr>
          <w:t>Table of Contents</w:t>
        </w:r>
      </w:hyperlink>
    </w:p>
    <w:p w14:paraId="746F1F4A" w14:textId="77777777" w:rsidR="008E7A10" w:rsidRDefault="008E7A10"/>
    <w:p w14:paraId="746F1F4B" w14:textId="77777777" w:rsidR="008E7A10" w:rsidRDefault="00E047B2">
      <w:pPr>
        <w:spacing w:before="360" w:after="180"/>
      </w:pPr>
      <w:r>
        <w:rPr>
          <w:rFonts w:ascii="sans-serif" w:eastAsia="sans-serif" w:hAnsi="sans-serif" w:cs="sans-serif"/>
          <w:color w:val="000000"/>
          <w:sz w:val="44"/>
          <w:szCs w:val="44"/>
        </w:rPr>
        <w:t>SPECIAL NOTE REGARDING FORWARD-LOOKING STATEMEN</w:t>
      </w:r>
      <w:r>
        <w:rPr>
          <w:rFonts w:ascii="sans-serif" w:eastAsia="sans-serif" w:hAnsi="sans-serif" w:cs="sans-serif"/>
          <w:color w:val="000000"/>
          <w:sz w:val="44"/>
          <w:szCs w:val="44"/>
        </w:rPr>
        <w:t>TS AND ANALYST REPORTS</w:t>
      </w:r>
    </w:p>
    <w:p w14:paraId="746F1F4C" w14:textId="77777777" w:rsidR="008E7A10" w:rsidRDefault="00E047B2">
      <w:pPr>
        <w:spacing w:before="120" w:after="120"/>
      </w:pPr>
      <w:r>
        <w:rPr>
          <w:rFonts w:ascii="Arial" w:eastAsia="宋体" w:hAnsi="Arial" w:cs="Arial"/>
          <w:color w:val="000000"/>
          <w:sz w:val="17"/>
          <w:szCs w:val="17"/>
        </w:rPr>
        <w:t>Certain written and oral statements, other than purely historic information, including estimates, projections, statements relating to NIKE’s business plans, objectives and expected operating results and the assumptions upon which tho</w:t>
      </w:r>
      <w:r>
        <w:rPr>
          <w:rFonts w:ascii="Arial" w:eastAsia="宋体" w:hAnsi="Arial" w:cs="Arial"/>
          <w:color w:val="000000"/>
          <w:sz w:val="17"/>
          <w:szCs w:val="17"/>
        </w:rPr>
        <w:t>se statements are based, made or incorporated by reference from time to time by NIKE or its representatives in this report, other reports, filings with the SEC, press releases, conferences or otherwise, are “forward-looking statements” within the meaning o</w:t>
      </w:r>
      <w:r>
        <w:rPr>
          <w:rFonts w:ascii="Arial" w:eastAsia="宋体" w:hAnsi="Arial" w:cs="Arial"/>
          <w:color w:val="000000"/>
          <w:sz w:val="17"/>
          <w:szCs w:val="17"/>
        </w:rPr>
        <w:t>f the Private Securities Litigation Reform Act of 1995 and Section 21E of the Securities Exchange Act of 1934, as amended. Forward-looking statements include, without limitation, any statement that may predict, forecast, indicate or imply future results, p</w:t>
      </w:r>
      <w:r>
        <w:rPr>
          <w:rFonts w:ascii="Arial" w:eastAsia="宋体" w:hAnsi="Arial" w:cs="Arial"/>
          <w:color w:val="000000"/>
          <w:sz w:val="17"/>
          <w:szCs w:val="17"/>
        </w:rPr>
        <w:t>erformance or achievements, and may contain the words “believe,” “anticipate,” “expect,” “estimate,” “project,” “will be,” “will continue,” “will likely result” or words or phrases of similar meaning. Forward-looking statements involve risks and uncertaint</w:t>
      </w:r>
      <w:r>
        <w:rPr>
          <w:rFonts w:ascii="Arial" w:eastAsia="宋体" w:hAnsi="Arial" w:cs="Arial"/>
          <w:color w:val="000000"/>
          <w:sz w:val="17"/>
          <w:szCs w:val="17"/>
        </w:rPr>
        <w:t>ies which may cause actual results to differ materially from the forward-looking statements. The risks and uncertainties are detailed from time to time in reports filed by NIKE with the SEC, including reports filed on Forms 8-K, 10-Q and 10-K, and include,</w:t>
      </w:r>
      <w:r>
        <w:rPr>
          <w:rFonts w:ascii="Arial" w:eastAsia="宋体" w:hAnsi="Arial" w:cs="Arial"/>
          <w:color w:val="000000"/>
          <w:sz w:val="17"/>
          <w:szCs w:val="17"/>
        </w:rPr>
        <w:t xml:space="preserve"> among others, the following: health epidemics, pandemics and similar outbreaks, including the COVID-19 pandemic; international, national and local political, civil, economic and market conditions; the size and growth of the overall athletic footwear, appa</w:t>
      </w:r>
      <w:r>
        <w:rPr>
          <w:rFonts w:ascii="Arial" w:eastAsia="宋体" w:hAnsi="Arial" w:cs="Arial"/>
          <w:color w:val="000000"/>
          <w:sz w:val="17"/>
          <w:szCs w:val="17"/>
        </w:rPr>
        <w:t>rel and equipment markets; intense competition among designers, marketers, distributors and sellers of athletic footwear, apparel and equipment for consumers and endorsers; demographic changes; changes in consumer preferences; popularity of particular desi</w:t>
      </w:r>
      <w:r>
        <w:rPr>
          <w:rFonts w:ascii="Arial" w:eastAsia="宋体" w:hAnsi="Arial" w:cs="Arial"/>
          <w:color w:val="000000"/>
          <w:sz w:val="17"/>
          <w:szCs w:val="17"/>
        </w:rPr>
        <w:t>gns, categories of products and sports; seasonal and geographic demand for NIKE products; difficulties in anticipating or forecasting changes in consumer preferences, consumer demand for NIKE products and the various market factors described above; difficu</w:t>
      </w:r>
      <w:r>
        <w:rPr>
          <w:rFonts w:ascii="Arial" w:eastAsia="宋体" w:hAnsi="Arial" w:cs="Arial"/>
          <w:color w:val="000000"/>
          <w:sz w:val="17"/>
          <w:szCs w:val="17"/>
        </w:rPr>
        <w:t>lties in implementing, operating and maintaining NIKE’s increasingly complex information technology systems and controls, including, without limitation, the systems related to demand and supply planning and inventory control; interruptions in data and info</w:t>
      </w:r>
      <w:r>
        <w:rPr>
          <w:rFonts w:ascii="Arial" w:eastAsia="宋体" w:hAnsi="Arial" w:cs="Arial"/>
          <w:color w:val="000000"/>
          <w:sz w:val="17"/>
          <w:szCs w:val="17"/>
        </w:rPr>
        <w:t>rmation technology systems; consumer data security; fluctuations and difficulty in forecasting operating results, including, without limitation, the fact that advance orders may not be indicative of future revenues due to changes in shipment timing, the ch</w:t>
      </w:r>
      <w:r>
        <w:rPr>
          <w:rFonts w:ascii="Arial" w:eastAsia="宋体" w:hAnsi="Arial" w:cs="Arial"/>
          <w:color w:val="000000"/>
          <w:sz w:val="17"/>
          <w:szCs w:val="17"/>
        </w:rPr>
        <w:t xml:space="preserve">anging mix of orders with shorter lead times, and discounts, order cancellations and returns; the ability of NIKE to sustain, manage or forecast its growth and inventories; the size, timing and mix of purchases of NIKE’s products; increases in the cost of </w:t>
      </w:r>
      <w:r>
        <w:rPr>
          <w:rFonts w:ascii="Arial" w:eastAsia="宋体" w:hAnsi="Arial" w:cs="Arial"/>
          <w:color w:val="000000"/>
          <w:sz w:val="17"/>
          <w:szCs w:val="17"/>
        </w:rPr>
        <w:t>materials, labor and energy used to manufacture products; new product development and introduction; the ability to secure and protect trademarks, patents and other intellectual property; product performance and quality; customer service; adverse publicity,</w:t>
      </w:r>
      <w:r>
        <w:rPr>
          <w:rFonts w:ascii="Arial" w:eastAsia="宋体" w:hAnsi="Arial" w:cs="Arial"/>
          <w:color w:val="000000"/>
          <w:sz w:val="17"/>
          <w:szCs w:val="17"/>
        </w:rPr>
        <w:t xml:space="preserve"> including without limitation, through social media or in connection with brand damaging events; the loss of significant customers or suppliers; dependence on distributors and licensees; business disruptions; increased costs of freight and transportation t</w:t>
      </w:r>
      <w:r>
        <w:rPr>
          <w:rFonts w:ascii="Arial" w:eastAsia="宋体" w:hAnsi="Arial" w:cs="Arial"/>
          <w:color w:val="000000"/>
          <w:sz w:val="17"/>
          <w:szCs w:val="17"/>
        </w:rPr>
        <w:t xml:space="preserve">o meet delivery deadlines; increases in borrowing costs due to any decline in NIKE’s debt ratings; changes in business strategy or development plans; general risks associated with doing business outside of the United States, including, without limitation, </w:t>
      </w:r>
      <w:r>
        <w:rPr>
          <w:rFonts w:ascii="Arial" w:eastAsia="宋体" w:hAnsi="Arial" w:cs="Arial"/>
          <w:color w:val="000000"/>
          <w:sz w:val="17"/>
          <w:szCs w:val="17"/>
        </w:rPr>
        <w:t>exchange rate fluctuations, inflation, import duties, tariffs, quotas, political and economic instability and terrorism; the potential impact of new laws, regulations or policy, including, without limitation, tariffs, import/export, trade and immigration r</w:t>
      </w:r>
      <w:r>
        <w:rPr>
          <w:rFonts w:ascii="Arial" w:eastAsia="宋体" w:hAnsi="Arial" w:cs="Arial"/>
          <w:color w:val="000000"/>
          <w:sz w:val="17"/>
          <w:szCs w:val="17"/>
        </w:rPr>
        <w:t xml:space="preserve">egulations or policies; changes in government regulations; the impact of, including business and legal developments relating to, climate change and natural disasters; litigation, regulatory proceedings, sanctions or any other claims asserted against NIKE; </w:t>
      </w:r>
      <w:r>
        <w:rPr>
          <w:rFonts w:ascii="Arial" w:eastAsia="宋体" w:hAnsi="Arial" w:cs="Arial"/>
          <w:color w:val="000000"/>
          <w:sz w:val="17"/>
          <w:szCs w:val="17"/>
        </w:rPr>
        <w:t>the ability to attract and retain qualified employees, and any negative public perception with respect to key personnel or our corporate culture, values or purpose; the effects of NIKE’s decision to invest in or divest of businesses and other factors refer</w:t>
      </w:r>
      <w:r>
        <w:rPr>
          <w:rFonts w:ascii="Arial" w:eastAsia="宋体" w:hAnsi="Arial" w:cs="Arial"/>
          <w:color w:val="000000"/>
          <w:sz w:val="17"/>
          <w:szCs w:val="17"/>
        </w:rPr>
        <w:t>enced or incorporated by reference in this report and other reports.</w:t>
      </w:r>
    </w:p>
    <w:p w14:paraId="746F1F4D" w14:textId="77777777" w:rsidR="008E7A10" w:rsidRDefault="00E047B2">
      <w:pPr>
        <w:spacing w:before="120" w:after="120"/>
      </w:pPr>
      <w:r>
        <w:rPr>
          <w:rFonts w:ascii="Arial" w:eastAsia="宋体" w:hAnsi="Arial" w:cs="Arial"/>
          <w:color w:val="E87722"/>
          <w:sz w:val="17"/>
          <w:szCs w:val="17"/>
        </w:rPr>
        <w:t>46</w:t>
      </w:r>
      <w:r>
        <w:rPr>
          <w:rFonts w:ascii="sans-serif" w:eastAsia="sans-serif" w:hAnsi="sans-serif" w:cs="sans-serif"/>
          <w:color w:val="000000"/>
          <w:sz w:val="17"/>
          <w:szCs w:val="17"/>
        </w:rPr>
        <w:t xml:space="preserve"> </w:t>
      </w:r>
    </w:p>
    <w:p w14:paraId="746F1F4E" w14:textId="77777777" w:rsidR="008E7A10" w:rsidRDefault="00E047B2">
      <w:r>
        <w:pict w14:anchorId="746F2036">
          <v:rect id="_x0000_i1072" style="width:415.3pt;height:1.5pt" o:hralign="center" o:hrstd="t" o:hr="t" fillcolor="#a0a0a0" stroked="f"/>
        </w:pict>
      </w:r>
    </w:p>
    <w:p w14:paraId="746F1F4F" w14:textId="77777777" w:rsidR="008E7A10" w:rsidRDefault="008E7A10"/>
    <w:p w14:paraId="746F1F50" w14:textId="77777777" w:rsidR="008E7A10" w:rsidRDefault="00E047B2">
      <w:hyperlink r:id="rId116" w:anchor="i31a624617c6c41b38f8f700fa0df5bde_7" w:history="1">
        <w:r>
          <w:rPr>
            <w:rStyle w:val="a5"/>
            <w:rFonts w:ascii="sans-serif" w:eastAsia="sans-serif" w:hAnsi="sans-serif" w:cs="sans-serif"/>
            <w:sz w:val="17"/>
            <w:szCs w:val="17"/>
          </w:rPr>
          <w:t>Table of Contents</w:t>
        </w:r>
      </w:hyperlink>
    </w:p>
    <w:p w14:paraId="746F1F51" w14:textId="77777777" w:rsidR="008E7A10" w:rsidRDefault="008E7A10"/>
    <w:p w14:paraId="746F1F52" w14:textId="77777777" w:rsidR="008E7A10" w:rsidRDefault="00E047B2">
      <w:pPr>
        <w:spacing w:after="420"/>
      </w:pPr>
      <w:r>
        <w:rPr>
          <w:rFonts w:ascii="sans-serif" w:eastAsia="sans-serif" w:hAnsi="sans-serif" w:cs="sans-serif"/>
          <w:color w:val="E87722"/>
          <w:sz w:val="68"/>
          <w:szCs w:val="68"/>
        </w:rPr>
        <w:t>PART II -</w:t>
      </w:r>
      <w:r>
        <w:rPr>
          <w:rFonts w:ascii="sans-serif" w:eastAsia="sans-serif" w:hAnsi="sans-serif" w:cs="sans-serif"/>
          <w:color w:val="E87722"/>
          <w:sz w:val="68"/>
          <w:szCs w:val="68"/>
        </w:rPr>
        <w:t xml:space="preserve"> OTHER INFORMATION</w:t>
      </w:r>
    </w:p>
    <w:p w14:paraId="746F1F53" w14:textId="77777777" w:rsidR="008E7A10" w:rsidRDefault="00E047B2">
      <w:pPr>
        <w:spacing w:before="360" w:after="180"/>
      </w:pPr>
      <w:r>
        <w:rPr>
          <w:rFonts w:ascii="sans-serif" w:eastAsia="sans-serif" w:hAnsi="sans-serif" w:cs="sans-serif"/>
          <w:color w:val="000000"/>
          <w:sz w:val="44"/>
          <w:szCs w:val="44"/>
        </w:rPr>
        <w:t>ITEM 1. LEGAL PROCEEDINGS</w:t>
      </w:r>
    </w:p>
    <w:p w14:paraId="746F1F54" w14:textId="77777777" w:rsidR="008E7A10" w:rsidRDefault="00E047B2">
      <w:pPr>
        <w:spacing w:before="120" w:after="120"/>
      </w:pPr>
      <w:r>
        <w:rPr>
          <w:rFonts w:ascii="Arial" w:eastAsia="宋体" w:hAnsi="Arial" w:cs="Arial"/>
          <w:color w:val="000000"/>
          <w:sz w:val="17"/>
          <w:szCs w:val="17"/>
        </w:rPr>
        <w:t>There have been no material developments with respect to the information previously reported under Part I, Item 3 of our Annual Report on Form 10-K for the fiscal year ended May 31, 2020.</w:t>
      </w:r>
    </w:p>
    <w:p w14:paraId="746F1F55" w14:textId="77777777" w:rsidR="008E7A10" w:rsidRDefault="00E047B2">
      <w:pPr>
        <w:spacing w:before="360" w:after="180"/>
      </w:pPr>
      <w:r>
        <w:rPr>
          <w:rFonts w:ascii="sans-serif" w:eastAsia="sans-serif" w:hAnsi="sans-serif" w:cs="sans-serif"/>
          <w:color w:val="000000"/>
          <w:sz w:val="44"/>
          <w:szCs w:val="44"/>
        </w:rPr>
        <w:t xml:space="preserve">ITEM 1A. RISK </w:t>
      </w:r>
      <w:r>
        <w:rPr>
          <w:rFonts w:ascii="sans-serif" w:eastAsia="sans-serif" w:hAnsi="sans-serif" w:cs="sans-serif"/>
          <w:color w:val="000000"/>
          <w:sz w:val="44"/>
          <w:szCs w:val="44"/>
        </w:rPr>
        <w:t>FACTORS</w:t>
      </w:r>
    </w:p>
    <w:p w14:paraId="746F1F56" w14:textId="77777777" w:rsidR="008E7A10" w:rsidRDefault="00E047B2">
      <w:pPr>
        <w:spacing w:before="120" w:after="120"/>
      </w:pPr>
      <w:r>
        <w:rPr>
          <w:rFonts w:ascii="Arial" w:eastAsia="宋体" w:hAnsi="Arial" w:cs="Arial"/>
          <w:color w:val="000000"/>
          <w:sz w:val="17"/>
          <w:szCs w:val="17"/>
        </w:rPr>
        <w:t>There have been no material changes in our risk factors from those disclosed in Part I, Item 1A of our Annual Report on Form 10-K for the fiscal year ended May 31, 2020.</w:t>
      </w:r>
    </w:p>
    <w:p w14:paraId="746F1F57" w14:textId="77777777" w:rsidR="008E7A10" w:rsidRDefault="00E047B2">
      <w:pPr>
        <w:spacing w:before="120" w:after="120"/>
        <w:jc w:val="right"/>
      </w:pPr>
      <w:r>
        <w:rPr>
          <w:rFonts w:ascii="Arial" w:eastAsia="宋体" w:hAnsi="Arial" w:cs="Arial"/>
          <w:color w:val="E87722"/>
          <w:sz w:val="17"/>
          <w:szCs w:val="17"/>
        </w:rPr>
        <w:t>47</w:t>
      </w:r>
    </w:p>
    <w:p w14:paraId="746F1F58" w14:textId="77777777" w:rsidR="008E7A10" w:rsidRDefault="00E047B2">
      <w:r>
        <w:pict w14:anchorId="746F2037">
          <v:rect id="_x0000_i1073" style="width:415.3pt;height:1.5pt" o:hralign="center" o:hrstd="t" o:hr="t" fillcolor="#a0a0a0" stroked="f"/>
        </w:pict>
      </w:r>
    </w:p>
    <w:p w14:paraId="746F1F59" w14:textId="77777777" w:rsidR="008E7A10" w:rsidRDefault="008E7A10"/>
    <w:p w14:paraId="746F1F5A" w14:textId="77777777" w:rsidR="008E7A10" w:rsidRDefault="00E047B2">
      <w:hyperlink r:id="rId117" w:anchor="i31a624617c6c41b38f8f700fa0df5bde_7" w:history="1">
        <w:r>
          <w:rPr>
            <w:rStyle w:val="a5"/>
            <w:rFonts w:ascii="sans-serif" w:eastAsia="sans-serif" w:hAnsi="sans-serif" w:cs="sans-serif"/>
            <w:sz w:val="17"/>
            <w:szCs w:val="17"/>
          </w:rPr>
          <w:t>Table of Contents</w:t>
        </w:r>
      </w:hyperlink>
    </w:p>
    <w:p w14:paraId="746F1F5B" w14:textId="77777777" w:rsidR="008E7A10" w:rsidRDefault="008E7A10"/>
    <w:p w14:paraId="746F1F5C" w14:textId="77777777" w:rsidR="008E7A10" w:rsidRDefault="00E047B2">
      <w:pPr>
        <w:spacing w:before="360" w:after="180"/>
      </w:pPr>
      <w:r>
        <w:rPr>
          <w:rFonts w:ascii="sans-serif" w:eastAsia="sans-serif" w:hAnsi="sans-serif" w:cs="sans-serif"/>
          <w:color w:val="000000"/>
          <w:sz w:val="44"/>
          <w:szCs w:val="44"/>
        </w:rPr>
        <w:t>ITEM 2. UNREGISTERED SALES OF EQUITY SECURITIES AND USE OF PROCEEDS</w:t>
      </w:r>
    </w:p>
    <w:p w14:paraId="746F1F5D" w14:textId="77777777" w:rsidR="008E7A10" w:rsidRDefault="00E047B2">
      <w:r>
        <w:rPr>
          <w:rFonts w:ascii="Arial" w:eastAsia="宋体" w:hAnsi="Arial" w:cs="Arial"/>
          <w:color w:val="000000"/>
          <w:sz w:val="17"/>
          <w:szCs w:val="17"/>
        </w:rPr>
        <w:t>In June 2018, the</w:t>
      </w:r>
      <w:r>
        <w:rPr>
          <w:rFonts w:ascii="Arial" w:eastAsia="宋体" w:hAnsi="Arial" w:cs="Arial"/>
          <w:color w:val="000000"/>
          <w:sz w:val="17"/>
          <w:szCs w:val="17"/>
        </w:rPr>
        <w:t xml:space="preserve"> Board of Directors approved a four-year, $15 billion share repurchase program. As of November 30, 2020, the Company had repurchased 45.2 million shares at an average price of $89.00 per share for a total approximate cost of $4.0 billion under this program</w:t>
      </w:r>
      <w:r>
        <w:rPr>
          <w:rFonts w:ascii="Arial" w:eastAsia="宋体" w:hAnsi="Arial" w:cs="Arial"/>
          <w:color w:val="000000"/>
          <w:sz w:val="17"/>
          <w:szCs w:val="17"/>
        </w:rPr>
        <w:t>. To enhance our liquidity position in response to COVID-19, during the fourth quarter of fiscal 2020, we elected to temporarily suspend share repurchases under our existing share repurchase program. As such, there were no share repurchases made during the</w:t>
      </w:r>
      <w:r>
        <w:rPr>
          <w:rFonts w:ascii="Arial" w:eastAsia="宋体" w:hAnsi="Arial" w:cs="Arial"/>
          <w:color w:val="000000"/>
          <w:sz w:val="17"/>
          <w:szCs w:val="17"/>
        </w:rPr>
        <w:t xml:space="preserve"> quarter ended November 30, 2020. The existing program remains authorized by the Board of Directors and we may resume share repurchases in the future at any time, depending upon market conditions, our capital needs and other factors.</w:t>
      </w:r>
    </w:p>
    <w:p w14:paraId="746F1F5E" w14:textId="77777777" w:rsidR="008E7A10" w:rsidRDefault="00E047B2">
      <w:pPr>
        <w:spacing w:before="120" w:after="120"/>
      </w:pPr>
      <w:r>
        <w:rPr>
          <w:rFonts w:ascii="Arial" w:eastAsia="宋体" w:hAnsi="Arial" w:cs="Arial"/>
          <w:color w:val="E87722"/>
          <w:sz w:val="17"/>
          <w:szCs w:val="17"/>
        </w:rPr>
        <w:t>48</w:t>
      </w:r>
      <w:r>
        <w:rPr>
          <w:rFonts w:ascii="sans-serif" w:eastAsia="sans-serif" w:hAnsi="sans-serif" w:cs="sans-serif"/>
          <w:color w:val="000000"/>
          <w:sz w:val="17"/>
          <w:szCs w:val="17"/>
        </w:rPr>
        <w:t xml:space="preserve"> </w:t>
      </w:r>
    </w:p>
    <w:p w14:paraId="746F1F5F" w14:textId="77777777" w:rsidR="008E7A10" w:rsidRDefault="00E047B2">
      <w:r>
        <w:pict w14:anchorId="746F2038">
          <v:rect id="_x0000_i1074" style="width:415.3pt;height:1.5pt" o:hralign="center" o:hrstd="t" o:hr="t" fillcolor="#a0a0a0" stroked="f"/>
        </w:pict>
      </w:r>
    </w:p>
    <w:p w14:paraId="746F1F60" w14:textId="77777777" w:rsidR="008E7A10" w:rsidRDefault="008E7A10"/>
    <w:p w14:paraId="746F1F61" w14:textId="77777777" w:rsidR="008E7A10" w:rsidRDefault="00E047B2">
      <w:hyperlink r:id="rId118" w:anchor="i31a624617c6c41b38f8f700fa0df5bde_7" w:history="1">
        <w:r>
          <w:rPr>
            <w:rStyle w:val="a5"/>
            <w:rFonts w:ascii="sans-serif" w:eastAsia="sans-serif" w:hAnsi="sans-serif" w:cs="sans-serif"/>
            <w:sz w:val="17"/>
            <w:szCs w:val="17"/>
          </w:rPr>
          <w:t>Table of Contents</w:t>
        </w:r>
      </w:hyperlink>
    </w:p>
    <w:p w14:paraId="746F1F62" w14:textId="77777777" w:rsidR="008E7A10" w:rsidRDefault="008E7A10"/>
    <w:p w14:paraId="746F1F63" w14:textId="77777777" w:rsidR="008E7A10" w:rsidRDefault="00E047B2">
      <w:pPr>
        <w:spacing w:before="360" w:after="180"/>
      </w:pPr>
      <w:r>
        <w:rPr>
          <w:rFonts w:ascii="sans-serif" w:eastAsia="sans-serif" w:hAnsi="sans-serif" w:cs="sans-serif"/>
          <w:color w:val="000000"/>
          <w:sz w:val="44"/>
          <w:szCs w:val="44"/>
        </w:rPr>
        <w:t>ITEM 6. EXHIBITS</w:t>
      </w:r>
    </w:p>
    <w:p w14:paraId="746F1F64" w14:textId="77777777" w:rsidR="008E7A10" w:rsidRDefault="00E047B2">
      <w:pPr>
        <w:spacing w:before="120" w:after="120"/>
      </w:pPr>
      <w:r>
        <w:rPr>
          <w:rFonts w:ascii="Arial" w:eastAsia="宋体" w:hAnsi="Arial" w:cs="Arial"/>
          <w:color w:val="000000"/>
          <w:sz w:val="17"/>
          <w:szCs w:val="17"/>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1"/>
        <w:gridCol w:w="753"/>
        <w:gridCol w:w="36"/>
        <w:gridCol w:w="69"/>
        <w:gridCol w:w="7370"/>
        <w:gridCol w:w="37"/>
      </w:tblGrid>
      <w:tr w:rsidR="008E7A10" w14:paraId="746F1F6B" w14:textId="77777777">
        <w:tc>
          <w:tcPr>
            <w:tcW w:w="50" w:type="pct"/>
            <w:shd w:val="clear" w:color="auto" w:fill="auto"/>
          </w:tcPr>
          <w:p w14:paraId="746F1F65" w14:textId="77777777" w:rsidR="008E7A10" w:rsidRDefault="008E7A10">
            <w:pPr>
              <w:rPr>
                <w:rFonts w:ascii="宋体"/>
              </w:rPr>
            </w:pPr>
          </w:p>
        </w:tc>
        <w:tc>
          <w:tcPr>
            <w:tcW w:w="461" w:type="pct"/>
            <w:shd w:val="clear" w:color="auto" w:fill="auto"/>
          </w:tcPr>
          <w:p w14:paraId="746F1F66" w14:textId="77777777" w:rsidR="008E7A10" w:rsidRDefault="008E7A10">
            <w:pPr>
              <w:rPr>
                <w:rFonts w:ascii="宋体"/>
              </w:rPr>
            </w:pPr>
          </w:p>
        </w:tc>
        <w:tc>
          <w:tcPr>
            <w:tcW w:w="5" w:type="pct"/>
            <w:shd w:val="clear" w:color="auto" w:fill="auto"/>
          </w:tcPr>
          <w:p w14:paraId="746F1F67" w14:textId="77777777" w:rsidR="008E7A10" w:rsidRDefault="008E7A10">
            <w:pPr>
              <w:rPr>
                <w:rFonts w:ascii="宋体"/>
              </w:rPr>
            </w:pPr>
          </w:p>
        </w:tc>
        <w:tc>
          <w:tcPr>
            <w:tcW w:w="50" w:type="pct"/>
            <w:shd w:val="clear" w:color="auto" w:fill="auto"/>
          </w:tcPr>
          <w:p w14:paraId="746F1F68" w14:textId="77777777" w:rsidR="008E7A10" w:rsidRDefault="008E7A10">
            <w:pPr>
              <w:rPr>
                <w:rFonts w:ascii="宋体"/>
              </w:rPr>
            </w:pPr>
          </w:p>
        </w:tc>
        <w:tc>
          <w:tcPr>
            <w:tcW w:w="4428" w:type="pct"/>
            <w:shd w:val="clear" w:color="auto" w:fill="auto"/>
          </w:tcPr>
          <w:p w14:paraId="746F1F69" w14:textId="77777777" w:rsidR="008E7A10" w:rsidRDefault="008E7A10">
            <w:pPr>
              <w:rPr>
                <w:rFonts w:ascii="宋体"/>
              </w:rPr>
            </w:pPr>
          </w:p>
        </w:tc>
        <w:tc>
          <w:tcPr>
            <w:tcW w:w="5" w:type="pct"/>
            <w:shd w:val="clear" w:color="auto" w:fill="auto"/>
          </w:tcPr>
          <w:p w14:paraId="746F1F6A" w14:textId="77777777" w:rsidR="008E7A10" w:rsidRDefault="008E7A10">
            <w:pPr>
              <w:rPr>
                <w:rFonts w:ascii="宋体"/>
              </w:rPr>
            </w:pPr>
          </w:p>
        </w:tc>
      </w:tr>
      <w:tr w:rsidR="008E7A10" w14:paraId="746F1F6E" w14:textId="77777777">
        <w:trPr>
          <w:trHeight w:val="240"/>
        </w:trPr>
        <w:tc>
          <w:tcPr>
            <w:tcW w:w="0" w:type="auto"/>
            <w:gridSpan w:val="3"/>
            <w:shd w:val="clear" w:color="auto" w:fill="auto"/>
            <w:tcMar>
              <w:top w:w="0" w:type="dxa"/>
              <w:left w:w="20" w:type="dxa"/>
              <w:bottom w:w="0" w:type="dxa"/>
              <w:right w:w="20" w:type="dxa"/>
            </w:tcMar>
          </w:tcPr>
          <w:p w14:paraId="746F1F6C" w14:textId="77777777" w:rsidR="008E7A10" w:rsidRDefault="008E7A10">
            <w:pPr>
              <w:rPr>
                <w:rFonts w:ascii="宋体"/>
              </w:rPr>
            </w:pPr>
          </w:p>
        </w:tc>
        <w:tc>
          <w:tcPr>
            <w:tcW w:w="0" w:type="auto"/>
            <w:gridSpan w:val="3"/>
            <w:shd w:val="clear" w:color="auto" w:fill="auto"/>
            <w:tcMar>
              <w:top w:w="0" w:type="dxa"/>
              <w:left w:w="20" w:type="dxa"/>
              <w:bottom w:w="0" w:type="dxa"/>
              <w:right w:w="20" w:type="dxa"/>
            </w:tcMar>
          </w:tcPr>
          <w:p w14:paraId="746F1F6D" w14:textId="77777777" w:rsidR="008E7A10" w:rsidRDefault="008E7A10">
            <w:pPr>
              <w:rPr>
                <w:rFonts w:ascii="宋体"/>
              </w:rPr>
            </w:pPr>
          </w:p>
        </w:tc>
      </w:tr>
      <w:tr w:rsidR="008E7A10" w14:paraId="746F1F71" w14:textId="77777777">
        <w:tc>
          <w:tcPr>
            <w:tcW w:w="0" w:type="auto"/>
            <w:gridSpan w:val="3"/>
            <w:tcBorders>
              <w:top w:val="single" w:sz="8" w:space="0" w:color="E87722"/>
            </w:tcBorders>
            <w:shd w:val="clear" w:color="auto" w:fill="auto"/>
            <w:tcMar>
              <w:top w:w="40" w:type="dxa"/>
              <w:left w:w="20" w:type="dxa"/>
              <w:bottom w:w="40" w:type="dxa"/>
              <w:right w:w="20" w:type="dxa"/>
            </w:tcMar>
          </w:tcPr>
          <w:p w14:paraId="746F1F6F" w14:textId="77777777" w:rsidR="008E7A10" w:rsidRDefault="00E047B2">
            <w:pPr>
              <w:textAlignment w:val="top"/>
            </w:pPr>
            <w:r>
              <w:rPr>
                <w:rFonts w:ascii="Arial" w:eastAsia="宋体" w:hAnsi="Arial" w:cs="Arial"/>
                <w:b/>
                <w:bCs/>
                <w:color w:val="000000"/>
                <w:sz w:val="17"/>
                <w:szCs w:val="17"/>
              </w:rPr>
              <w:t>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F70" w14:textId="77777777" w:rsidR="008E7A10" w:rsidRDefault="00E047B2">
            <w:pPr>
              <w:textAlignment w:val="bottom"/>
            </w:pPr>
            <w:r>
              <w:rPr>
                <w:rFonts w:ascii="Arial" w:eastAsia="宋体" w:hAnsi="Arial" w:cs="Arial"/>
                <w:b/>
                <w:bCs/>
                <w:color w:val="000000"/>
                <w:sz w:val="17"/>
                <w:szCs w:val="17"/>
              </w:rPr>
              <w:t>Exhibits:</w:t>
            </w:r>
          </w:p>
        </w:tc>
      </w:tr>
      <w:tr w:rsidR="008E7A10" w14:paraId="746F1F74" w14:textId="77777777">
        <w:tc>
          <w:tcPr>
            <w:tcW w:w="0" w:type="auto"/>
            <w:gridSpan w:val="3"/>
            <w:tcBorders>
              <w:top w:val="single" w:sz="8" w:space="0" w:color="E87722"/>
            </w:tcBorders>
            <w:shd w:val="clear" w:color="auto" w:fill="auto"/>
            <w:tcMar>
              <w:top w:w="40" w:type="dxa"/>
              <w:left w:w="20" w:type="dxa"/>
              <w:bottom w:w="40" w:type="dxa"/>
              <w:right w:w="20" w:type="dxa"/>
            </w:tcMar>
          </w:tcPr>
          <w:p w14:paraId="746F1F72" w14:textId="77777777" w:rsidR="008E7A10" w:rsidRDefault="00E047B2">
            <w:pPr>
              <w:textAlignment w:val="top"/>
            </w:pPr>
            <w:r>
              <w:rPr>
                <w:rFonts w:ascii="Arial" w:eastAsia="宋体" w:hAnsi="Arial" w:cs="Arial"/>
                <w:color w:val="000000"/>
                <w:sz w:val="17"/>
                <w:szCs w:val="17"/>
              </w:rPr>
              <w:t>3.1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746F1F73" w14:textId="77777777" w:rsidR="008E7A10" w:rsidRDefault="00E047B2">
            <w:pPr>
              <w:textAlignment w:val="bottom"/>
            </w:pPr>
            <w:hyperlink r:id="rId119"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8E7A10" w14:paraId="746F1F77"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75" w14:textId="77777777" w:rsidR="008E7A10" w:rsidRDefault="00E047B2">
            <w:pPr>
              <w:textAlignment w:val="top"/>
            </w:pPr>
            <w:r>
              <w:rPr>
                <w:rFonts w:ascii="Arial" w:eastAsia="宋体" w:hAnsi="Arial" w:cs="Arial"/>
                <w:color w:val="000000"/>
                <w:sz w:val="17"/>
                <w:szCs w:val="17"/>
              </w:rPr>
              <w:t>3.2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76" w14:textId="77777777" w:rsidR="008E7A10" w:rsidRDefault="00E047B2">
            <w:pPr>
              <w:textAlignment w:val="bottom"/>
            </w:pPr>
            <w:hyperlink r:id="rId120" w:history="1">
              <w:r>
                <w:rPr>
                  <w:rStyle w:val="a5"/>
                  <w:rFonts w:ascii="Arial" w:eastAsia="宋体" w:hAnsi="Arial" w:cs="Arial"/>
                  <w:color w:val="000000"/>
                  <w:sz w:val="17"/>
                  <w:szCs w:val="17"/>
                  <w:u w:val="none"/>
                </w:rPr>
                <w:t>Fifth Restated Bylaws, as amended (incorporated by reference to Exhibit 3.1 to the Company's Current Report on Form 8-</w:t>
              </w:r>
              <w:r>
                <w:rPr>
                  <w:rStyle w:val="a5"/>
                  <w:rFonts w:ascii="Arial" w:eastAsia="宋体" w:hAnsi="Arial" w:cs="Arial"/>
                  <w:color w:val="000000"/>
                  <w:sz w:val="17"/>
                  <w:szCs w:val="17"/>
                  <w:u w:val="none"/>
                </w:rPr>
                <w:t>K filed June 19, 2020).</w:t>
              </w:r>
            </w:hyperlink>
          </w:p>
        </w:tc>
      </w:tr>
      <w:tr w:rsidR="008E7A10" w14:paraId="746F1F7A"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78" w14:textId="77777777" w:rsidR="008E7A10" w:rsidRDefault="00E047B2">
            <w:pPr>
              <w:textAlignment w:val="top"/>
            </w:pPr>
            <w:r>
              <w:rPr>
                <w:rFonts w:ascii="Arial" w:eastAsia="宋体" w:hAnsi="Arial" w:cs="Arial"/>
                <w:color w:val="000000"/>
                <w:sz w:val="17"/>
                <w:szCs w:val="17"/>
              </w:rPr>
              <w:t>4.1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79" w14:textId="77777777" w:rsidR="008E7A10" w:rsidRDefault="00E047B2">
            <w:pPr>
              <w:textAlignment w:val="bottom"/>
            </w:pPr>
            <w:hyperlink r:id="rId121" w:history="1">
              <w:r>
                <w:rPr>
                  <w:rStyle w:val="a5"/>
                  <w:rFonts w:ascii="Arial" w:eastAsia="宋体" w:hAnsi="Arial" w:cs="Arial"/>
                  <w:color w:val="000000"/>
                  <w:sz w:val="17"/>
                  <w:szCs w:val="17"/>
                  <w:u w:val="none"/>
                </w:rPr>
                <w:t>Restated Articles of Incorporation, as amended (see Exhibit 3.1).</w:t>
              </w:r>
            </w:hyperlink>
          </w:p>
        </w:tc>
      </w:tr>
      <w:tr w:rsidR="008E7A10" w14:paraId="746F1F7D"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7B" w14:textId="77777777" w:rsidR="008E7A10" w:rsidRDefault="00E047B2">
            <w:pPr>
              <w:textAlignment w:val="top"/>
            </w:pPr>
            <w:r>
              <w:rPr>
                <w:rFonts w:ascii="Arial" w:eastAsia="宋体" w:hAnsi="Arial" w:cs="Arial"/>
                <w:color w:val="000000"/>
                <w:sz w:val="17"/>
                <w:szCs w:val="17"/>
              </w:rPr>
              <w:t>4.2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7C" w14:textId="77777777" w:rsidR="008E7A10" w:rsidRDefault="00E047B2">
            <w:pPr>
              <w:textAlignment w:val="bottom"/>
            </w:pPr>
            <w:hyperlink r:id="rId122" w:history="1">
              <w:r>
                <w:rPr>
                  <w:rStyle w:val="a5"/>
                  <w:rFonts w:ascii="Arial" w:eastAsia="宋体" w:hAnsi="Arial" w:cs="Arial"/>
                  <w:color w:val="000000"/>
                  <w:sz w:val="17"/>
                  <w:szCs w:val="17"/>
                  <w:u w:val="none"/>
                </w:rPr>
                <w:t>Fifth Restated Bylaws, as amended (see Exhibit 3.2).</w:t>
              </w:r>
            </w:hyperlink>
          </w:p>
        </w:tc>
      </w:tr>
      <w:tr w:rsidR="008E7A10" w14:paraId="746F1F80"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7E" w14:textId="77777777" w:rsidR="008E7A10" w:rsidRDefault="00E047B2">
            <w:pPr>
              <w:textAlignment w:val="top"/>
            </w:pPr>
            <w:r>
              <w:rPr>
                <w:rFonts w:ascii="Arial" w:eastAsia="宋体" w:hAnsi="Arial" w:cs="Arial"/>
                <w:color w:val="000000"/>
                <w:sz w:val="17"/>
                <w:szCs w:val="17"/>
              </w:rPr>
              <w:t>10.1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7F" w14:textId="77777777" w:rsidR="008E7A10" w:rsidRDefault="00E047B2">
            <w:pPr>
              <w:textAlignment w:val="bottom"/>
            </w:pPr>
            <w:hyperlink r:id="rId123" w:history="1">
              <w:r>
                <w:rPr>
                  <w:rStyle w:val="a5"/>
                  <w:rFonts w:ascii="Arial" w:eastAsia="宋体" w:hAnsi="Arial" w:cs="Arial"/>
                  <w:color w:val="000000"/>
                  <w:sz w:val="16"/>
                  <w:szCs w:val="16"/>
                  <w:u w:val="none"/>
                </w:rPr>
                <w:t>NIKE, Inc. Stock Incentive Plan (incorporated by reference to Exhibit 10.1 to the Company's Current Report on Form 8-K filed September 18, 2020)</w:t>
              </w:r>
            </w:hyperlink>
            <w:r>
              <w:rPr>
                <w:rFonts w:ascii="Arial" w:eastAsia="宋体" w:hAnsi="Arial" w:cs="Arial"/>
                <w:color w:val="000000"/>
                <w:sz w:val="16"/>
                <w:szCs w:val="16"/>
              </w:rPr>
              <w:t>.</w:t>
            </w:r>
          </w:p>
        </w:tc>
      </w:tr>
      <w:tr w:rsidR="008E7A10" w14:paraId="746F1F83"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81" w14:textId="77777777" w:rsidR="008E7A10" w:rsidRDefault="00E047B2">
            <w:pPr>
              <w:textAlignment w:val="top"/>
            </w:pPr>
            <w:r>
              <w:rPr>
                <w:rFonts w:ascii="Arial" w:eastAsia="宋体" w:hAnsi="Arial" w:cs="Arial"/>
                <w:color w:val="000000"/>
                <w:sz w:val="17"/>
                <w:szCs w:val="17"/>
              </w:rPr>
              <w:t>31.1†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82" w14:textId="77777777" w:rsidR="008E7A10" w:rsidRDefault="00E047B2">
            <w:pPr>
              <w:textAlignment w:val="bottom"/>
            </w:pPr>
            <w:hyperlink r:id="rId124" w:history="1">
              <w:r>
                <w:rPr>
                  <w:rStyle w:val="a5"/>
                  <w:rFonts w:ascii="Arial" w:eastAsia="宋体" w:hAnsi="Arial" w:cs="Arial"/>
                  <w:color w:val="000000"/>
                  <w:sz w:val="17"/>
                  <w:szCs w:val="17"/>
                  <w:u w:val="none"/>
                </w:rPr>
                <w:t>Rule 13a-14(a)/15d-14(a) Certification of Chief Executive Officer.</w:t>
              </w:r>
            </w:hyperlink>
          </w:p>
        </w:tc>
      </w:tr>
      <w:tr w:rsidR="008E7A10" w14:paraId="746F1F86"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84" w14:textId="77777777" w:rsidR="008E7A10" w:rsidRDefault="00E047B2">
            <w:pPr>
              <w:textAlignment w:val="top"/>
            </w:pPr>
            <w:r>
              <w:rPr>
                <w:rFonts w:ascii="Arial" w:eastAsia="宋体" w:hAnsi="Arial" w:cs="Arial"/>
                <w:color w:val="000000"/>
                <w:sz w:val="17"/>
                <w:szCs w:val="17"/>
              </w:rPr>
              <w:t>31.2†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85" w14:textId="77777777" w:rsidR="008E7A10" w:rsidRDefault="00E047B2">
            <w:pPr>
              <w:textAlignment w:val="bottom"/>
            </w:pPr>
            <w:hyperlink r:id="rId125" w:history="1">
              <w:r>
                <w:rPr>
                  <w:rStyle w:val="a5"/>
                  <w:rFonts w:ascii="Arial" w:eastAsia="宋体" w:hAnsi="Arial" w:cs="Arial"/>
                  <w:color w:val="000000"/>
                  <w:sz w:val="17"/>
                  <w:szCs w:val="17"/>
                  <w:u w:val="none"/>
                </w:rPr>
                <w:t>Rule 13a-14(a)/15d-14(a) Certification of Chief Financial Officer.</w:t>
              </w:r>
            </w:hyperlink>
          </w:p>
        </w:tc>
      </w:tr>
      <w:tr w:rsidR="008E7A10" w14:paraId="746F1F89"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87" w14:textId="77777777" w:rsidR="008E7A10" w:rsidRDefault="00E047B2">
            <w:pPr>
              <w:textAlignment w:val="top"/>
            </w:pPr>
            <w:r>
              <w:rPr>
                <w:rFonts w:ascii="Arial" w:eastAsia="宋体" w:hAnsi="Arial" w:cs="Arial"/>
                <w:color w:val="000000"/>
                <w:sz w:val="17"/>
                <w:szCs w:val="17"/>
              </w:rPr>
              <w:t>32.1†</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88" w14:textId="77777777" w:rsidR="008E7A10" w:rsidRDefault="00E047B2">
            <w:pPr>
              <w:textAlignment w:val="bottom"/>
            </w:pPr>
            <w:hyperlink r:id="rId126" w:history="1">
              <w:r>
                <w:rPr>
                  <w:rStyle w:val="a5"/>
                  <w:rFonts w:ascii="Arial" w:eastAsia="宋体" w:hAnsi="Arial" w:cs="Arial"/>
                  <w:color w:val="000000"/>
                  <w:sz w:val="17"/>
                  <w:szCs w:val="17"/>
                  <w:u w:val="none"/>
                </w:rPr>
                <w:t xml:space="preserve">Section 1350 Certificate </w:t>
              </w:r>
              <w:r>
                <w:rPr>
                  <w:rStyle w:val="a5"/>
                  <w:rFonts w:ascii="Arial" w:eastAsia="宋体" w:hAnsi="Arial" w:cs="Arial"/>
                  <w:color w:val="000000"/>
                  <w:sz w:val="17"/>
                  <w:szCs w:val="17"/>
                  <w:u w:val="none"/>
                </w:rPr>
                <w:t>of Chief Executive Officer.</w:t>
              </w:r>
            </w:hyperlink>
          </w:p>
        </w:tc>
      </w:tr>
      <w:tr w:rsidR="008E7A10" w14:paraId="746F1F8C"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8A" w14:textId="77777777" w:rsidR="008E7A10" w:rsidRDefault="00E047B2">
            <w:pPr>
              <w:textAlignment w:val="top"/>
            </w:pPr>
            <w:r>
              <w:rPr>
                <w:rFonts w:ascii="Arial" w:eastAsia="宋体" w:hAnsi="Arial" w:cs="Arial"/>
                <w:color w:val="000000"/>
                <w:sz w:val="17"/>
                <w:szCs w:val="17"/>
              </w:rPr>
              <w:t>32.2†</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8B" w14:textId="77777777" w:rsidR="008E7A10" w:rsidRDefault="00E047B2">
            <w:pPr>
              <w:textAlignment w:val="bottom"/>
            </w:pPr>
            <w:hyperlink r:id="rId127" w:history="1">
              <w:r>
                <w:rPr>
                  <w:rStyle w:val="a5"/>
                  <w:rFonts w:ascii="Arial" w:eastAsia="宋体" w:hAnsi="Arial" w:cs="Arial"/>
                  <w:color w:val="000000"/>
                  <w:sz w:val="17"/>
                  <w:szCs w:val="17"/>
                  <w:u w:val="none"/>
                </w:rPr>
                <w:t>Section 1350 Certificate of Chief Financial Officer.</w:t>
              </w:r>
            </w:hyperlink>
          </w:p>
        </w:tc>
      </w:tr>
      <w:tr w:rsidR="008E7A10" w14:paraId="746F1F8F"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8D" w14:textId="77777777" w:rsidR="008E7A10" w:rsidRDefault="00E047B2">
            <w:pPr>
              <w:textAlignment w:val="top"/>
            </w:pPr>
            <w:r>
              <w:rPr>
                <w:rFonts w:ascii="Arial" w:eastAsia="宋体" w:hAnsi="Arial" w:cs="Arial"/>
                <w:color w:val="000000"/>
                <w:sz w:val="17"/>
                <w:szCs w:val="17"/>
              </w:rPr>
              <w:t>101.INS</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8E" w14:textId="77777777" w:rsidR="008E7A10" w:rsidRDefault="00E047B2">
            <w:pPr>
              <w:textAlignment w:val="bottom"/>
            </w:pPr>
            <w:r>
              <w:rPr>
                <w:rFonts w:ascii="Arial" w:eastAsia="宋体" w:hAnsi="Arial" w:cs="Arial"/>
                <w:color w:val="000000"/>
                <w:sz w:val="17"/>
                <w:szCs w:val="17"/>
              </w:rPr>
              <w:t>XBRL Instance Document.</w:t>
            </w:r>
          </w:p>
        </w:tc>
      </w:tr>
      <w:tr w:rsidR="008E7A10" w14:paraId="746F1F92"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90" w14:textId="77777777" w:rsidR="008E7A10" w:rsidRDefault="00E047B2">
            <w:pPr>
              <w:textAlignment w:val="top"/>
            </w:pPr>
            <w:r>
              <w:rPr>
                <w:rFonts w:ascii="Arial" w:eastAsia="宋体" w:hAnsi="Arial" w:cs="Arial"/>
                <w:color w:val="000000"/>
                <w:sz w:val="17"/>
                <w:szCs w:val="17"/>
              </w:rPr>
              <w:t>101.SCH</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91" w14:textId="77777777" w:rsidR="008E7A10" w:rsidRDefault="00E047B2">
            <w:pPr>
              <w:textAlignment w:val="bottom"/>
            </w:pPr>
            <w:r>
              <w:rPr>
                <w:rFonts w:ascii="Arial" w:eastAsia="宋体" w:hAnsi="Arial" w:cs="Arial"/>
                <w:color w:val="000000"/>
                <w:sz w:val="17"/>
                <w:szCs w:val="17"/>
              </w:rPr>
              <w:t xml:space="preserve">XBRL </w:t>
            </w:r>
            <w:r>
              <w:rPr>
                <w:rFonts w:ascii="Arial" w:eastAsia="宋体" w:hAnsi="Arial" w:cs="Arial"/>
                <w:color w:val="000000"/>
                <w:sz w:val="17"/>
                <w:szCs w:val="17"/>
              </w:rPr>
              <w:t>Taxonomy Extension Schema Document.</w:t>
            </w:r>
          </w:p>
        </w:tc>
      </w:tr>
      <w:tr w:rsidR="008E7A10" w14:paraId="746F1F95"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93" w14:textId="77777777" w:rsidR="008E7A10" w:rsidRDefault="00E047B2">
            <w:pPr>
              <w:textAlignment w:val="top"/>
            </w:pPr>
            <w:r>
              <w:rPr>
                <w:rFonts w:ascii="Arial" w:eastAsia="宋体" w:hAnsi="Arial" w:cs="Arial"/>
                <w:color w:val="000000"/>
                <w:sz w:val="17"/>
                <w:szCs w:val="17"/>
              </w:rPr>
              <w:t>101.CAL</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94" w14:textId="77777777" w:rsidR="008E7A10" w:rsidRDefault="00E047B2">
            <w:pPr>
              <w:textAlignment w:val="bottom"/>
            </w:pPr>
            <w:r>
              <w:rPr>
                <w:rFonts w:ascii="Arial" w:eastAsia="宋体" w:hAnsi="Arial" w:cs="Arial"/>
                <w:color w:val="000000"/>
                <w:sz w:val="17"/>
                <w:szCs w:val="17"/>
              </w:rPr>
              <w:t>XBRL Taxonomy Extension Calculation Linkbase Document.</w:t>
            </w:r>
          </w:p>
        </w:tc>
      </w:tr>
      <w:tr w:rsidR="008E7A10" w14:paraId="746F1F98"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96" w14:textId="77777777" w:rsidR="008E7A10" w:rsidRDefault="00E047B2">
            <w:pPr>
              <w:textAlignment w:val="top"/>
            </w:pPr>
            <w:r>
              <w:rPr>
                <w:rFonts w:ascii="Arial" w:eastAsia="宋体" w:hAnsi="Arial" w:cs="Arial"/>
                <w:color w:val="000000"/>
                <w:sz w:val="17"/>
                <w:szCs w:val="17"/>
              </w:rPr>
              <w:t>101.DEF</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97" w14:textId="77777777" w:rsidR="008E7A10" w:rsidRDefault="00E047B2">
            <w:pPr>
              <w:textAlignment w:val="bottom"/>
            </w:pPr>
            <w:r>
              <w:rPr>
                <w:rFonts w:ascii="Arial" w:eastAsia="宋体" w:hAnsi="Arial" w:cs="Arial"/>
                <w:color w:val="000000"/>
                <w:sz w:val="17"/>
                <w:szCs w:val="17"/>
              </w:rPr>
              <w:t>XBRL Taxonomy Extension Definition Document.</w:t>
            </w:r>
          </w:p>
        </w:tc>
      </w:tr>
      <w:tr w:rsidR="008E7A10" w14:paraId="746F1F9B"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99" w14:textId="77777777" w:rsidR="008E7A10" w:rsidRDefault="00E047B2">
            <w:pPr>
              <w:textAlignment w:val="top"/>
            </w:pPr>
            <w:r>
              <w:rPr>
                <w:rFonts w:ascii="Arial" w:eastAsia="宋体" w:hAnsi="Arial" w:cs="Arial"/>
                <w:color w:val="000000"/>
                <w:sz w:val="17"/>
                <w:szCs w:val="17"/>
              </w:rPr>
              <w:t>101.LAB</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9A" w14:textId="77777777" w:rsidR="008E7A10" w:rsidRDefault="00E047B2">
            <w:pPr>
              <w:textAlignment w:val="bottom"/>
            </w:pPr>
            <w:r>
              <w:rPr>
                <w:rFonts w:ascii="Arial" w:eastAsia="宋体" w:hAnsi="Arial" w:cs="Arial"/>
                <w:color w:val="000000"/>
                <w:sz w:val="17"/>
                <w:szCs w:val="17"/>
              </w:rPr>
              <w:t>XBRL Taxonomy Extension Label Linkbase Document.</w:t>
            </w:r>
          </w:p>
        </w:tc>
      </w:tr>
      <w:tr w:rsidR="008E7A10" w14:paraId="746F1F9E"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9C" w14:textId="77777777" w:rsidR="008E7A10" w:rsidRDefault="00E047B2">
            <w:pPr>
              <w:textAlignment w:val="top"/>
            </w:pPr>
            <w:r>
              <w:rPr>
                <w:rFonts w:ascii="Arial" w:eastAsia="宋体" w:hAnsi="Arial" w:cs="Arial"/>
                <w:color w:val="000000"/>
                <w:sz w:val="17"/>
                <w:szCs w:val="17"/>
              </w:rPr>
              <w:t>101.PRE</w:t>
            </w: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9D" w14:textId="77777777" w:rsidR="008E7A10" w:rsidRDefault="00E047B2">
            <w:pPr>
              <w:textAlignment w:val="bottom"/>
            </w:pPr>
            <w:r>
              <w:rPr>
                <w:rFonts w:ascii="Arial" w:eastAsia="宋体" w:hAnsi="Arial" w:cs="Arial"/>
                <w:color w:val="000000"/>
                <w:sz w:val="17"/>
                <w:szCs w:val="17"/>
              </w:rPr>
              <w:t>XBRL Taxonomy Extension Presentatio</w:t>
            </w:r>
            <w:r>
              <w:rPr>
                <w:rFonts w:ascii="Arial" w:eastAsia="宋体" w:hAnsi="Arial" w:cs="Arial"/>
                <w:color w:val="000000"/>
                <w:sz w:val="17"/>
                <w:szCs w:val="17"/>
              </w:rPr>
              <w:t>n Linkbase Document.</w:t>
            </w:r>
          </w:p>
        </w:tc>
      </w:tr>
      <w:tr w:rsidR="008E7A10" w14:paraId="746F1FA1" w14:textId="77777777">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tcPr>
          <w:p w14:paraId="746F1F9F" w14:textId="77777777" w:rsidR="008E7A10" w:rsidRDefault="00E047B2">
            <w:pPr>
              <w:textAlignment w:val="top"/>
            </w:pPr>
            <w:r>
              <w:rPr>
                <w:rFonts w:ascii="Arial" w:eastAsia="宋体" w:hAnsi="Arial" w:cs="Arial"/>
                <w:color w:val="000000"/>
                <w:sz w:val="17"/>
                <w:szCs w:val="17"/>
              </w:rPr>
              <w:t>104</w:t>
            </w:r>
          </w:p>
        </w:tc>
        <w:tc>
          <w:tcPr>
            <w:tcW w:w="0" w:type="auto"/>
            <w:gridSpan w:val="3"/>
            <w:tcBorders>
              <w:top w:val="single" w:sz="8" w:space="0" w:color="808080"/>
              <w:bottom w:val="single" w:sz="8" w:space="0" w:color="E87722"/>
            </w:tcBorders>
            <w:shd w:val="clear" w:color="auto" w:fill="auto"/>
            <w:tcMar>
              <w:top w:w="40" w:type="dxa"/>
              <w:left w:w="20" w:type="dxa"/>
              <w:bottom w:w="40" w:type="dxa"/>
              <w:right w:w="20" w:type="dxa"/>
            </w:tcMar>
            <w:vAlign w:val="bottom"/>
          </w:tcPr>
          <w:p w14:paraId="746F1FA0" w14:textId="77777777" w:rsidR="008E7A10" w:rsidRDefault="00E047B2">
            <w:pPr>
              <w:textAlignment w:val="bottom"/>
            </w:pPr>
            <w:r>
              <w:rPr>
                <w:rFonts w:ascii="Arial" w:eastAsia="宋体" w:hAnsi="Arial" w:cs="Arial"/>
                <w:color w:val="000000"/>
                <w:sz w:val="17"/>
                <w:szCs w:val="17"/>
              </w:rPr>
              <w:t>Cover Page Interactive Data File (formatted in iXBRL Exhibit 101)</w:t>
            </w:r>
          </w:p>
        </w:tc>
      </w:tr>
    </w:tbl>
    <w:p w14:paraId="746F1FA2" w14:textId="77777777" w:rsidR="008E7A10" w:rsidRDefault="00E047B2">
      <w:pPr>
        <w:spacing w:before="120" w:after="120"/>
      </w:pPr>
      <w:r>
        <w:rPr>
          <w:rFonts w:ascii="Arial" w:eastAsia="宋体" w:hAnsi="Arial" w:cs="Arial"/>
          <w:color w:val="000000"/>
          <w:sz w:val="17"/>
          <w:szCs w:val="17"/>
        </w:rPr>
        <w:t>†</w:t>
      </w:r>
      <w:r>
        <w:rPr>
          <w:rFonts w:ascii="Arial" w:eastAsia="宋体" w:hAnsi="Arial" w:cs="Arial"/>
          <w:i/>
          <w:iCs/>
          <w:color w:val="000000"/>
          <w:sz w:val="17"/>
          <w:szCs w:val="17"/>
        </w:rPr>
        <w:t xml:space="preserve"> Furnished herewith</w:t>
      </w:r>
    </w:p>
    <w:p w14:paraId="746F1FA3" w14:textId="77777777" w:rsidR="008E7A10" w:rsidRDefault="00E047B2">
      <w:pPr>
        <w:spacing w:before="120" w:after="120"/>
        <w:jc w:val="right"/>
      </w:pPr>
      <w:r>
        <w:rPr>
          <w:rFonts w:ascii="Arial" w:eastAsia="宋体" w:hAnsi="Arial" w:cs="Arial"/>
          <w:color w:val="E87722"/>
          <w:sz w:val="17"/>
          <w:szCs w:val="17"/>
        </w:rPr>
        <w:t>49</w:t>
      </w:r>
    </w:p>
    <w:p w14:paraId="746F1FA4" w14:textId="77777777" w:rsidR="008E7A10" w:rsidRDefault="00E047B2">
      <w:r>
        <w:pict w14:anchorId="746F2039">
          <v:rect id="_x0000_i1075" style="width:415.3pt;height:1.5pt" o:hralign="center" o:hrstd="t" o:hr="t" fillcolor="#a0a0a0" stroked="f"/>
        </w:pict>
      </w:r>
    </w:p>
    <w:p w14:paraId="746F1FA5" w14:textId="77777777" w:rsidR="008E7A10" w:rsidRDefault="008E7A10"/>
    <w:p w14:paraId="746F1FA6" w14:textId="77777777" w:rsidR="008E7A10" w:rsidRDefault="00E047B2">
      <w:hyperlink r:id="rId128" w:anchor="i31a624617c6c41b38f8f700fa0df5bde_7" w:history="1">
        <w:r>
          <w:rPr>
            <w:rStyle w:val="a5"/>
            <w:rFonts w:ascii="sans-serif" w:eastAsia="sans-serif" w:hAnsi="sans-serif" w:cs="sans-serif"/>
            <w:sz w:val="17"/>
            <w:szCs w:val="17"/>
          </w:rPr>
          <w:t>Table of Contents</w:t>
        </w:r>
      </w:hyperlink>
    </w:p>
    <w:p w14:paraId="746F1FA7" w14:textId="77777777" w:rsidR="008E7A10" w:rsidRDefault="008E7A10"/>
    <w:p w14:paraId="746F1FA8" w14:textId="77777777" w:rsidR="008E7A10" w:rsidRDefault="00E047B2">
      <w:pPr>
        <w:spacing w:before="360" w:after="180"/>
      </w:pPr>
      <w:r>
        <w:rPr>
          <w:rFonts w:ascii="sans-serif" w:eastAsia="sans-serif" w:hAnsi="sans-serif" w:cs="sans-serif"/>
          <w:color w:val="000000"/>
          <w:sz w:val="44"/>
          <w:szCs w:val="44"/>
        </w:rPr>
        <w:t>SIGNATURES</w:t>
      </w:r>
    </w:p>
    <w:p w14:paraId="746F1FA9" w14:textId="77777777" w:rsidR="008E7A10" w:rsidRDefault="00E047B2">
      <w:pPr>
        <w:spacing w:before="120"/>
      </w:pPr>
      <w:r>
        <w:rPr>
          <w:rFonts w:ascii="Arial" w:eastAsia="宋体" w:hAnsi="Arial" w:cs="Arial"/>
          <w:color w:val="000000"/>
          <w:sz w:val="17"/>
          <w:szCs w:val="17"/>
        </w:rPr>
        <w:t>Pursuant to the requirements of the Securities Exchange Act of 1934, the r</w:t>
      </w:r>
      <w:r>
        <w:rPr>
          <w:rFonts w:ascii="Arial" w:eastAsia="宋体" w:hAnsi="Arial" w:cs="Arial"/>
          <w:color w:val="000000"/>
          <w:sz w:val="17"/>
          <w:szCs w:val="17"/>
        </w:rPr>
        <w:t>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58"/>
        <w:gridCol w:w="36"/>
        <w:gridCol w:w="36"/>
        <w:gridCol w:w="97"/>
        <w:gridCol w:w="36"/>
        <w:gridCol w:w="61"/>
        <w:gridCol w:w="7594"/>
        <w:gridCol w:w="37"/>
      </w:tblGrid>
      <w:tr w:rsidR="008E7A10" w14:paraId="746F1FB3" w14:textId="77777777">
        <w:tc>
          <w:tcPr>
            <w:tcW w:w="50" w:type="pct"/>
            <w:shd w:val="clear" w:color="auto" w:fill="auto"/>
          </w:tcPr>
          <w:p w14:paraId="746F1FAA" w14:textId="77777777" w:rsidR="008E7A10" w:rsidRDefault="008E7A10">
            <w:pPr>
              <w:rPr>
                <w:rFonts w:ascii="宋体"/>
              </w:rPr>
            </w:pPr>
          </w:p>
        </w:tc>
        <w:tc>
          <w:tcPr>
            <w:tcW w:w="222" w:type="pct"/>
            <w:shd w:val="clear" w:color="auto" w:fill="auto"/>
          </w:tcPr>
          <w:p w14:paraId="746F1FAB" w14:textId="77777777" w:rsidR="008E7A10" w:rsidRDefault="008E7A10">
            <w:pPr>
              <w:rPr>
                <w:rFonts w:ascii="宋体"/>
              </w:rPr>
            </w:pPr>
          </w:p>
        </w:tc>
        <w:tc>
          <w:tcPr>
            <w:tcW w:w="5" w:type="pct"/>
            <w:shd w:val="clear" w:color="auto" w:fill="auto"/>
          </w:tcPr>
          <w:p w14:paraId="746F1FAC" w14:textId="77777777" w:rsidR="008E7A10" w:rsidRDefault="008E7A10">
            <w:pPr>
              <w:rPr>
                <w:rFonts w:ascii="宋体"/>
              </w:rPr>
            </w:pPr>
          </w:p>
        </w:tc>
        <w:tc>
          <w:tcPr>
            <w:tcW w:w="5" w:type="pct"/>
            <w:shd w:val="clear" w:color="auto" w:fill="auto"/>
          </w:tcPr>
          <w:p w14:paraId="746F1FAD" w14:textId="77777777" w:rsidR="008E7A10" w:rsidRDefault="008E7A10">
            <w:pPr>
              <w:rPr>
                <w:rFonts w:ascii="宋体"/>
              </w:rPr>
            </w:pPr>
          </w:p>
        </w:tc>
        <w:tc>
          <w:tcPr>
            <w:tcW w:w="90" w:type="pct"/>
            <w:shd w:val="clear" w:color="auto" w:fill="auto"/>
          </w:tcPr>
          <w:p w14:paraId="746F1FAE" w14:textId="77777777" w:rsidR="008E7A10" w:rsidRDefault="008E7A10">
            <w:pPr>
              <w:rPr>
                <w:rFonts w:ascii="宋体"/>
              </w:rPr>
            </w:pPr>
          </w:p>
        </w:tc>
        <w:tc>
          <w:tcPr>
            <w:tcW w:w="5" w:type="pct"/>
            <w:shd w:val="clear" w:color="auto" w:fill="auto"/>
          </w:tcPr>
          <w:p w14:paraId="746F1FAF" w14:textId="77777777" w:rsidR="008E7A10" w:rsidRDefault="008E7A10">
            <w:pPr>
              <w:rPr>
                <w:rFonts w:ascii="宋体"/>
              </w:rPr>
            </w:pPr>
          </w:p>
        </w:tc>
        <w:tc>
          <w:tcPr>
            <w:tcW w:w="50" w:type="pct"/>
            <w:shd w:val="clear" w:color="auto" w:fill="auto"/>
          </w:tcPr>
          <w:p w14:paraId="746F1FB0" w14:textId="77777777" w:rsidR="008E7A10" w:rsidRDefault="008E7A10">
            <w:pPr>
              <w:rPr>
                <w:rFonts w:ascii="宋体"/>
              </w:rPr>
            </w:pPr>
          </w:p>
        </w:tc>
        <w:tc>
          <w:tcPr>
            <w:tcW w:w="4566" w:type="pct"/>
            <w:shd w:val="clear" w:color="auto" w:fill="auto"/>
          </w:tcPr>
          <w:p w14:paraId="746F1FB1" w14:textId="77777777" w:rsidR="008E7A10" w:rsidRDefault="008E7A10">
            <w:pPr>
              <w:rPr>
                <w:rFonts w:ascii="宋体"/>
              </w:rPr>
            </w:pPr>
          </w:p>
        </w:tc>
        <w:tc>
          <w:tcPr>
            <w:tcW w:w="5" w:type="pct"/>
            <w:shd w:val="clear" w:color="auto" w:fill="auto"/>
          </w:tcPr>
          <w:p w14:paraId="746F1FB2" w14:textId="77777777" w:rsidR="008E7A10" w:rsidRDefault="008E7A10">
            <w:pPr>
              <w:rPr>
                <w:rFonts w:ascii="宋体"/>
              </w:rPr>
            </w:pPr>
          </w:p>
        </w:tc>
      </w:tr>
      <w:tr w:rsidR="008E7A10" w14:paraId="746F1FB6" w14:textId="77777777">
        <w:tc>
          <w:tcPr>
            <w:tcW w:w="0" w:type="auto"/>
            <w:gridSpan w:val="9"/>
            <w:shd w:val="clear" w:color="auto" w:fill="auto"/>
            <w:tcMar>
              <w:top w:w="40" w:type="dxa"/>
              <w:left w:w="20" w:type="dxa"/>
              <w:bottom w:w="40" w:type="dxa"/>
              <w:right w:w="20" w:type="dxa"/>
            </w:tcMar>
            <w:vAlign w:val="bottom"/>
          </w:tcPr>
          <w:p w14:paraId="746F1FB4" w14:textId="77777777" w:rsidR="008E7A10" w:rsidRDefault="00E047B2">
            <w:pPr>
              <w:textAlignment w:val="bottom"/>
            </w:pPr>
            <w:r>
              <w:rPr>
                <w:rFonts w:ascii="Arial" w:eastAsia="宋体" w:hAnsi="Arial" w:cs="Arial"/>
                <w:b/>
                <w:bCs/>
                <w:color w:val="000000"/>
                <w:sz w:val="17"/>
                <w:szCs w:val="17"/>
              </w:rPr>
              <w:t xml:space="preserve">NIKE, INC. </w:t>
            </w:r>
          </w:p>
          <w:p w14:paraId="746F1FB5" w14:textId="77777777" w:rsidR="008E7A10" w:rsidRDefault="00E047B2">
            <w:pPr>
              <w:textAlignment w:val="bottom"/>
            </w:pPr>
            <w:r>
              <w:rPr>
                <w:rFonts w:ascii="Arial" w:eastAsia="宋体" w:hAnsi="Arial" w:cs="Arial"/>
                <w:b/>
                <w:bCs/>
                <w:color w:val="000000"/>
                <w:sz w:val="17"/>
                <w:szCs w:val="17"/>
              </w:rPr>
              <w:t>an Oregon Corporation</w:t>
            </w:r>
          </w:p>
        </w:tc>
      </w:tr>
      <w:tr w:rsidR="008E7A10" w14:paraId="746F1FBC" w14:textId="77777777">
        <w:tc>
          <w:tcPr>
            <w:tcW w:w="0" w:type="auto"/>
            <w:gridSpan w:val="3"/>
            <w:tcBorders>
              <w:top w:val="single" w:sz="8" w:space="0" w:color="808080"/>
            </w:tcBorders>
            <w:shd w:val="clear" w:color="auto" w:fill="auto"/>
            <w:tcMar>
              <w:top w:w="40" w:type="dxa"/>
              <w:left w:w="20" w:type="dxa"/>
              <w:bottom w:w="40" w:type="dxa"/>
              <w:right w:w="20" w:type="dxa"/>
            </w:tcMar>
          </w:tcPr>
          <w:p w14:paraId="746F1FB7" w14:textId="77777777" w:rsidR="008E7A10" w:rsidRDefault="00E047B2">
            <w:pPr>
              <w:textAlignment w:val="top"/>
            </w:pPr>
            <w:r>
              <w:rPr>
                <w:rFonts w:ascii="Arial" w:eastAsia="宋体" w:hAnsi="Arial" w:cs="Arial"/>
                <w:color w:val="000000"/>
                <w:sz w:val="17"/>
                <w:szCs w:val="17"/>
              </w:rPr>
              <w:t>By:</w:t>
            </w:r>
          </w:p>
        </w:tc>
        <w:tc>
          <w:tcPr>
            <w:tcW w:w="0" w:type="auto"/>
            <w:gridSpan w:val="3"/>
            <w:tcBorders>
              <w:top w:val="single" w:sz="8" w:space="0" w:color="808080"/>
            </w:tcBorders>
            <w:shd w:val="clear" w:color="auto" w:fill="auto"/>
            <w:tcMar>
              <w:top w:w="0" w:type="dxa"/>
              <w:left w:w="20" w:type="dxa"/>
              <w:bottom w:w="0" w:type="dxa"/>
              <w:right w:w="20" w:type="dxa"/>
            </w:tcMar>
          </w:tcPr>
          <w:p w14:paraId="746F1FB8" w14:textId="77777777" w:rsidR="008E7A10" w:rsidRDefault="008E7A10">
            <w:pPr>
              <w:rPr>
                <w:rFonts w:ascii="宋体"/>
              </w:rPr>
            </w:pPr>
          </w:p>
        </w:tc>
        <w:tc>
          <w:tcPr>
            <w:tcW w:w="0" w:type="auto"/>
            <w:gridSpan w:val="3"/>
            <w:tcBorders>
              <w:top w:val="single" w:sz="8" w:space="0" w:color="808080"/>
            </w:tcBorders>
            <w:shd w:val="clear" w:color="auto" w:fill="auto"/>
            <w:tcMar>
              <w:top w:w="40" w:type="dxa"/>
              <w:left w:w="20" w:type="dxa"/>
              <w:bottom w:w="40" w:type="dxa"/>
              <w:right w:w="20" w:type="dxa"/>
            </w:tcMar>
            <w:vAlign w:val="bottom"/>
          </w:tcPr>
          <w:p w14:paraId="746F1FB9" w14:textId="77777777" w:rsidR="008E7A10" w:rsidRDefault="00E047B2">
            <w:pPr>
              <w:textAlignment w:val="bottom"/>
            </w:pPr>
            <w:r>
              <w:rPr>
                <w:rFonts w:ascii="Arial" w:eastAsia="宋体" w:hAnsi="Arial" w:cs="Arial"/>
                <w:color w:val="000000"/>
                <w:sz w:val="17"/>
                <w:szCs w:val="17"/>
              </w:rPr>
              <w:t>/s/ MATTHEW FRIEND</w:t>
            </w:r>
          </w:p>
          <w:p w14:paraId="746F1FBA" w14:textId="77777777" w:rsidR="008E7A10" w:rsidRDefault="00E047B2">
            <w:pPr>
              <w:textAlignment w:val="bottom"/>
            </w:pPr>
            <w:r>
              <w:rPr>
                <w:rFonts w:ascii="Arial" w:eastAsia="宋体" w:hAnsi="Arial" w:cs="Arial"/>
                <w:b/>
                <w:bCs/>
                <w:color w:val="000000"/>
                <w:sz w:val="17"/>
                <w:szCs w:val="17"/>
              </w:rPr>
              <w:t>Matthew Friend</w:t>
            </w:r>
          </w:p>
          <w:p w14:paraId="746F1FBB" w14:textId="77777777" w:rsidR="008E7A10" w:rsidRDefault="00E047B2">
            <w:pPr>
              <w:textAlignment w:val="bottom"/>
            </w:pPr>
            <w:r>
              <w:rPr>
                <w:rFonts w:ascii="Arial" w:eastAsia="宋体" w:hAnsi="Arial" w:cs="Arial"/>
                <w:color w:val="000000"/>
                <w:sz w:val="17"/>
                <w:szCs w:val="17"/>
              </w:rPr>
              <w:t>Chief Financial Officer and Authorized Officer</w:t>
            </w:r>
          </w:p>
        </w:tc>
      </w:tr>
      <w:tr w:rsidR="008E7A10" w14:paraId="746F1FC0" w14:textId="77777777">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746F1FBD" w14:textId="77777777" w:rsidR="008E7A10" w:rsidRDefault="00E047B2">
            <w:pPr>
              <w:textAlignment w:val="bottom"/>
            </w:pPr>
            <w:r>
              <w:rPr>
                <w:rFonts w:ascii="Arial" w:eastAsia="宋体" w:hAnsi="Arial" w:cs="Arial"/>
                <w:color w:val="000000"/>
                <w:sz w:val="17"/>
                <w:szCs w:val="17"/>
              </w:rPr>
              <w:t>Date:</w:t>
            </w:r>
          </w:p>
        </w:tc>
        <w:tc>
          <w:tcPr>
            <w:tcW w:w="0" w:type="auto"/>
            <w:gridSpan w:val="3"/>
            <w:tcBorders>
              <w:bottom w:val="single" w:sz="8" w:space="0" w:color="808080"/>
            </w:tcBorders>
            <w:shd w:val="clear" w:color="auto" w:fill="auto"/>
            <w:tcMar>
              <w:top w:w="0" w:type="dxa"/>
              <w:left w:w="20" w:type="dxa"/>
              <w:bottom w:w="0" w:type="dxa"/>
              <w:right w:w="20" w:type="dxa"/>
            </w:tcMar>
          </w:tcPr>
          <w:p w14:paraId="746F1FBE" w14:textId="77777777" w:rsidR="008E7A10" w:rsidRDefault="008E7A10">
            <w:pPr>
              <w:rPr>
                <w:rFonts w:ascii="宋体"/>
              </w:rPr>
            </w:pPr>
          </w:p>
        </w:tc>
        <w:tc>
          <w:tcPr>
            <w:tcW w:w="0" w:type="auto"/>
            <w:gridSpan w:val="3"/>
            <w:tcBorders>
              <w:bottom w:val="single" w:sz="8" w:space="0" w:color="808080"/>
            </w:tcBorders>
            <w:shd w:val="clear" w:color="auto" w:fill="auto"/>
            <w:tcMar>
              <w:top w:w="40" w:type="dxa"/>
              <w:left w:w="20" w:type="dxa"/>
              <w:bottom w:w="40" w:type="dxa"/>
              <w:right w:w="20" w:type="dxa"/>
            </w:tcMar>
            <w:vAlign w:val="bottom"/>
          </w:tcPr>
          <w:p w14:paraId="746F1FBF" w14:textId="77777777" w:rsidR="008E7A10" w:rsidRDefault="00E047B2">
            <w:pPr>
              <w:textAlignment w:val="bottom"/>
            </w:pPr>
            <w:r>
              <w:rPr>
                <w:rFonts w:ascii="Arial" w:eastAsia="宋体" w:hAnsi="Arial" w:cs="Arial"/>
                <w:color w:val="000000"/>
                <w:sz w:val="17"/>
                <w:szCs w:val="17"/>
              </w:rPr>
              <w:t>January 5, 2021</w:t>
            </w:r>
          </w:p>
        </w:tc>
      </w:tr>
    </w:tbl>
    <w:p w14:paraId="746F1FC1" w14:textId="77777777" w:rsidR="008E7A10" w:rsidRDefault="00E047B2">
      <w:pPr>
        <w:spacing w:before="120" w:after="120"/>
      </w:pPr>
      <w:r>
        <w:rPr>
          <w:rFonts w:ascii="Arial" w:eastAsia="宋体" w:hAnsi="Arial" w:cs="Arial"/>
          <w:color w:val="E87722"/>
          <w:sz w:val="17"/>
          <w:szCs w:val="17"/>
        </w:rPr>
        <w:t>50</w:t>
      </w:r>
      <w:r>
        <w:rPr>
          <w:rFonts w:ascii="sans-serif" w:eastAsia="sans-serif" w:hAnsi="sans-serif" w:cs="sans-serif"/>
          <w:color w:val="000000"/>
          <w:sz w:val="17"/>
          <w:szCs w:val="17"/>
        </w:rPr>
        <w:t xml:space="preserve"> </w:t>
      </w:r>
    </w:p>
    <w:p w14:paraId="746F1FC2" w14:textId="77777777" w:rsidR="008E7A10" w:rsidRDefault="00E047B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46F203A" wp14:editId="746F203B">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1FC4" w14:textId="77777777">
        <w:trPr>
          <w:tblCellSpacing w:w="15" w:type="dxa"/>
        </w:trPr>
        <w:tc>
          <w:tcPr>
            <w:tcW w:w="0" w:type="auto"/>
            <w:shd w:val="clear" w:color="auto" w:fill="auto"/>
            <w:vAlign w:val="center"/>
          </w:tcPr>
          <w:p w14:paraId="746F1FC3" w14:textId="77777777" w:rsidR="008E7A10" w:rsidRDefault="008E7A10">
            <w:pPr>
              <w:rPr>
                <w:rFonts w:ascii="宋体"/>
              </w:rPr>
            </w:pPr>
          </w:p>
        </w:tc>
      </w:tr>
    </w:tbl>
    <w:p w14:paraId="746F1FC5" w14:textId="77777777" w:rsidR="008E7A10" w:rsidRDefault="008E7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1FC7" w14:textId="77777777">
        <w:trPr>
          <w:tblCellSpacing w:w="15" w:type="dxa"/>
        </w:trPr>
        <w:tc>
          <w:tcPr>
            <w:tcW w:w="0" w:type="auto"/>
            <w:shd w:val="clear" w:color="auto" w:fill="auto"/>
            <w:vAlign w:val="center"/>
          </w:tcPr>
          <w:p w14:paraId="746F1FC6" w14:textId="77777777" w:rsidR="008E7A10" w:rsidRDefault="008E7A10">
            <w:pPr>
              <w:rPr>
                <w:rFonts w:ascii="宋体"/>
              </w:rPr>
            </w:pPr>
          </w:p>
        </w:tc>
      </w:tr>
    </w:tbl>
    <w:p w14:paraId="746F1FC8" w14:textId="77777777" w:rsidR="008E7A10" w:rsidRDefault="008E7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1FCA" w14:textId="77777777">
        <w:trPr>
          <w:tblCellSpacing w:w="15" w:type="dxa"/>
        </w:trPr>
        <w:tc>
          <w:tcPr>
            <w:tcW w:w="0" w:type="auto"/>
            <w:shd w:val="clear" w:color="auto" w:fill="auto"/>
            <w:vAlign w:val="center"/>
          </w:tcPr>
          <w:p w14:paraId="746F1FC9" w14:textId="77777777" w:rsidR="008E7A10" w:rsidRDefault="008E7A10">
            <w:pPr>
              <w:rPr>
                <w:rFonts w:ascii="宋体"/>
              </w:rPr>
            </w:pPr>
          </w:p>
        </w:tc>
      </w:tr>
    </w:tbl>
    <w:p w14:paraId="746F1FCB" w14:textId="77777777" w:rsidR="008E7A10" w:rsidRDefault="008E7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1FCD" w14:textId="77777777">
        <w:trPr>
          <w:tblCellSpacing w:w="15" w:type="dxa"/>
        </w:trPr>
        <w:tc>
          <w:tcPr>
            <w:tcW w:w="0" w:type="auto"/>
            <w:shd w:val="clear" w:color="auto" w:fill="auto"/>
            <w:vAlign w:val="center"/>
          </w:tcPr>
          <w:p w14:paraId="746F1FCC" w14:textId="77777777" w:rsidR="008E7A10" w:rsidRDefault="008E7A10">
            <w:pPr>
              <w:rPr>
                <w:rFonts w:ascii="宋体"/>
              </w:rPr>
            </w:pPr>
          </w:p>
        </w:tc>
      </w:tr>
    </w:tbl>
    <w:p w14:paraId="746F1FCE" w14:textId="77777777" w:rsidR="008E7A10" w:rsidRDefault="00E047B2">
      <w:r>
        <w:rPr>
          <w:rFonts w:ascii="宋体" w:eastAsia="宋体" w:hAnsi="宋体" w:cs="宋体"/>
        </w:rPr>
        <w:t xml:space="preserve">Previous Next </w:t>
      </w:r>
    </w:p>
    <w:p w14:paraId="746F1FCF" w14:textId="77777777" w:rsidR="008E7A10" w:rsidRDefault="00E047B2">
      <w:pPr>
        <w:pStyle w:val="a3"/>
      </w:pPr>
      <w:r>
        <w:t>Settings</w:t>
      </w:r>
    </w:p>
    <w:p w14:paraId="746F1FD0" w14:textId="77777777" w:rsidR="008E7A10" w:rsidRDefault="00E047B2">
      <w:pPr>
        <w:pStyle w:val="Style4"/>
      </w:pPr>
      <w:r>
        <w:t>窗体顶端</w:t>
      </w:r>
    </w:p>
    <w:p w14:paraId="746F1FD1" w14:textId="77777777" w:rsidR="008E7A10" w:rsidRDefault="00E047B2">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46F203C" wp14:editId="746F203D">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46F1FD2" w14:textId="77777777" w:rsidR="008E7A10" w:rsidRDefault="00E047B2">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46F203E" wp14:editId="746F203F">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746F1FD3" w14:textId="77777777" w:rsidR="008E7A10" w:rsidRDefault="00E047B2">
      <w:r>
        <w:pict w14:anchorId="746F2040">
          <v:rect id="_x0000_i1076" style="width:415.3pt;height:1.5pt" o:hralign="center" o:hrstd="t" o:hr="t" fillcolor="#a0a0a0" stroked="f"/>
        </w:pict>
      </w:r>
    </w:p>
    <w:p w14:paraId="746F1FD4" w14:textId="77777777" w:rsidR="008E7A10" w:rsidRDefault="00E047B2">
      <w:r>
        <w:rPr>
          <w:rFonts w:ascii="宋体" w:eastAsia="宋体" w:hAnsi="宋体" w:cs="宋体"/>
        </w:rPr>
        <w:t xml:space="preserve">Tagged Data </w:t>
      </w:r>
    </w:p>
    <w:p w14:paraId="746F1FD5" w14:textId="77777777" w:rsidR="008E7A10" w:rsidRDefault="00E047B2">
      <w:r>
        <w:rPr>
          <w:rFonts w:ascii="monospace" w:eastAsia="monospace" w:hAnsi="monospace" w:cs="monospace"/>
          <w:noProof/>
        </w:rPr>
        <mc:AlternateContent>
          <mc:Choice Requires="wps">
            <w:drawing>
              <wp:inline distT="0" distB="0" distL="114300" distR="114300" wp14:anchorId="746F2041" wp14:editId="746F2042">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46F1FD6" w14:textId="77777777" w:rsidR="008E7A10" w:rsidRDefault="00E047B2">
      <w:r>
        <w:rPr>
          <w:rFonts w:ascii="宋体" w:eastAsia="宋体" w:hAnsi="宋体" w:cs="宋体"/>
        </w:rPr>
        <w:t>Save</w:t>
      </w:r>
    </w:p>
    <w:p w14:paraId="746F1FD7" w14:textId="77777777" w:rsidR="008E7A10" w:rsidRDefault="00E047B2">
      <w:r>
        <w:rPr>
          <w:rFonts w:ascii="宋体" w:eastAsia="宋体" w:hAnsi="宋体" w:cs="宋体"/>
        </w:rPr>
        <w:t>Reset</w:t>
      </w:r>
    </w:p>
    <w:p w14:paraId="746F1FD8" w14:textId="77777777" w:rsidR="008E7A10" w:rsidRDefault="00E047B2">
      <w:r>
        <w:pict w14:anchorId="746F2043">
          <v:rect id="_x0000_i1077" style="width:415.3pt;height:1.5pt" o:hralign="center" o:hrstd="t" o:hr="t" fillcolor="#a0a0a0" stroked="f"/>
        </w:pict>
      </w:r>
    </w:p>
    <w:p w14:paraId="746F1FD9" w14:textId="77777777" w:rsidR="008E7A10" w:rsidRDefault="00E047B2">
      <w:r>
        <w:rPr>
          <w:rFonts w:ascii="宋体" w:eastAsia="宋体" w:hAnsi="宋体" w:cs="宋体"/>
        </w:rPr>
        <w:t xml:space="preserve">Search Results </w:t>
      </w:r>
    </w:p>
    <w:p w14:paraId="746F1FDA" w14:textId="77777777" w:rsidR="008E7A10" w:rsidRDefault="00E047B2">
      <w:r>
        <w:rPr>
          <w:rFonts w:ascii="monospace" w:eastAsia="monospace" w:hAnsi="monospace" w:cs="monospace"/>
          <w:noProof/>
        </w:rPr>
        <mc:AlternateContent>
          <mc:Choice Requires="wps">
            <w:drawing>
              <wp:inline distT="0" distB="0" distL="114300" distR="114300" wp14:anchorId="746F2044" wp14:editId="746F2045">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46F1FDB" w14:textId="77777777" w:rsidR="008E7A10" w:rsidRDefault="00E047B2">
      <w:r>
        <w:rPr>
          <w:rFonts w:ascii="宋体" w:eastAsia="宋体" w:hAnsi="宋体" w:cs="宋体"/>
        </w:rPr>
        <w:t>Save</w:t>
      </w:r>
    </w:p>
    <w:p w14:paraId="746F1FDC" w14:textId="77777777" w:rsidR="008E7A10" w:rsidRDefault="00E047B2">
      <w:r>
        <w:rPr>
          <w:rFonts w:ascii="宋体" w:eastAsia="宋体" w:hAnsi="宋体" w:cs="宋体"/>
        </w:rPr>
        <w:t>Reset</w:t>
      </w:r>
    </w:p>
    <w:p w14:paraId="746F1FDD" w14:textId="77777777" w:rsidR="008E7A10" w:rsidRDefault="00E047B2">
      <w:r>
        <w:pict w14:anchorId="746F2046">
          <v:rect id="_x0000_i1078" style="width:415.3pt;height:1.5pt" o:hralign="center" o:hrstd="t" o:hr="t" fillcolor="#a0a0a0" stroked="f"/>
        </w:pict>
      </w:r>
    </w:p>
    <w:p w14:paraId="746F1FDE" w14:textId="77777777" w:rsidR="008E7A10" w:rsidRDefault="00E047B2">
      <w:r>
        <w:rPr>
          <w:rFonts w:ascii="宋体" w:eastAsia="宋体" w:hAnsi="宋体" w:cs="宋体"/>
        </w:rPr>
        <w:t xml:space="preserve">Selected Fact </w:t>
      </w:r>
    </w:p>
    <w:p w14:paraId="746F1FDF" w14:textId="77777777" w:rsidR="008E7A10" w:rsidRDefault="00E047B2">
      <w:r>
        <w:rPr>
          <w:rFonts w:ascii="monospace" w:eastAsia="monospace" w:hAnsi="monospace" w:cs="monospace"/>
          <w:noProof/>
        </w:rPr>
        <mc:AlternateContent>
          <mc:Choice Requires="wps">
            <w:drawing>
              <wp:inline distT="0" distB="0" distL="114300" distR="114300" wp14:anchorId="746F2047" wp14:editId="746F2048">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46F1FE0" w14:textId="77777777" w:rsidR="008E7A10" w:rsidRDefault="00E047B2">
      <w:r>
        <w:rPr>
          <w:rFonts w:ascii="宋体" w:eastAsia="宋体" w:hAnsi="宋体" w:cs="宋体"/>
        </w:rPr>
        <w:t>Save</w:t>
      </w:r>
    </w:p>
    <w:p w14:paraId="746F1FE1" w14:textId="77777777" w:rsidR="008E7A10" w:rsidRDefault="00E047B2">
      <w:r>
        <w:rPr>
          <w:rFonts w:ascii="宋体" w:eastAsia="宋体" w:hAnsi="宋体" w:cs="宋体"/>
        </w:rPr>
        <w:t>Reset</w:t>
      </w:r>
    </w:p>
    <w:p w14:paraId="746F1FE2" w14:textId="77777777" w:rsidR="008E7A10" w:rsidRDefault="00E047B2">
      <w:r>
        <w:pict w14:anchorId="746F2049">
          <v:rect id="_x0000_i1079" style="width:415.3pt;height:1.5pt" o:hralign="center" o:hrstd="t" o:hr="t" fillcolor="#a0a0a0" stroked="f"/>
        </w:pict>
      </w:r>
    </w:p>
    <w:p w14:paraId="746F1FE3" w14:textId="77777777" w:rsidR="008E7A10" w:rsidRDefault="00E047B2">
      <w:r>
        <w:rPr>
          <w:rFonts w:ascii="宋体" w:eastAsia="宋体" w:hAnsi="宋体" w:cs="宋体"/>
        </w:rPr>
        <w:t xml:space="preserve">Tag Shading (hover) </w:t>
      </w:r>
    </w:p>
    <w:p w14:paraId="746F1FE4" w14:textId="77777777" w:rsidR="008E7A10" w:rsidRDefault="00E047B2">
      <w:r>
        <w:rPr>
          <w:rFonts w:ascii="monospace" w:eastAsia="monospace" w:hAnsi="monospace" w:cs="monospace"/>
          <w:noProof/>
        </w:rPr>
        <mc:AlternateContent>
          <mc:Choice Requires="wps">
            <w:drawing>
              <wp:inline distT="0" distB="0" distL="114300" distR="114300" wp14:anchorId="746F204A" wp14:editId="746F204B">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46F1FE5" w14:textId="77777777" w:rsidR="008E7A10" w:rsidRDefault="00E047B2">
      <w:r>
        <w:rPr>
          <w:rFonts w:ascii="宋体" w:eastAsia="宋体" w:hAnsi="宋体" w:cs="宋体"/>
        </w:rPr>
        <w:t>Save</w:t>
      </w:r>
    </w:p>
    <w:p w14:paraId="746F1FE6" w14:textId="77777777" w:rsidR="008E7A10" w:rsidRDefault="00E047B2">
      <w:r>
        <w:rPr>
          <w:rFonts w:ascii="宋体" w:eastAsia="宋体" w:hAnsi="宋体" w:cs="宋体"/>
        </w:rPr>
        <w:t>Reset</w:t>
      </w:r>
    </w:p>
    <w:p w14:paraId="746F1FE7" w14:textId="77777777" w:rsidR="008E7A10" w:rsidRDefault="00E047B2">
      <w:pPr>
        <w:pStyle w:val="Style5"/>
      </w:pPr>
      <w:r>
        <w:t>窗体底端</w:t>
      </w:r>
    </w:p>
    <w:p w14:paraId="746F1FE8" w14:textId="77777777" w:rsidR="008E7A10" w:rsidRDefault="00E047B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46F204C" wp14:editId="746F204D">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1FEA" w14:textId="77777777">
        <w:trPr>
          <w:tblCellSpacing w:w="15" w:type="dxa"/>
        </w:trPr>
        <w:tc>
          <w:tcPr>
            <w:tcW w:w="0" w:type="auto"/>
            <w:shd w:val="clear" w:color="auto" w:fill="auto"/>
            <w:vAlign w:val="center"/>
          </w:tcPr>
          <w:p w14:paraId="746F1FE9" w14:textId="77777777" w:rsidR="008E7A10" w:rsidRDefault="008E7A10">
            <w:pPr>
              <w:rPr>
                <w:rFonts w:ascii="宋体"/>
              </w:rPr>
            </w:pPr>
          </w:p>
        </w:tc>
      </w:tr>
    </w:tbl>
    <w:p w14:paraId="746F1FEB" w14:textId="77777777" w:rsidR="008E7A10" w:rsidRDefault="008E7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1FED" w14:textId="77777777">
        <w:trPr>
          <w:tblCellSpacing w:w="15" w:type="dxa"/>
        </w:trPr>
        <w:tc>
          <w:tcPr>
            <w:tcW w:w="0" w:type="auto"/>
            <w:shd w:val="clear" w:color="auto" w:fill="auto"/>
            <w:vAlign w:val="center"/>
          </w:tcPr>
          <w:p w14:paraId="746F1FEC" w14:textId="77777777" w:rsidR="008E7A10" w:rsidRDefault="008E7A10">
            <w:pPr>
              <w:rPr>
                <w:rFonts w:ascii="宋体"/>
              </w:rPr>
            </w:pPr>
          </w:p>
        </w:tc>
      </w:tr>
    </w:tbl>
    <w:p w14:paraId="746F1FEE" w14:textId="77777777" w:rsidR="008E7A10" w:rsidRDefault="008E7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1FF0" w14:textId="77777777">
        <w:trPr>
          <w:tblCellSpacing w:w="15" w:type="dxa"/>
        </w:trPr>
        <w:tc>
          <w:tcPr>
            <w:tcW w:w="0" w:type="auto"/>
            <w:shd w:val="clear" w:color="auto" w:fill="auto"/>
            <w:vAlign w:val="center"/>
          </w:tcPr>
          <w:p w14:paraId="746F1FEF" w14:textId="77777777" w:rsidR="008E7A10" w:rsidRDefault="008E7A10">
            <w:pPr>
              <w:rPr>
                <w:rFonts w:ascii="宋体"/>
              </w:rPr>
            </w:pPr>
          </w:p>
        </w:tc>
      </w:tr>
    </w:tbl>
    <w:p w14:paraId="746F1FF1" w14:textId="77777777" w:rsidR="008E7A10" w:rsidRDefault="008E7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1FF3" w14:textId="77777777">
        <w:trPr>
          <w:tblCellSpacing w:w="15" w:type="dxa"/>
        </w:trPr>
        <w:tc>
          <w:tcPr>
            <w:tcW w:w="0" w:type="auto"/>
            <w:shd w:val="clear" w:color="auto" w:fill="auto"/>
            <w:vAlign w:val="center"/>
          </w:tcPr>
          <w:p w14:paraId="746F1FF2" w14:textId="77777777" w:rsidR="008E7A10" w:rsidRDefault="008E7A10">
            <w:pPr>
              <w:rPr>
                <w:rFonts w:ascii="宋体"/>
              </w:rPr>
            </w:pPr>
          </w:p>
        </w:tc>
      </w:tr>
    </w:tbl>
    <w:p w14:paraId="746F1FF4" w14:textId="77777777" w:rsidR="008E7A10" w:rsidRDefault="00E047B2">
      <w:r>
        <w:rPr>
          <w:rFonts w:ascii="宋体" w:eastAsia="宋体" w:hAnsi="宋体" w:cs="宋体"/>
        </w:rPr>
        <w:t xml:space="preserve">Previous Next </w:t>
      </w:r>
    </w:p>
    <w:p w14:paraId="746F1FF5" w14:textId="77777777" w:rsidR="008E7A10" w:rsidRDefault="00E047B2">
      <w:pPr>
        <w:pStyle w:val="a3"/>
      </w:pPr>
      <w:r>
        <w:t xml:space="preserve">Nested Facts / </w:t>
      </w:r>
    </w:p>
    <w:p w14:paraId="746F1FF6" w14:textId="77777777" w:rsidR="008E7A10" w:rsidRDefault="00E047B2">
      <w:r>
        <w:rPr>
          <w:rFonts w:ascii="宋体" w:eastAsia="宋体" w:hAnsi="宋体" w:cs="宋体"/>
        </w:rPr>
        <w:t xml:space="preserve">Previous Next </w:t>
      </w:r>
    </w:p>
    <w:p w14:paraId="746F1FF7" w14:textId="77777777" w:rsidR="008E7A10" w:rsidRDefault="00E047B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46F204E" wp14:editId="746F204F">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1FF9" w14:textId="77777777">
        <w:trPr>
          <w:tblCellSpacing w:w="15" w:type="dxa"/>
        </w:trPr>
        <w:tc>
          <w:tcPr>
            <w:tcW w:w="0" w:type="auto"/>
            <w:shd w:val="clear" w:color="auto" w:fill="auto"/>
            <w:vAlign w:val="center"/>
          </w:tcPr>
          <w:p w14:paraId="746F1FF8" w14:textId="77777777" w:rsidR="008E7A10" w:rsidRDefault="008E7A10">
            <w:pPr>
              <w:rPr>
                <w:rFonts w:ascii="宋体"/>
              </w:rPr>
            </w:pPr>
          </w:p>
        </w:tc>
      </w:tr>
    </w:tbl>
    <w:p w14:paraId="746F1FFA" w14:textId="77777777" w:rsidR="008E7A10" w:rsidRDefault="008E7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1FFC" w14:textId="77777777">
        <w:trPr>
          <w:tblCellSpacing w:w="15" w:type="dxa"/>
        </w:trPr>
        <w:tc>
          <w:tcPr>
            <w:tcW w:w="0" w:type="auto"/>
            <w:shd w:val="clear" w:color="auto" w:fill="auto"/>
            <w:vAlign w:val="center"/>
          </w:tcPr>
          <w:p w14:paraId="746F1FFB" w14:textId="77777777" w:rsidR="008E7A10" w:rsidRDefault="008E7A10">
            <w:pPr>
              <w:rPr>
                <w:rFonts w:ascii="宋体"/>
              </w:rPr>
            </w:pPr>
          </w:p>
        </w:tc>
      </w:tr>
    </w:tbl>
    <w:p w14:paraId="746F1FFD" w14:textId="77777777" w:rsidR="008E7A10" w:rsidRDefault="008E7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1FFF" w14:textId="77777777">
        <w:trPr>
          <w:tblCellSpacing w:w="15" w:type="dxa"/>
        </w:trPr>
        <w:tc>
          <w:tcPr>
            <w:tcW w:w="0" w:type="auto"/>
            <w:shd w:val="clear" w:color="auto" w:fill="auto"/>
            <w:vAlign w:val="center"/>
          </w:tcPr>
          <w:p w14:paraId="746F1FFE" w14:textId="77777777" w:rsidR="008E7A10" w:rsidRDefault="008E7A10">
            <w:pPr>
              <w:rPr>
                <w:rFonts w:ascii="宋体"/>
              </w:rPr>
            </w:pPr>
          </w:p>
        </w:tc>
      </w:tr>
    </w:tbl>
    <w:p w14:paraId="746F2000" w14:textId="77777777" w:rsidR="008E7A10" w:rsidRDefault="008E7A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7A10" w14:paraId="746F2002" w14:textId="77777777">
        <w:trPr>
          <w:tblCellSpacing w:w="15" w:type="dxa"/>
        </w:trPr>
        <w:tc>
          <w:tcPr>
            <w:tcW w:w="0" w:type="auto"/>
            <w:shd w:val="clear" w:color="auto" w:fill="auto"/>
            <w:vAlign w:val="center"/>
          </w:tcPr>
          <w:p w14:paraId="746F2001" w14:textId="77777777" w:rsidR="008E7A10" w:rsidRDefault="008E7A10">
            <w:pPr>
              <w:rPr>
                <w:rFonts w:ascii="宋体"/>
              </w:rPr>
            </w:pPr>
          </w:p>
        </w:tc>
      </w:tr>
    </w:tbl>
    <w:p w14:paraId="746F2003" w14:textId="77777777" w:rsidR="008E7A10" w:rsidRDefault="00E047B2">
      <w:r>
        <w:rPr>
          <w:rFonts w:ascii="宋体" w:eastAsia="宋体" w:hAnsi="宋体" w:cs="宋体"/>
        </w:rPr>
        <w:t xml:space="preserve">Previous Next </w:t>
      </w:r>
    </w:p>
    <w:p w14:paraId="746F2004" w14:textId="77777777" w:rsidR="008E7A10" w:rsidRDefault="008E7A10"/>
    <w:sectPr w:rsidR="008E7A1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CF4EB" w14:textId="77777777" w:rsidR="00E047B2" w:rsidRDefault="00E047B2" w:rsidP="00E047B2">
      <w:r>
        <w:separator/>
      </w:r>
    </w:p>
  </w:endnote>
  <w:endnote w:type="continuationSeparator" w:id="0">
    <w:p w14:paraId="0D3CE75B" w14:textId="77777777" w:rsidR="00E047B2" w:rsidRDefault="00E047B2" w:rsidP="00E0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01DE" w14:textId="77777777" w:rsidR="00E047B2" w:rsidRDefault="00E047B2" w:rsidP="00E047B2">
      <w:r>
        <w:separator/>
      </w:r>
    </w:p>
  </w:footnote>
  <w:footnote w:type="continuationSeparator" w:id="0">
    <w:p w14:paraId="547DD964" w14:textId="77777777" w:rsidR="00E047B2" w:rsidRDefault="00E047B2" w:rsidP="00E04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7FDF611"/>
    <w:rsid w:val="E7FDF611"/>
    <w:rsid w:val="008E7A10"/>
    <w:rsid w:val="00E04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6EFA91"/>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047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047B2"/>
    <w:rPr>
      <w:rFonts w:asciiTheme="minorEastAsia" w:hAnsiTheme="minorEastAsia" w:cs="Times New Roman"/>
      <w:sz w:val="18"/>
      <w:szCs w:val="18"/>
    </w:rPr>
  </w:style>
  <w:style w:type="paragraph" w:styleId="a8">
    <w:name w:val="footer"/>
    <w:basedOn w:val="a"/>
    <w:link w:val="a9"/>
    <w:rsid w:val="00E047B2"/>
    <w:pPr>
      <w:tabs>
        <w:tab w:val="center" w:pos="4153"/>
        <w:tab w:val="right" w:pos="8306"/>
      </w:tabs>
      <w:snapToGrid w:val="0"/>
    </w:pPr>
    <w:rPr>
      <w:sz w:val="18"/>
      <w:szCs w:val="18"/>
    </w:rPr>
  </w:style>
  <w:style w:type="character" w:customStyle="1" w:styleId="a9">
    <w:name w:val="页脚 字符"/>
    <w:basedOn w:val="a0"/>
    <w:link w:val="a8"/>
    <w:rsid w:val="00E047B2"/>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320187/000032018721000003/nke-20201130.htm" TargetMode="External"/><Relationship Id="rId21" Type="http://schemas.openxmlformats.org/officeDocument/2006/relationships/hyperlink" Target="https://www.sec.gov/ix?doc=/Archives/edgar/data/0000320187/000032018721000003/nke-20201130.htm" TargetMode="External"/><Relationship Id="rId42" Type="http://schemas.openxmlformats.org/officeDocument/2006/relationships/hyperlink" Target="https://www.sec.gov/ix?doc=/Archives/edgar/data/0000320187/000032018721000003/nke-20201130.htm" TargetMode="External"/><Relationship Id="rId47" Type="http://schemas.openxmlformats.org/officeDocument/2006/relationships/hyperlink" Target="https://www.sec.gov/ix?doc=/Archives/edgar/data/0000320187/000032018721000003/nke-20201130.htm" TargetMode="External"/><Relationship Id="rId63" Type="http://schemas.openxmlformats.org/officeDocument/2006/relationships/hyperlink" Target="https://www.sec.gov/ix?doc=/Archives/edgar/data/0000320187/000032018721000003/nke-20201130.htm" TargetMode="External"/><Relationship Id="rId68" Type="http://schemas.openxmlformats.org/officeDocument/2006/relationships/hyperlink" Target="https://www.sec.gov/ix?doc=/Archives/edgar/data/0000320187/000032018721000003/nke-20201130.htm" TargetMode="External"/><Relationship Id="rId84" Type="http://schemas.openxmlformats.org/officeDocument/2006/relationships/hyperlink" Target="https://www.sec.gov/ix?doc=/Archives/edgar/data/0000320187/000032018721000003/nke-20201130.htm" TargetMode="External"/><Relationship Id="rId89" Type="http://schemas.openxmlformats.org/officeDocument/2006/relationships/hyperlink" Target="https://www.sec.gov/ix?doc=/Archives/edgar/data/0000320187/000032018721000003/nke-20201130.htm" TargetMode="External"/><Relationship Id="rId112" Type="http://schemas.openxmlformats.org/officeDocument/2006/relationships/hyperlink" Target="https://www.sec.gov/ix?doc=/Archives/edgar/data/0000320187/000032018721000003/nke-20201130.htm" TargetMode="External"/><Relationship Id="rId16" Type="http://schemas.openxmlformats.org/officeDocument/2006/relationships/hyperlink" Target="https://www.sec.gov/ix?doc=/Archives/edgar/data/0000320187/000032018721000003/nke-20201130.htm" TargetMode="External"/><Relationship Id="rId107" Type="http://schemas.openxmlformats.org/officeDocument/2006/relationships/hyperlink" Target="https://www.sec.gov/ix?doc=/Archives/edgar/data/0000320187/000032018721000003/nke-20201130.htm" TargetMode="External"/><Relationship Id="rId11" Type="http://schemas.openxmlformats.org/officeDocument/2006/relationships/hyperlink" Target="https://www.sec.gov/ix?doc=/Archives/edgar/data/0000320187/000032018721000003/nke-20201130.htm" TargetMode="External"/><Relationship Id="rId32" Type="http://schemas.openxmlformats.org/officeDocument/2006/relationships/hyperlink" Target="https://www.sec.gov/ix?doc=/Archives/edgar/data/0000320187/000032018721000003/nke-20201130.htm" TargetMode="External"/><Relationship Id="rId37" Type="http://schemas.openxmlformats.org/officeDocument/2006/relationships/hyperlink" Target="https://www.sec.gov/ix?doc=/Archives/edgar/data/0000320187/000032018721000003/nke-20201130.htm" TargetMode="External"/><Relationship Id="rId53" Type="http://schemas.openxmlformats.org/officeDocument/2006/relationships/hyperlink" Target="https://www.sec.gov/ix?doc=/Archives/edgar/data/0000320187/000032018721000003/nke-20201130.htm" TargetMode="External"/><Relationship Id="rId58" Type="http://schemas.openxmlformats.org/officeDocument/2006/relationships/hyperlink" Target="https://www.sec.gov/ix?doc=/Archives/edgar/data/0000320187/000032018721000003/nke-20201130.htm" TargetMode="External"/><Relationship Id="rId74" Type="http://schemas.openxmlformats.org/officeDocument/2006/relationships/hyperlink" Target="https://www.sec.gov/ix?doc=/Archives/edgar/data/0000320187/000032018721000003/nke-20201130.htm" TargetMode="External"/><Relationship Id="rId79" Type="http://schemas.openxmlformats.org/officeDocument/2006/relationships/hyperlink" Target="https://www.sec.gov/ix?doc=/Archives/edgar/data/0000320187/000032018721000003/nke-20201130.htm" TargetMode="External"/><Relationship Id="rId102" Type="http://schemas.openxmlformats.org/officeDocument/2006/relationships/hyperlink" Target="https://www.sec.gov/ix?doc=/Archives/edgar/data/0000320187/000032018721000003/nke-20201130.htm" TargetMode="External"/><Relationship Id="rId123" Type="http://schemas.openxmlformats.org/officeDocument/2006/relationships/hyperlink" Target="http://www.sec.gov/Archives/edgar/data/320187/000032018720000054/nikeincstockincentivep.htm" TargetMode="External"/><Relationship Id="rId128" Type="http://schemas.openxmlformats.org/officeDocument/2006/relationships/hyperlink" Target="https://www.sec.gov/ix?doc=/Archives/edgar/data/0000320187/000032018721000003/nke-20201130.htm" TargetMode="External"/><Relationship Id="rId5" Type="http://schemas.openxmlformats.org/officeDocument/2006/relationships/endnotes" Target="endnotes.xml"/><Relationship Id="rId90" Type="http://schemas.openxmlformats.org/officeDocument/2006/relationships/hyperlink" Target="https://www.sec.gov/ix?doc=/Archives/edgar/data/0000320187/000032018721000003/nke-20201130.htm" TargetMode="External"/><Relationship Id="rId95" Type="http://schemas.openxmlformats.org/officeDocument/2006/relationships/hyperlink" Target="https://www.sec.gov/ix?doc=/Archives/edgar/data/0000320187/000032018721000003/nke-20201130.htm" TargetMode="External"/><Relationship Id="rId22" Type="http://schemas.openxmlformats.org/officeDocument/2006/relationships/hyperlink" Target="https://www.sec.gov/ix?doc=/Archives/edgar/data/0000320187/000032018721000003/nke-20201130.htm" TargetMode="External"/><Relationship Id="rId27" Type="http://schemas.openxmlformats.org/officeDocument/2006/relationships/hyperlink" Target="https://www.sec.gov/ix?doc=/Archives/edgar/data/0000320187/000032018721000003/nke-20201130.htm" TargetMode="External"/><Relationship Id="rId43" Type="http://schemas.openxmlformats.org/officeDocument/2006/relationships/hyperlink" Target="https://www.sec.gov/ix?doc=/Archives/edgar/data/0000320187/000032018721000003/nke-20201130.htm" TargetMode="External"/><Relationship Id="rId48" Type="http://schemas.openxmlformats.org/officeDocument/2006/relationships/hyperlink" Target="https://www.sec.gov/ix?doc=/Archives/edgar/data/0000320187/000032018721000003/nke-20201130.htm" TargetMode="External"/><Relationship Id="rId64" Type="http://schemas.openxmlformats.org/officeDocument/2006/relationships/hyperlink" Target="https://www.sec.gov/ix?doc=/Archives/edgar/data/0000320187/000032018721000003/nke-20201130.htm" TargetMode="External"/><Relationship Id="rId69" Type="http://schemas.openxmlformats.org/officeDocument/2006/relationships/hyperlink" Target="https://www.sec.gov/ix?doc=/Archives/edgar/data/0000320187/000032018721000003/nke-20201130.htm" TargetMode="External"/><Relationship Id="rId113" Type="http://schemas.openxmlformats.org/officeDocument/2006/relationships/hyperlink" Target="https://www.sec.gov/ix?doc=/Archives/edgar/data/0000320187/000032018721000003/nke-20201130.htm" TargetMode="External"/><Relationship Id="rId118" Type="http://schemas.openxmlformats.org/officeDocument/2006/relationships/hyperlink" Target="https://www.sec.gov/ix?doc=/Archives/edgar/data/0000320187/000032018721000003/nke-20201130.htm" TargetMode="External"/><Relationship Id="rId80" Type="http://schemas.openxmlformats.org/officeDocument/2006/relationships/hyperlink" Target="https://www.sec.gov/ix?doc=/Archives/edgar/data/0000320187/000032018721000003/nke-20201130.htm" TargetMode="External"/><Relationship Id="rId85" Type="http://schemas.openxmlformats.org/officeDocument/2006/relationships/hyperlink" Target="https://www.sec.gov/ix?doc=/Archives/edgar/data/0000320187/000032018721000003/nke-20201130.htm" TargetMode="External"/><Relationship Id="rId12" Type="http://schemas.openxmlformats.org/officeDocument/2006/relationships/hyperlink" Target="https://www.sec.gov/ix?doc=/Archives/edgar/data/0000320187/000032018721000003/nke-20201130.htm" TargetMode="External"/><Relationship Id="rId17" Type="http://schemas.openxmlformats.org/officeDocument/2006/relationships/hyperlink" Target="https://www.sec.gov/ix?doc=/Archives/edgar/data/0000320187/000032018721000003/nke-20201130.htm" TargetMode="External"/><Relationship Id="rId33" Type="http://schemas.openxmlformats.org/officeDocument/2006/relationships/hyperlink" Target="https://www.sec.gov/ix?doc=/Archives/edgar/data/0000320187/000032018721000003/nke-20201130.htm" TargetMode="External"/><Relationship Id="rId38" Type="http://schemas.openxmlformats.org/officeDocument/2006/relationships/hyperlink" Target="https://www.sec.gov/ix?doc=/Archives/edgar/data/0000320187/000032018721000003/nke-20201130.htm" TargetMode="External"/><Relationship Id="rId59" Type="http://schemas.openxmlformats.org/officeDocument/2006/relationships/hyperlink" Target="https://www.sec.gov/ix?doc=/Archives/edgar/data/0000320187/000032018721000003/nke-20201130.htm" TargetMode="External"/><Relationship Id="rId103" Type="http://schemas.openxmlformats.org/officeDocument/2006/relationships/hyperlink" Target="https://www.sec.gov/ix?doc=/Archives/edgar/data/0000320187/000032018721000003/nke-20201130.htm" TargetMode="External"/><Relationship Id="rId108" Type="http://schemas.openxmlformats.org/officeDocument/2006/relationships/hyperlink" Target="https://www.sec.gov/ix?doc=/Archives/edgar/data/0000320187/000032018721000003/nke-20201130.htm" TargetMode="External"/><Relationship Id="rId124" Type="http://schemas.openxmlformats.org/officeDocument/2006/relationships/hyperlink" Target="https://www.sec.gov/Archives/edgar/data/0000320187/000032018721000003/nke-11302020xexhibit311.htm" TargetMode="External"/><Relationship Id="rId129" Type="http://schemas.openxmlformats.org/officeDocument/2006/relationships/fontTable" Target="fontTable.xml"/><Relationship Id="rId54" Type="http://schemas.openxmlformats.org/officeDocument/2006/relationships/hyperlink" Target="https://www.sec.gov/ix?doc=/Archives/edgar/data/0000320187/000032018721000003/nke-20201130.htm" TargetMode="External"/><Relationship Id="rId70" Type="http://schemas.openxmlformats.org/officeDocument/2006/relationships/hyperlink" Target="https://www.sec.gov/ix?doc=/Archives/edgar/data/0000320187/000032018721000003/nke-20201130.htm" TargetMode="External"/><Relationship Id="rId75" Type="http://schemas.openxmlformats.org/officeDocument/2006/relationships/hyperlink" Target="https://www.sec.gov/ix?doc=/Archives/edgar/data/0000320187/000032018721000003/nke-20201130.htm" TargetMode="External"/><Relationship Id="rId91" Type="http://schemas.openxmlformats.org/officeDocument/2006/relationships/hyperlink" Target="https://www.sec.gov/ix?doc=/Archives/edgar/data/0000320187/000032018721000003/nke-20201130.htm" TargetMode="External"/><Relationship Id="rId96" Type="http://schemas.openxmlformats.org/officeDocument/2006/relationships/hyperlink" Target="https://www.sec.gov/ix?doc=/Archives/edgar/data/0000320187/000032018721000003/nke-20201130.htm" TargetMode="External"/><Relationship Id="rId1" Type="http://schemas.openxmlformats.org/officeDocument/2006/relationships/styles" Target="styles.xml"/><Relationship Id="rId23" Type="http://schemas.openxmlformats.org/officeDocument/2006/relationships/hyperlink" Target="https://www.sec.gov/ix?doc=/Archives/edgar/data/0000320187/000032018721000003/nke-20201130.htm" TargetMode="External"/><Relationship Id="rId28" Type="http://schemas.openxmlformats.org/officeDocument/2006/relationships/hyperlink" Target="https://www.sec.gov/ix?doc=/Archives/edgar/data/0000320187/000032018721000003/nke-20201130.htm" TargetMode="External"/><Relationship Id="rId49" Type="http://schemas.openxmlformats.org/officeDocument/2006/relationships/hyperlink" Target="https://www.sec.gov/ix?doc=/Archives/edgar/data/0000320187/000032018721000003/nke-20201130.htm" TargetMode="External"/><Relationship Id="rId114" Type="http://schemas.openxmlformats.org/officeDocument/2006/relationships/hyperlink" Target="https://www.sec.gov/ix?doc=/Archives/edgar/data/0000320187/000032018721000003/nke-20201130.htm" TargetMode="External"/><Relationship Id="rId119" Type="http://schemas.openxmlformats.org/officeDocument/2006/relationships/hyperlink" Target="http://www.sec.gov/Archives/edgar/data/320187/000032018716000242/nke-11302015xexhibit31.htm" TargetMode="External"/><Relationship Id="rId44" Type="http://schemas.openxmlformats.org/officeDocument/2006/relationships/hyperlink" Target="https://www.sec.gov/ix?doc=/Archives/edgar/data/0000320187/000032018721000003/nke-20201130.htm" TargetMode="External"/><Relationship Id="rId60" Type="http://schemas.openxmlformats.org/officeDocument/2006/relationships/hyperlink" Target="https://www.sec.gov/ix?doc=/Archives/edgar/data/0000320187/000032018721000003/nke-20201130.htm" TargetMode="External"/><Relationship Id="rId65" Type="http://schemas.openxmlformats.org/officeDocument/2006/relationships/hyperlink" Target="https://www.sec.gov/ix?doc=/Archives/edgar/data/0000320187/000032018721000003/nke-20201130.htm" TargetMode="External"/><Relationship Id="rId81" Type="http://schemas.openxmlformats.org/officeDocument/2006/relationships/hyperlink" Target="https://www.sec.gov/ix?doc=/Archives/edgar/data/0000320187/000032018721000003/nke-20201130.htm" TargetMode="External"/><Relationship Id="rId86" Type="http://schemas.openxmlformats.org/officeDocument/2006/relationships/hyperlink" Target="https://www.sec.gov/ix?doc=/Archives/edgar/data/0000320187/000032018721000003/nke-20201130.htm" TargetMode="External"/><Relationship Id="rId130" Type="http://schemas.openxmlformats.org/officeDocument/2006/relationships/theme" Target="theme/theme1.xml"/><Relationship Id="rId13" Type="http://schemas.openxmlformats.org/officeDocument/2006/relationships/hyperlink" Target="https://www.sec.gov/ix?doc=/Archives/edgar/data/0000320187/000032018721000003/nke-20201130.htm" TargetMode="External"/><Relationship Id="rId18" Type="http://schemas.openxmlformats.org/officeDocument/2006/relationships/hyperlink" Target="https://www.sec.gov/ix?doc=/Archives/edgar/data/0000320187/000032018721000003/nke-20201130.htm" TargetMode="External"/><Relationship Id="rId39" Type="http://schemas.openxmlformats.org/officeDocument/2006/relationships/hyperlink" Target="https://www.sec.gov/ix?doc=/Archives/edgar/data/0000320187/000032018721000003/nke-20201130.htm" TargetMode="External"/><Relationship Id="rId109" Type="http://schemas.openxmlformats.org/officeDocument/2006/relationships/hyperlink" Target="https://www.sec.gov/ix?doc=/Archives/edgar/data/0000320187/000032018721000003/nke-20201130.htm" TargetMode="External"/><Relationship Id="rId34" Type="http://schemas.openxmlformats.org/officeDocument/2006/relationships/hyperlink" Target="https://www.sec.gov/ix?doc=/Archives/edgar/data/0000320187/000032018721000003/nke-20201130.htm" TargetMode="External"/><Relationship Id="rId50" Type="http://schemas.openxmlformats.org/officeDocument/2006/relationships/hyperlink" Target="https://www.sec.gov/ix?doc=/Archives/edgar/data/0000320187/000032018721000003/nke-20201130.htm" TargetMode="External"/><Relationship Id="rId55" Type="http://schemas.openxmlformats.org/officeDocument/2006/relationships/hyperlink" Target="https://www.sec.gov/ix?doc=/Archives/edgar/data/0000320187/000032018721000003/nke-20201130.htm" TargetMode="External"/><Relationship Id="rId76" Type="http://schemas.openxmlformats.org/officeDocument/2006/relationships/hyperlink" Target="https://www.sec.gov/ix?doc=/Archives/edgar/data/0000320187/000032018721000003/nke-20201130.htm" TargetMode="External"/><Relationship Id="rId97" Type="http://schemas.openxmlformats.org/officeDocument/2006/relationships/hyperlink" Target="https://www.sec.gov/ix?doc=/Archives/edgar/data/0000320187/000032018721000003/nke-20201130.htm" TargetMode="External"/><Relationship Id="rId104" Type="http://schemas.openxmlformats.org/officeDocument/2006/relationships/hyperlink" Target="https://www.sec.gov/ix?doc=/Archives/edgar/data/0000320187/000032018721000003/nke-20201130.htm" TargetMode="External"/><Relationship Id="rId120" Type="http://schemas.openxmlformats.org/officeDocument/2006/relationships/hyperlink" Target="https://www.sec.gov/Archives/edgar/data/320187/000032018720000029/nkeexhibit31.htm" TargetMode="External"/><Relationship Id="rId125" Type="http://schemas.openxmlformats.org/officeDocument/2006/relationships/hyperlink" Target="https://www.sec.gov/Archives/edgar/data/0000320187/000032018721000003/nke-11302020xexhibit312.htm" TargetMode="External"/><Relationship Id="rId7" Type="http://schemas.openxmlformats.org/officeDocument/2006/relationships/hyperlink" Target="https://www.sec.gov/ix?doc=/Archives/edgar/data/0000320187/000032018721000003/nke-20201130.htm" TargetMode="External"/><Relationship Id="rId71" Type="http://schemas.openxmlformats.org/officeDocument/2006/relationships/hyperlink" Target="https://www.sec.gov/ix?doc=/Archives/edgar/data/0000320187/000032018721000003/nke-20201130.htm" TargetMode="External"/><Relationship Id="rId92" Type="http://schemas.openxmlformats.org/officeDocument/2006/relationships/hyperlink" Target="https://www.sec.gov/ix?doc=/Archives/edgar/data/0000320187/000032018721000003/nke-20201130.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1000003/nke-20201130.htm" TargetMode="External"/><Relationship Id="rId24" Type="http://schemas.openxmlformats.org/officeDocument/2006/relationships/hyperlink" Target="https://www.sec.gov/ix?doc=/Archives/edgar/data/0000320187/000032018721000003/nke-20201130.htm" TargetMode="External"/><Relationship Id="rId40" Type="http://schemas.openxmlformats.org/officeDocument/2006/relationships/hyperlink" Target="https://www.sec.gov/ix?doc=/Archives/edgar/data/0000320187/000032018721000003/nke-20201130.htm" TargetMode="External"/><Relationship Id="rId45" Type="http://schemas.openxmlformats.org/officeDocument/2006/relationships/hyperlink" Target="https://www.sec.gov/ix?doc=/Archives/edgar/data/0000320187/000032018721000003/nke-20201130.htm" TargetMode="External"/><Relationship Id="rId66" Type="http://schemas.openxmlformats.org/officeDocument/2006/relationships/hyperlink" Target="https://www.sec.gov/ix?doc=/Archives/edgar/data/0000320187/000032018721000003/nke-20201130.htm" TargetMode="External"/><Relationship Id="rId87" Type="http://schemas.openxmlformats.org/officeDocument/2006/relationships/hyperlink" Target="https://www.sec.gov/ix?doc=/Archives/edgar/data/0000320187/000032018721000003/nke-20201130.htm" TargetMode="External"/><Relationship Id="rId110" Type="http://schemas.openxmlformats.org/officeDocument/2006/relationships/hyperlink" Target="https://www.sec.gov/ix?doc=/Archives/edgar/data/0000320187/000032018721000003/nke-20201130.htm" TargetMode="External"/><Relationship Id="rId115" Type="http://schemas.openxmlformats.org/officeDocument/2006/relationships/hyperlink" Target="https://www.sec.gov/ix?doc=/Archives/edgar/data/0000320187/000032018721000003/nke-20201130.htm" TargetMode="External"/><Relationship Id="rId61" Type="http://schemas.openxmlformats.org/officeDocument/2006/relationships/hyperlink" Target="https://www.sec.gov/ix?doc=/Archives/edgar/data/0000320187/000032018721000003/nke-20201130.htm" TargetMode="External"/><Relationship Id="rId82" Type="http://schemas.openxmlformats.org/officeDocument/2006/relationships/hyperlink" Target="https://www.sec.gov/ix?doc=/Archives/edgar/data/0000320187/000032018721000003/nke-20201130.htm" TargetMode="External"/><Relationship Id="rId19" Type="http://schemas.openxmlformats.org/officeDocument/2006/relationships/hyperlink" Target="https://www.sec.gov/ix?doc=/Archives/edgar/data/0000320187/000032018721000003/nke-20201130.htm" TargetMode="External"/><Relationship Id="rId14" Type="http://schemas.openxmlformats.org/officeDocument/2006/relationships/hyperlink" Target="https://www.sec.gov/ix?doc=/Archives/edgar/data/0000320187/000032018721000003/nke-20201130.htm" TargetMode="External"/><Relationship Id="rId30" Type="http://schemas.openxmlformats.org/officeDocument/2006/relationships/hyperlink" Target="https://www.sec.gov/ix?doc=/Archives/edgar/data/0000320187/000032018721000003/nke-20201130.htm" TargetMode="External"/><Relationship Id="rId35" Type="http://schemas.openxmlformats.org/officeDocument/2006/relationships/hyperlink" Target="https://www.sec.gov/ix?doc=/Archives/edgar/data/0000320187/000032018721000003/nke-20201130.htm" TargetMode="External"/><Relationship Id="rId56" Type="http://schemas.openxmlformats.org/officeDocument/2006/relationships/hyperlink" Target="https://www.sec.gov/ix?doc=/Archives/edgar/data/0000320187/000032018721000003/nke-20201130.htm" TargetMode="External"/><Relationship Id="rId77" Type="http://schemas.openxmlformats.org/officeDocument/2006/relationships/hyperlink" Target="https://www.sec.gov/ix?doc=/Archives/edgar/data/0000320187/000032018721000003/nke-20201130.htm" TargetMode="External"/><Relationship Id="rId100" Type="http://schemas.openxmlformats.org/officeDocument/2006/relationships/hyperlink" Target="https://www.sec.gov/ix?doc=/Archives/edgar/data/0000320187/000032018721000003/nke-20201130.htm" TargetMode="External"/><Relationship Id="rId105" Type="http://schemas.openxmlformats.org/officeDocument/2006/relationships/hyperlink" Target="https://www.sec.gov/ix?doc=/Archives/edgar/data/0000320187/000032018721000003/nke-20201130.htm" TargetMode="External"/><Relationship Id="rId126" Type="http://schemas.openxmlformats.org/officeDocument/2006/relationships/hyperlink" Target="https://www.sec.gov/Archives/edgar/data/0000320187/000032018721000003/nke-11302020xexhibit321.htm" TargetMode="External"/><Relationship Id="rId8" Type="http://schemas.openxmlformats.org/officeDocument/2006/relationships/hyperlink" Target="https://www.sec.gov/ix?doc=/Archives/edgar/data/0000320187/000032018721000003/nke-20201130.htm" TargetMode="External"/><Relationship Id="rId51" Type="http://schemas.openxmlformats.org/officeDocument/2006/relationships/hyperlink" Target="https://www.sec.gov/ix?doc=/Archives/edgar/data/0000320187/000032018721000003/nke-20201130.htm" TargetMode="External"/><Relationship Id="rId72" Type="http://schemas.openxmlformats.org/officeDocument/2006/relationships/hyperlink" Target="https://www.sec.gov/ix?doc=/Archives/edgar/data/0000320187/000032018721000003/nke-20201130.htm" TargetMode="External"/><Relationship Id="rId93" Type="http://schemas.openxmlformats.org/officeDocument/2006/relationships/hyperlink" Target="https://www.sec.gov/ix?doc=/Archives/edgar/data/0000320187/000032018721000003/nke-20201130.htm" TargetMode="External"/><Relationship Id="rId98" Type="http://schemas.openxmlformats.org/officeDocument/2006/relationships/hyperlink" Target="https://www.sec.gov/ix?doc=/Archives/edgar/data/0000320187/000032018721000003/nke-20201130.htm" TargetMode="External"/><Relationship Id="rId121" Type="http://schemas.openxmlformats.org/officeDocument/2006/relationships/hyperlink" Target="http://www.sec.gov/Archives/edgar/data/320187/000032018716000242/nke-11302015xexhibit31.htm" TargetMode="External"/><Relationship Id="rId3" Type="http://schemas.openxmlformats.org/officeDocument/2006/relationships/webSettings" Target="webSettings.xml"/><Relationship Id="rId25" Type="http://schemas.openxmlformats.org/officeDocument/2006/relationships/hyperlink" Target="https://www.sec.gov/ix?doc=/Archives/edgar/data/0000320187/000032018721000003/nke-20201130.htm" TargetMode="External"/><Relationship Id="rId46" Type="http://schemas.openxmlformats.org/officeDocument/2006/relationships/hyperlink" Target="https://www.sec.gov/ix?doc=/Archives/edgar/data/0000320187/000032018721000003/nke-20201130.htm" TargetMode="External"/><Relationship Id="rId67" Type="http://schemas.openxmlformats.org/officeDocument/2006/relationships/hyperlink" Target="https://www.sec.gov/ix?doc=/Archives/edgar/data/0000320187/000032018721000003/nke-20201130.htm" TargetMode="External"/><Relationship Id="rId116" Type="http://schemas.openxmlformats.org/officeDocument/2006/relationships/hyperlink" Target="https://www.sec.gov/ix?doc=/Archives/edgar/data/0000320187/000032018721000003/nke-20201130.htm" TargetMode="External"/><Relationship Id="rId20" Type="http://schemas.openxmlformats.org/officeDocument/2006/relationships/hyperlink" Target="https://www.sec.gov/ix?doc=/Archives/edgar/data/0000320187/000032018721000003/nke-20201130.htm" TargetMode="External"/><Relationship Id="rId41" Type="http://schemas.openxmlformats.org/officeDocument/2006/relationships/hyperlink" Target="https://www.sec.gov/ix?doc=/Archives/edgar/data/0000320187/000032018721000003/nke-20201130.htm" TargetMode="External"/><Relationship Id="rId62" Type="http://schemas.openxmlformats.org/officeDocument/2006/relationships/hyperlink" Target="https://www.sec.gov/ix?doc=/Archives/edgar/data/0000320187/000032018721000003/nke-20201130.htm" TargetMode="External"/><Relationship Id="rId83" Type="http://schemas.openxmlformats.org/officeDocument/2006/relationships/hyperlink" Target="https://www.sec.gov/ix?doc=/Archives/edgar/data/0000320187/000032018721000003/nke-20201130.htm" TargetMode="External"/><Relationship Id="rId88" Type="http://schemas.openxmlformats.org/officeDocument/2006/relationships/hyperlink" Target="https://www.sec.gov/ix?doc=/Archives/edgar/data/0000320187/000032018721000003/nke-20201130.htm" TargetMode="External"/><Relationship Id="rId111" Type="http://schemas.openxmlformats.org/officeDocument/2006/relationships/hyperlink" Target="https://www.sec.gov/ix?doc=/Archives/edgar/data/0000320187/000032018721000003/nke-20201130.htm" TargetMode="External"/><Relationship Id="rId15" Type="http://schemas.openxmlformats.org/officeDocument/2006/relationships/hyperlink" Target="https://www.sec.gov/ix?doc=/Archives/edgar/data/0000320187/000032018721000003/nke-20201130.htm" TargetMode="External"/><Relationship Id="rId36" Type="http://schemas.openxmlformats.org/officeDocument/2006/relationships/hyperlink" Target="https://www.sec.gov/ix?doc=/Archives/edgar/data/0000320187/000032018721000003/nke-20201130.htm" TargetMode="External"/><Relationship Id="rId57" Type="http://schemas.openxmlformats.org/officeDocument/2006/relationships/hyperlink" Target="https://www.sec.gov/ix?doc=/Archives/edgar/data/0000320187/000032018721000003/nke-20201130.htm" TargetMode="External"/><Relationship Id="rId106" Type="http://schemas.openxmlformats.org/officeDocument/2006/relationships/hyperlink" Target="https://www.sec.gov/ix?doc=/Archives/edgar/data/0000320187/000032018721000003/nke-20201130.htm" TargetMode="External"/><Relationship Id="rId127" Type="http://schemas.openxmlformats.org/officeDocument/2006/relationships/hyperlink" Target="https://www.sec.gov/Archives/edgar/data/0000320187/000032018721000003/nke-11302020xexhibit322.htm" TargetMode="External"/><Relationship Id="rId10" Type="http://schemas.openxmlformats.org/officeDocument/2006/relationships/hyperlink" Target="https://www.sec.gov/ix?doc=/Archives/edgar/data/0000320187/000032018721000003/nke-20201130.htm" TargetMode="External"/><Relationship Id="rId31" Type="http://schemas.openxmlformats.org/officeDocument/2006/relationships/hyperlink" Target="https://www.sec.gov/ix?doc=/Archives/edgar/data/0000320187/000032018721000003/nke-20201130.htm" TargetMode="External"/><Relationship Id="rId52" Type="http://schemas.openxmlformats.org/officeDocument/2006/relationships/hyperlink" Target="https://www.sec.gov/ix?doc=/Archives/edgar/data/0000320187/000032018721000003/nke-20201130.htm" TargetMode="External"/><Relationship Id="rId73" Type="http://schemas.openxmlformats.org/officeDocument/2006/relationships/hyperlink" Target="https://www.sec.gov/ix?doc=/Archives/edgar/data/0000320187/000032018721000003/nke-20201130.htm" TargetMode="External"/><Relationship Id="rId78" Type="http://schemas.openxmlformats.org/officeDocument/2006/relationships/hyperlink" Target="https://www.sec.gov/ix?doc=/Archives/edgar/data/0000320187/000032018721000003/nke-20201130.htm" TargetMode="External"/><Relationship Id="rId94" Type="http://schemas.openxmlformats.org/officeDocument/2006/relationships/hyperlink" Target="https://www.sec.gov/ix?doc=/Archives/edgar/data/0000320187/000032018721000003/nke-20201130.htm" TargetMode="External"/><Relationship Id="rId99" Type="http://schemas.openxmlformats.org/officeDocument/2006/relationships/hyperlink" Target="https://www.sec.gov/ix?doc=/Archives/edgar/data/0000320187/000032018721000003/nke-20201130.htm" TargetMode="External"/><Relationship Id="rId101" Type="http://schemas.openxmlformats.org/officeDocument/2006/relationships/hyperlink" Target="https://www.sec.gov/ix?doc=/Archives/edgar/data/0000320187/000032018721000003/nke-20201130.htm" TargetMode="External"/><Relationship Id="rId122" Type="http://schemas.openxmlformats.org/officeDocument/2006/relationships/hyperlink" Target="https://www.sec.gov/Archives/edgar/data/320187/000032018720000029/nkeexhibit31.htm" TargetMode="External"/><Relationship Id="rId4" Type="http://schemas.openxmlformats.org/officeDocument/2006/relationships/footnotes" Target="footnotes.xml"/><Relationship Id="rId9" Type="http://schemas.openxmlformats.org/officeDocument/2006/relationships/hyperlink" Target="https://www.sec.gov/ix?doc=/Archives/edgar/data/0000320187/000032018721000003/nke-20201130.htm" TargetMode="External"/><Relationship Id="rId26" Type="http://schemas.openxmlformats.org/officeDocument/2006/relationships/hyperlink" Target="https://www.sec.gov/ix?doc=/Archives/edgar/data/0000320187/000032018721000003/nke-202011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36152</Words>
  <Characters>206071</Characters>
  <Application>Microsoft Office Word</Application>
  <DocSecurity>0</DocSecurity>
  <Lines>1717</Lines>
  <Paragraphs>483</Paragraphs>
  <ScaleCrop>false</ScaleCrop>
  <Company/>
  <LinksUpToDate>false</LinksUpToDate>
  <CharactersWithSpaces>241740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2023-02-11T21:50:00Z</dcterms:created>
  <dcterms:modified xsi:type="dcterms:W3CDTF">2023-02-13T11:26:00Z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FB682CFDA747A73E169DE7638E0DF2B1</vt:lpwstr>
  </property>
</Properties>
</file>