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C58C5" w14:textId="7733294D" w:rsidR="00066C63" w:rsidRDefault="009656F6">
      <w:pPr>
        <w:rPr>
          <w:vanish/>
        </w:rPr>
      </w:pPr>
      <w:r>
        <w:rPr>
          <w:rFonts w:ascii="宋体" w:eastAsia="宋体" w:hAnsi="宋体" w:cs="宋体"/>
        </w:rPr>
        <w:t xml:space="preserve"> </w:t>
      </w:r>
      <w:r>
        <w:rPr>
          <w:rFonts w:ascii="宋体" w:eastAsia="宋体" w:hAnsi="宋体" w:cs="宋体"/>
          <w:vanish/>
        </w:rPr>
        <w:t xml:space="preserve">false2021Q30000320187May </w:t>
      </w:r>
      <w:r>
        <w:rPr>
          <w:rFonts w:ascii="宋体" w:eastAsia="宋体" w:hAnsi="宋体" w:cs="宋体"/>
          <w:vanish/>
        </w:rPr>
        <w:t>31YesYesus-gaap:AccountingStandardsUpdate201602Member00003201872020-06-012021-02-28xbrli:shares0000320187us-gaap:CommonClassAMember2021-03-260000320187us-gaap:CommonClassBMember2021-03-26iso4217:USD00003201872020-12-012021-02-2800003201872019-12-012020-02-</w:t>
      </w:r>
      <w:r>
        <w:rPr>
          <w:rFonts w:ascii="宋体" w:eastAsia="宋体" w:hAnsi="宋体" w:cs="宋体"/>
          <w:vanish/>
        </w:rPr>
        <w:t>2900003201872019-06-012020-02-29iso4217:USDxbrli:shares00003201872021-02-2800003201872020-05-310000320187us-gaap:CommonClassAMember2021-02-280000320187us-gaap:CommonClassAMember2020-05-310000320187us-gaap:CommonClassBMember2021-02-280000320187us-gaap:Commo</w:t>
      </w:r>
      <w:r>
        <w:rPr>
          <w:rFonts w:ascii="宋体" w:eastAsia="宋体" w:hAnsi="宋体" w:cs="宋体"/>
          <w:vanish/>
        </w:rPr>
        <w:t>nClassBMember2020-05-3100003201872019-05-3100003201872020-02-290000320187us-gaap:CommonStockMemberus-gaap:CommonClassAMember2020-11-300000320187us-gaap:CommonStockMemberus-gaap:CommonClassBMember2020-11-300000320187us-gaap:AdditionalPaidInCapitalMember2020</w:t>
      </w:r>
      <w:r>
        <w:rPr>
          <w:rFonts w:ascii="宋体" w:eastAsia="宋体" w:hAnsi="宋体" w:cs="宋体"/>
          <w:vanish/>
        </w:rPr>
        <w:t>-11-300000320187us-gaap:AccumulatedOtherComprehensiveIncomeMember2020-11-300000320187us-gaap:RetainedEarningsMember2020-11-3000003201872020-11-300000320187us-gaap:CommonStockMemberus-gaap:CommonClassBMember2020-12-012021-02-280000320187us-gaap:AdditionalPa</w:t>
      </w:r>
      <w:r>
        <w:rPr>
          <w:rFonts w:ascii="宋体" w:eastAsia="宋体" w:hAnsi="宋体" w:cs="宋体"/>
          <w:vanish/>
        </w:rPr>
        <w:t>idInCapitalMember2020-12-012021-02-280000320187us-gaap:RetainedEarningsMember2020-12-012021-02-280000320187us-gaap:AccumulatedOtherComprehensiveIncomeMember2020-12-012021-02-280000320187us-gaap:CommonStockMemberus-gaap:CommonClassAMember2021-02-28000032018</w:t>
      </w:r>
      <w:r>
        <w:rPr>
          <w:rFonts w:ascii="宋体" w:eastAsia="宋体" w:hAnsi="宋体" w:cs="宋体"/>
          <w:vanish/>
        </w:rPr>
        <w:t>7us-gaap:CommonStockMemberus-gaap:CommonClassBMember2021-02-280000320187us-gaap:AdditionalPaidInCapitalMember2021-02-280000320187us-gaap:AccumulatedOtherComprehensiveIncomeMember2021-02-280000320187us-gaap:RetainedEarningsMember2021-02-280000320187us-gaap:</w:t>
      </w:r>
      <w:r>
        <w:rPr>
          <w:rFonts w:ascii="宋体" w:eastAsia="宋体" w:hAnsi="宋体" w:cs="宋体"/>
          <w:vanish/>
        </w:rPr>
        <w:t>CommonStockMemberus-gaap:CommonClassAMember2019-11-300000320187us-gaap:CommonStockMemberus-gaap:CommonClassBMember2019-11-300000320187us-gaap:AdditionalPaidInCapitalMember2019-11-300000320187us-gaap:AccumulatedOtherComprehensiveIncomeMember2019-11-30000032</w:t>
      </w:r>
      <w:r>
        <w:rPr>
          <w:rFonts w:ascii="宋体" w:eastAsia="宋体" w:hAnsi="宋体" w:cs="宋体"/>
          <w:vanish/>
        </w:rPr>
        <w:t>0187us-gaap:RetainedEarningsMember2019-11-3000003201872019-11-300000320187us-gaap:CommonStockMemberus-gaap:CommonClassBMember2019-12-012020-02-290000320187us-gaap:AdditionalPaidInCapitalMember2019-12-012020-02-290000320187us-gaap:RetainedEarningsMember2019</w:t>
      </w:r>
      <w:r>
        <w:rPr>
          <w:rFonts w:ascii="宋体" w:eastAsia="宋体" w:hAnsi="宋体" w:cs="宋体"/>
          <w:vanish/>
        </w:rPr>
        <w:t>-12-012020-02-290000320187us-gaap:AccumulatedOtherComprehensiveIncomeMember2019-12-012020-02-290000320187us-gaap:CommonStockMemberus-gaap:CommonClassAMember2020-02-290000320187us-gaap:CommonStockMemberus-gaap:CommonClassBMember2020-02-290000320187us-gaap:A</w:t>
      </w:r>
      <w:r>
        <w:rPr>
          <w:rFonts w:ascii="宋体" w:eastAsia="宋体" w:hAnsi="宋体" w:cs="宋体"/>
          <w:vanish/>
        </w:rPr>
        <w:t>dditionalPaidInCapitalMember2020-02-290000320187us-gaap:AccumulatedOtherComprehensiveIncomeMember2020-02-290000320187us-gaap:RetainedEarningsMember2020-02-290000320187us-gaap:CommonStockMemberus-gaap:CommonClassAMember2020-05-310000320187us-gaap:CommonStoc</w:t>
      </w:r>
      <w:r>
        <w:rPr>
          <w:rFonts w:ascii="宋体" w:eastAsia="宋体" w:hAnsi="宋体" w:cs="宋体"/>
          <w:vanish/>
        </w:rPr>
        <w:t>kMemberus-gaap:CommonClassBMember2020-05-310000320187us-gaap:AdditionalPaidInCapitalMember2020-05-310000320187us-gaap:AccumulatedOtherComprehensiveIncomeMember2020-05-310000320187us-gaap:RetainedEarningsMember2020-05-310000320187us-gaap:CommonStockMemberus</w:t>
      </w:r>
      <w:r>
        <w:rPr>
          <w:rFonts w:ascii="宋体" w:eastAsia="宋体" w:hAnsi="宋体" w:cs="宋体"/>
          <w:vanish/>
        </w:rPr>
        <w:t>-gaap:CommonClassBMember2020-06-012021-02-280000320187us-gaap:AdditionalPaidInCapitalMember2020-06-012021-02-280000320187us-gaap:CommonStockMemberus-gaap:CommonClassAMember2020-06-012021-02-280000320187us-gaap:RetainedEarningsMember2020-06-012021-02-280000</w:t>
      </w:r>
      <w:r>
        <w:rPr>
          <w:rFonts w:ascii="宋体" w:eastAsia="宋体" w:hAnsi="宋体" w:cs="宋体"/>
          <w:vanish/>
        </w:rPr>
        <w:t>320187us-gaap:AccumulatedOtherComprehensiveIncomeMember2020-06-012021-02-280000320187us-gaap:CommonStockMemberus-gaap:CommonClassAMember2019-05-310000320187us-gaap:CommonStockMemberus-gaap:CommonClassBMember2019-05-310000320187us-gaap:AdditionalPaidInCapit</w:t>
      </w:r>
      <w:r>
        <w:rPr>
          <w:rFonts w:ascii="宋体" w:eastAsia="宋体" w:hAnsi="宋体" w:cs="宋体"/>
          <w:vanish/>
        </w:rPr>
        <w:t>alMember2019-05-310000320187us-gaap:AccumulatedOtherComprehensiveIncomeMember2019-05-310000320187us-gaap:RetainedEarningsMember2019-05-310000320187us-gaap:CommonStockMemberus-gaap:CommonClassBMember2019-06-012020-02-290000320187us-gaap:AdditionalPaidInCapi</w:t>
      </w:r>
      <w:r>
        <w:rPr>
          <w:rFonts w:ascii="宋体" w:eastAsia="宋体" w:hAnsi="宋体" w:cs="宋体"/>
          <w:vanish/>
        </w:rPr>
        <w:t>talMember2019-06-012020-02-290000320187us-gaap:RetainedEarningsMember2019-06-012020-02-290000320187us-gaap:AccumulatedOtherComprehensiveIncomeMember2019-06-012020-02-290000320187us-gaap:RetainedEarningsMemberus-gaap:AccountingStandardsUpdate201820Member201</w:t>
      </w:r>
      <w:r>
        <w:rPr>
          <w:rFonts w:ascii="宋体" w:eastAsia="宋体" w:hAnsi="宋体" w:cs="宋体"/>
          <w:vanish/>
        </w:rPr>
        <w:t>9-05-310000320187us-gaap:AccountingStandardsUpdate201820Member2019-05-310000320187us-gaap:FairValueMeasurementsRecurringMember2021-02-280000320187us-gaap:FairValueInputsLevel1Memberus-gaap:USTreasurySecuritiesMemberus-gaap:FairValueMeasurementsRecurringMem</w:t>
      </w:r>
      <w:r>
        <w:rPr>
          <w:rFonts w:ascii="宋体" w:eastAsia="宋体" w:hAnsi="宋体" w:cs="宋体"/>
          <w:vanish/>
        </w:rPr>
        <w:t>ber2021-02-280000320187us-gaap:FairValueInputsLevel2Membernke:CommercialPaperandBondsMemberus-gaap:FairValueMeasurementsRecurringMember2021-02-280000320187us-gaap:FairValueInputsLevel2Memberus-gaap:MoneyMarketFundsMemberus-gaap:FairValueMeasurementsRecurri</w:t>
      </w:r>
      <w:r>
        <w:rPr>
          <w:rFonts w:ascii="宋体" w:eastAsia="宋体" w:hAnsi="宋体" w:cs="宋体"/>
          <w:vanish/>
        </w:rPr>
        <w:t>ngMember2021-02-280000320187us-gaap:FairValueInputsLevel2Memberus-gaap:BankTimeDepositsMemberus-gaap:FairValueMeasurementsRecurringMember2021-02-280000320187us-gaap:FairValueInputsLevel2Memberus-gaap:FairValueMeasurementsRecurringMemberus-gaap:USGovernment</w:t>
      </w:r>
      <w:r>
        <w:rPr>
          <w:rFonts w:ascii="宋体" w:eastAsia="宋体" w:hAnsi="宋体" w:cs="宋体"/>
          <w:vanish/>
        </w:rPr>
        <w:t>AgenciesDebtSecuritiesMember2021-02-280000320187us-gaap:FairValueInputsLevel2Memberus-gaap:FairValueMeasurementsRecurringMember2021-02-280000320187us-gaap:FairValueMeasurementsRecurringMember2020-05-310000320187us-gaap:FairValueInputsLevel1Memberus-gaap:US</w:t>
      </w:r>
      <w:r>
        <w:rPr>
          <w:rFonts w:ascii="宋体" w:eastAsia="宋体" w:hAnsi="宋体" w:cs="宋体"/>
          <w:vanish/>
        </w:rPr>
        <w:t>TreasurySecuritiesMemberus-gaap:FairValueMeasurementsRecurringMember2020-05-310000320187us-gaap:FairValueInputsLevel2Membernke:CommercialPaperandBondsMemberus-gaap:FairValueMeasurementsRecurringMember2020-05-310000320187us-gaap:FairValueInputsLevel2Memberu</w:t>
      </w:r>
      <w:r>
        <w:rPr>
          <w:rFonts w:ascii="宋体" w:eastAsia="宋体" w:hAnsi="宋体" w:cs="宋体"/>
          <w:vanish/>
        </w:rPr>
        <w:t>s-gaap:MoneyMarketFundsMemberus-gaap:FairValueMeasurementsRecurringMember2020-05-310000320187us-gaap:FairValueInputsLevel2Memberus-gaap:BankTimeDepositsMemberus-gaap:FairValueMeasurementsRecurringMember2020-05-310000320187us-gaap:FairValueInputsLevel2Membe</w:t>
      </w:r>
      <w:r>
        <w:rPr>
          <w:rFonts w:ascii="宋体" w:eastAsia="宋体" w:hAnsi="宋体" w:cs="宋体"/>
          <w:vanish/>
        </w:rPr>
        <w:t>rus-gaap:FairValueMeasurementsRecurringMemberus-gaap:USGovernmentAgenciesDebtSecuritiesMember2020-05-310000320187us-gaap:FairValueInputsLevel2Memberus-gaap:FairValueMeasurementsRecurringMember2020-05-310000320187us-gaap:AvailableforsaleSecuritiesMember2021</w:t>
      </w:r>
      <w:r>
        <w:rPr>
          <w:rFonts w:ascii="宋体" w:eastAsia="宋体" w:hAnsi="宋体" w:cs="宋体"/>
          <w:vanish/>
        </w:rPr>
        <w:t>-02-280000320187nke:InterestIncomeExpenseNetMember2020-12-012021-02-280000320187nke:InterestIncomeExpenseNetMember2019-12-012020-02-290000320187nke:InterestIncomeExpenseNetMember2020-06-012021-02-280000320187nke:InterestIncomeExpenseNetMember2019-06-012020</w:t>
      </w:r>
      <w:r>
        <w:rPr>
          <w:rFonts w:ascii="宋体" w:eastAsia="宋体" w:hAnsi="宋体" w:cs="宋体"/>
          <w:vanish/>
        </w:rPr>
        <w:t>-02-290000320187us-gaap:FairValueInputsLevel2Memberus-gaap:ForeignExchangeContractMemberus-gaap:FairValueMeasurementsRecurringMember2021-02-280000320187us-gaap:FairValueInputsLevel2Memberus-gaap:FairValueMeasurementsRecurringMemberus-gaap:EmbeddedDerivativ</w:t>
      </w:r>
      <w:r>
        <w:rPr>
          <w:rFonts w:ascii="宋体" w:eastAsia="宋体" w:hAnsi="宋体" w:cs="宋体"/>
          <w:vanish/>
        </w:rPr>
        <w:t>eFinancialInstrumentsMember2021-02-280000320187us-gaap:ForeignExchangeContractMemberus-gaap:FairValueMeasurementsRecurringMember2021-02-280000320187us-gaap:CashAndCashEquivalentsMemberus-gaap:ForeignExchangeContractMember2021-02-280000320187us-gaap:FairVal</w:t>
      </w:r>
      <w:r>
        <w:rPr>
          <w:rFonts w:ascii="宋体" w:eastAsia="宋体" w:hAnsi="宋体" w:cs="宋体"/>
          <w:vanish/>
        </w:rPr>
        <w:t>ueInputsLevel2Memberus-gaap:ForeignExchangeContractMemberus-gaap:FairValueMeasurementsRecurringMember2020-05-310000320187us-gaap:FairValueInputsLevel2Memberus-gaap:FairValueMeasurementsRecurringMemberus-gaap:EmbeddedDerivativeFinancialInstrumentsMember2020</w:t>
      </w:r>
      <w:r>
        <w:rPr>
          <w:rFonts w:ascii="宋体" w:eastAsia="宋体" w:hAnsi="宋体" w:cs="宋体"/>
          <w:vanish/>
        </w:rPr>
        <w:t>-05-310000320187us-gaap:ForeignExchangeContractMemberus-gaap:FairValueMeasurementsRecurringMember2020-05-310000320187us-gaap:CashAndCashEquivalentsMemberus-gaap:ForeignExchangeContractMember2020-05-310000320187us-gaap:CommercialPaperMember2021-02-280000320</w:t>
      </w:r>
      <w:r>
        <w:rPr>
          <w:rFonts w:ascii="宋体" w:eastAsia="宋体" w:hAnsi="宋体" w:cs="宋体"/>
          <w:vanish/>
        </w:rPr>
        <w:t>187us-gaap:CommercialPaperMember2020-05-31xbrli:pure0000320187us-gaap:SubsequentEventMemberus-gaap:LineOfCreditMember2021-03-150000320187us-gaap:SubsequentEventMemberus-gaap:LineOfCreditMembernke:OptionToIncreaseUponLenderApprovalMember2021-03-150000320187</w:t>
      </w:r>
      <w:r>
        <w:rPr>
          <w:rFonts w:ascii="宋体" w:eastAsia="宋体" w:hAnsi="宋体" w:cs="宋体"/>
          <w:vanish/>
        </w:rPr>
        <w:t>us-gaap:SubsequentEventMemberus-gaap:LineOfCreditMember2021-03-152021-03-150000320187us-gaap:LineOfCreditMember2020-04-060000320187us-gaap:SubsequentEventMemberus-gaap:CommercialPaperMember2021-03-150000320187us-gaap:SubsequentEventMemberus-gaap:LineOfCred</w:t>
      </w:r>
      <w:r>
        <w:rPr>
          <w:rFonts w:ascii="宋体" w:eastAsia="宋体" w:hAnsi="宋体" w:cs="宋体"/>
          <w:vanish/>
        </w:rPr>
        <w:t>itMember2021-04-020000320187us-gaap:SubsequentEventMemberus-gaap:CommercialPaperMember2021-04-020000320187nke:AlteraCorpVCommissionerMember2020-12-012021-02-280000320187nke:StockIncentivePlanMemberus-gaap:CommonClassBMember2021-02-280000320187us-gaap:Emplo</w:t>
      </w:r>
      <w:r>
        <w:rPr>
          <w:rFonts w:ascii="宋体" w:eastAsia="宋体" w:hAnsi="宋体" w:cs="宋体"/>
          <w:vanish/>
        </w:rPr>
        <w:t>yeeStockOptionMemberus-gaap:CommonClassBMember2020-12-012021-02-280000320187us-gaap:EmployeeStockOptionMemberus-gaap:CommonClassBMember2019-12-012020-02-290000320187us-gaap:EmployeeStockOptionMemberus-gaap:CommonClassBMember2020-06-012021-02-280000320187us</w:t>
      </w:r>
      <w:r>
        <w:rPr>
          <w:rFonts w:ascii="宋体" w:eastAsia="宋体" w:hAnsi="宋体" w:cs="宋体"/>
          <w:vanish/>
        </w:rPr>
        <w:t>-gaap:EmployeeStockOptionMemberus-gaap:CommonClassBMember2019-06-012020-02-290000320187us-gaap:EmployeeStockMemberus-gaap:CommonClassBMember2020-12-012021-02-280000320187us-gaap:EmployeeStockMemberus-gaap:CommonClassBMember2019-12-012020-02-290000320187us-</w:t>
      </w:r>
      <w:r>
        <w:rPr>
          <w:rFonts w:ascii="宋体" w:eastAsia="宋体" w:hAnsi="宋体" w:cs="宋体"/>
          <w:vanish/>
        </w:rPr>
        <w:t>gaap:EmployeeStockMemberus-gaap:CommonClassBMember2020-06-012021-02-280000320187us-gaap:EmployeeStockMemberus-gaap:CommonClassBMember2019-06-012020-02-290000320187us-gaap:RestrictedStockMemberus-gaap:CommonClassBMember2020-12-012021-02-280000320187us-gaap:</w:t>
      </w:r>
      <w:r>
        <w:rPr>
          <w:rFonts w:ascii="宋体" w:eastAsia="宋体" w:hAnsi="宋体" w:cs="宋体"/>
          <w:vanish/>
        </w:rPr>
        <w:t>RestrictedStockMemberus-gaap:CommonClassBMember2019-12-012020-02-290000320187us-gaap:RestrictedStockMemberus-gaap:CommonClassBMember2020-06-012021-02-280000320187us-gaap:RestrictedStockMemberus-gaap:CommonClassBMember2019-06-012020-02-290000320187us-gaap:C</w:t>
      </w:r>
      <w:r>
        <w:rPr>
          <w:rFonts w:ascii="宋体" w:eastAsia="宋体" w:hAnsi="宋体" w:cs="宋体"/>
          <w:vanish/>
        </w:rPr>
        <w:t>ommonClassBMember2020-12-012021-02-280000320187us-gaap:CommonClassBMember2019-12-012020-02-290000320187us-gaap:CommonClassBMember2020-06-012021-02-280000320187us-gaap:CommonClassBMember2019-06-012020-02-290000320187us-gaap:EmployeeStockOptionMember2020-06-</w:t>
      </w:r>
      <w:r>
        <w:rPr>
          <w:rFonts w:ascii="宋体" w:eastAsia="宋体" w:hAnsi="宋体" w:cs="宋体"/>
          <w:vanish/>
        </w:rPr>
        <w:t>012021-02-280000320187us-gaap:EmployeeStockOptionMember2019-06-012020-02-290000320187nke:StockIncentivePlanMemberus-gaap:CommonClassBMember2020-06-012021-02-280000320187us-gaap:EmployeeStockOptionMembernke:StockIncentivePlanMember2021-02-280000320187us-gaa</w:t>
      </w:r>
      <w:r>
        <w:rPr>
          <w:rFonts w:ascii="宋体" w:eastAsia="宋体" w:hAnsi="宋体" w:cs="宋体"/>
          <w:vanish/>
        </w:rPr>
        <w:t>p:EmployeeStockOptionMembernke:StockIncentivePlanMember2020-06-012021-02-280000320187nke:RestrictedStockAndRestrictedStockUnitsMember2020-06-012021-02-280000320187nke:RestrictedStockAndRestrictedStockUnitsMember2019-06-012020-02-290000320187nke:RestrictedS</w:t>
      </w:r>
      <w:r>
        <w:rPr>
          <w:rFonts w:ascii="宋体" w:eastAsia="宋体" w:hAnsi="宋体" w:cs="宋体"/>
          <w:vanish/>
        </w:rPr>
        <w:t>tockAndRestrictedStockUnitsMember2021-02-280000320187us-gaap:EmployeeStockOptionMember2019-12-012020-02-290000320187us-gaap:EmployeeStockOptionMember2020-06-012021-02-280000320187us-gaap:EmployeeStockOptionMember2019-06-012020-02-290000320187us-gaap:Design</w:t>
      </w:r>
      <w:r>
        <w:rPr>
          <w:rFonts w:ascii="宋体" w:eastAsia="宋体" w:hAnsi="宋体" w:cs="宋体"/>
          <w:vanish/>
        </w:rPr>
        <w:t>atedAsHedgingInstrumentMemberus-gaap:PrepaidExpensesAndOtherCurrentAssetsMemberus-gaap:ForeignExchangeContractMember2021-02-280000320187us-gaap:DesignatedAsHedgingInstrumentMemberus-gaap:PrepaidExpensesAndOtherCurrentAssetsMemberus-gaap:ForeignExchangeCont</w:t>
      </w:r>
      <w:r>
        <w:rPr>
          <w:rFonts w:ascii="宋体" w:eastAsia="宋体" w:hAnsi="宋体" w:cs="宋体"/>
          <w:vanish/>
        </w:rPr>
        <w:t>ractMember2020-05-310000320187us-gaap:DesignatedAsHedgingInstrumentMemberus-gaap:ForeignExchangeContractMembernke:DeferredIncomeTaxesAndOtherLongTermAssetsMember2021-02-280000320187us-gaap:DesignatedAsHedgingInstrumentMemberus-gaap:ForeignExchangeContractM</w:t>
      </w:r>
      <w:r>
        <w:rPr>
          <w:rFonts w:ascii="宋体" w:eastAsia="宋体" w:hAnsi="宋体" w:cs="宋体"/>
          <w:vanish/>
        </w:rPr>
        <w:t>embernke:DeferredIncomeTaxesAndOtherLongTermAssetsMember2020-05-310000320187us-gaap:DesignatedAsHedgingInstrumentMember2021-02-280000320187us-gaap:DesignatedAsHedgingInstrumentMember2020-05-310000320187us-gaap:NondesignatedMemberus-gaap:PrepaidExpensesAndO</w:t>
      </w:r>
      <w:r>
        <w:rPr>
          <w:rFonts w:ascii="宋体" w:eastAsia="宋体" w:hAnsi="宋体" w:cs="宋体"/>
          <w:vanish/>
        </w:rPr>
        <w:t>therCurrentAssetsMemberus-gaap:ForeignExchangeContractMember2021-02-280000320187us-gaap:NondesignatedMemberus-gaap:PrepaidExpensesAndOtherCurrentAssetsMemberus-gaap:ForeignExchangeContractMember2020-05-310000320187us-gaap:NondesignatedMemberus-gaap:Prepaid</w:t>
      </w:r>
      <w:r>
        <w:rPr>
          <w:rFonts w:ascii="宋体" w:eastAsia="宋体" w:hAnsi="宋体" w:cs="宋体"/>
          <w:vanish/>
        </w:rPr>
        <w:t>ExpensesAndOtherCurrentAssetsMemberus-gaap:EmbeddedDerivativeFinancialInstrumentsMember2021-02-280000320187us-gaap:NondesignatedMemberus-gaap:PrepaidExpensesAndOtherCurrentAssetsMemberus-gaap:EmbeddedDerivativeFinancialInstrumentsMember2020-05-310000320187</w:t>
      </w:r>
      <w:r>
        <w:rPr>
          <w:rFonts w:ascii="宋体" w:eastAsia="宋体" w:hAnsi="宋体" w:cs="宋体"/>
          <w:vanish/>
        </w:rPr>
        <w:t>us-gaap:NondesignatedMemberus-gaap:ForeignExchangeContractMembernke:DeferredIncomeTaxesAndOtherLongTermAssetsMember2021-02-280000320187us-gaap:NondesignatedMemberus-gaap:ForeignExchangeContractMembernke:DeferredIncomeTaxesAndOtherLongTermAssetsMember2020-0</w:t>
      </w:r>
      <w:r>
        <w:rPr>
          <w:rFonts w:ascii="宋体" w:eastAsia="宋体" w:hAnsi="宋体" w:cs="宋体"/>
          <w:vanish/>
        </w:rPr>
        <w:t>5-310000320187us-gaap:NondesignatedMember2021-02-280000320187us-gaap:NondesignatedMember2020-05-310000320187us-gaap:AccruedLiabilitiesMemberus-gaap:DesignatedAsHedgingInstrumentMemberus-gaap:ForeignExchangeContractMember2021-02-280000320187us-gaap:AccruedL</w:t>
      </w:r>
      <w:r>
        <w:rPr>
          <w:rFonts w:ascii="宋体" w:eastAsia="宋体" w:hAnsi="宋体" w:cs="宋体"/>
          <w:vanish/>
        </w:rPr>
        <w:t>iabilitiesMemberus-gaap:DesignatedAsHedgingInstrumentMemberus-gaap:ForeignExchangeContractMember2020-05-310000320187us-gaap:DesignatedAsHedgingInstrumentMemberus-gaap:ForeignExchangeContractMembernke:DeferredIncomeTaxesAndOtherLongTermLiabilitiesMember2021</w:t>
      </w:r>
      <w:r>
        <w:rPr>
          <w:rFonts w:ascii="宋体" w:eastAsia="宋体" w:hAnsi="宋体" w:cs="宋体"/>
          <w:vanish/>
        </w:rPr>
        <w:t>-02-280000320187us-gaap:DesignatedAsHedgingInstrumentMemberus-gaap:ForeignExchangeContractMembernke:DeferredIncomeTaxesAndOtherLongTermLiabilitiesMember2020-05-310000320187us-gaap:AccruedLiabilitiesMemberus-gaap:NondesignatedMemberus-gaap:ForeignExchangeCo</w:t>
      </w:r>
      <w:r>
        <w:rPr>
          <w:rFonts w:ascii="宋体" w:eastAsia="宋体" w:hAnsi="宋体" w:cs="宋体"/>
          <w:vanish/>
        </w:rPr>
        <w:t>ntractMember2021-02-280000320187us-gaap:AccruedLiabilitiesMemberus-gaap:NondesignatedMemberus-gaap:ForeignExchangeContractMember2020-05-310000320187us-gaap:AccruedLiabilitiesMemberus-gaap:NondesignatedMemberus-gaap:EmbeddedDerivativeFinancialInstrumentsMem</w:t>
      </w:r>
      <w:r>
        <w:rPr>
          <w:rFonts w:ascii="宋体" w:eastAsia="宋体" w:hAnsi="宋体" w:cs="宋体"/>
          <w:vanish/>
        </w:rPr>
        <w:t>ber2021-02-280000320187us-gaap:AccruedLiabilitiesMemberus-gaap:NondesignatedMemberus-gaap:EmbeddedDerivativeFinancialInstrumentsMember2020-05-310000320187us-gaap:SalesMemberus-gaap:ForeignExchangeContractMemberus-gaap:CashFlowHedgingMember2020-12-012021-02</w:t>
      </w:r>
      <w:r>
        <w:rPr>
          <w:rFonts w:ascii="宋体" w:eastAsia="宋体" w:hAnsi="宋体" w:cs="宋体"/>
          <w:vanish/>
        </w:rPr>
        <w:t>-280000320187us-gaap:SalesMemberus-gaap:ForeignExchangeContractMemberus-gaap:CashFlowHedgingMember2019-12-012020-02-290000320187us-gaap:CostOfSalesMemberus-gaap:ForeignExchangeContractMemberus-gaap:CashFlowHedgingMember2020-12-012021-02-280000320187us-gaap</w:t>
      </w:r>
      <w:r>
        <w:rPr>
          <w:rFonts w:ascii="宋体" w:eastAsia="宋体" w:hAnsi="宋体" w:cs="宋体"/>
          <w:vanish/>
        </w:rPr>
        <w:t>:CostOfSalesMemberus-gaap:ForeignExchangeContractMemberus-gaap:CashFlowHedgingMember2019-12-012020-02-290000320187nke:DemandCreationExpenseMemberus-gaap:ForeignExchangeContractMemberus-gaap:CashFlowHedgingMember2020-12-012021-02-280000320187nke:DemandCreat</w:t>
      </w:r>
      <w:r>
        <w:rPr>
          <w:rFonts w:ascii="宋体" w:eastAsia="宋体" w:hAnsi="宋体" w:cs="宋体"/>
          <w:vanish/>
        </w:rPr>
        <w:t>ionExpenseMemberus-gaap:ForeignExchangeContractMemberus-gaap:CashFlowHedgingMember2019-12-012020-02-290000320187us-gaap:ForeignExchangeContractMemberus-gaap:CashFlowHedgingMembernke:OtherIncomeAndExpenseMember2020-12-012021-02-280000320187us-gaap:ForeignEx</w:t>
      </w:r>
      <w:r>
        <w:rPr>
          <w:rFonts w:ascii="宋体" w:eastAsia="宋体" w:hAnsi="宋体" w:cs="宋体"/>
          <w:vanish/>
        </w:rPr>
        <w:t>changeContractMemberus-gaap:CashFlowHedgingMembernke:OtherIncomeAndExpenseMember2019-12-012020-02-290000320187nke:InterestIncomeExpenseNetMemberus-gaap:InterestRateSwapMemberus-gaap:CashFlowHedgingMember2020-12-012021-02-280000320187nke:InterestIncomeExpen</w:t>
      </w:r>
      <w:r>
        <w:rPr>
          <w:rFonts w:ascii="宋体" w:eastAsia="宋体" w:hAnsi="宋体" w:cs="宋体"/>
          <w:vanish/>
        </w:rPr>
        <w:t>seNetMemberus-gaap:InterestRateSwapMemberus-gaap:CashFlowHedgingMember2019-12-012020-02-290000320187us-gaap:SalesMemberus-gaap:ForeignExchangeContractMemberus-gaap:CashFlowHedgingMember2020-06-012021-02-280000320187us-gaap:SalesMemberus-gaap:ForeignExchang</w:t>
      </w:r>
      <w:r>
        <w:rPr>
          <w:rFonts w:ascii="宋体" w:eastAsia="宋体" w:hAnsi="宋体" w:cs="宋体"/>
          <w:vanish/>
        </w:rPr>
        <w:t>eContractMemberus-gaap:CashFlowHedgingMember2019-06-012020-02-290000320187us-gaap:CostOfSalesMemberus-gaap:ForeignExchangeContractMemberus-gaap:CashFlowHedgingMember2020-06-012021-02-280000320187us-gaap:CostOfSalesMemberus-gaap:ForeignExchangeContractMembe</w:t>
      </w:r>
      <w:r>
        <w:rPr>
          <w:rFonts w:ascii="宋体" w:eastAsia="宋体" w:hAnsi="宋体" w:cs="宋体"/>
          <w:vanish/>
        </w:rPr>
        <w:t>rus-gaap:CashFlowHedgingMember2019-06-012020-02-290000320187nke:DemandCreationExpenseMemberus-gaap:ForeignExchangeContractMemberus-gaap:CashFlowHedgingMember2020-06-012021-02-280000320187nke:DemandCreationExpenseMemberus-gaap:ForeignExchangeContractMemberu</w:t>
      </w:r>
      <w:r>
        <w:rPr>
          <w:rFonts w:ascii="宋体" w:eastAsia="宋体" w:hAnsi="宋体" w:cs="宋体"/>
          <w:vanish/>
        </w:rPr>
        <w:t>s-gaap:CashFlowHedgingMember2019-06-012020-02-290000320187us-gaap:ForeignExchangeContractMemberus-gaap:CashFlowHedgingMembernke:OtherIncomeAndExpenseMember2020-06-012021-02-280000320187us-gaap:ForeignExchangeContractMemberus-gaap:CashFlowHedgingMembernke:O</w:t>
      </w:r>
      <w:r>
        <w:rPr>
          <w:rFonts w:ascii="宋体" w:eastAsia="宋体" w:hAnsi="宋体" w:cs="宋体"/>
          <w:vanish/>
        </w:rPr>
        <w:t>therIncomeAndExpenseMember2019-06-012020-02-290000320187nke:InterestIncomeExpenseNetMemberus-gaap:InterestRateSwapMemberus-gaap:CashFlowHedgingMember2020-06-012021-02-280000320187nke:InterestIncomeExpenseNetMemberus-gaap:InterestRateSwapMemberus-gaap:CashF</w:t>
      </w:r>
      <w:r>
        <w:rPr>
          <w:rFonts w:ascii="宋体" w:eastAsia="宋体" w:hAnsi="宋体" w:cs="宋体"/>
          <w:vanish/>
        </w:rPr>
        <w:t>lowHedgingMember2019-06-012020-02-290000320187us-gaap:CashFlowHedgingMember2020-12-012021-02-280000320187us-gaap:CashFlowHedgingMember2019-12-012020-02-290000320187us-gaap:CashFlowHedgingMember2020-06-012021-02-280000320187us-gaap:CashFlowHedgingMember2019</w:t>
      </w:r>
      <w:r>
        <w:rPr>
          <w:rFonts w:ascii="宋体" w:eastAsia="宋体" w:hAnsi="宋体" w:cs="宋体"/>
          <w:vanish/>
        </w:rPr>
        <w:t>-06-012020-02-290000320187us-gaap:NondesignatedMemberus-gaap:ForeignExchangeContractMembernke:OtherIncomeAndExpenseMember2020-12-012021-02-280000320187us-gaap:NondesignatedMemberus-gaap:ForeignExchangeContractMembernke:OtherIncomeAndExpenseMember2019-12-01</w:t>
      </w:r>
      <w:r>
        <w:rPr>
          <w:rFonts w:ascii="宋体" w:eastAsia="宋体" w:hAnsi="宋体" w:cs="宋体"/>
          <w:vanish/>
        </w:rPr>
        <w:t>2020-02-290000320187us-gaap:NondesignatedMemberus-gaap:ForeignExchangeContractMembernke:OtherIncomeAndExpenseMember2020-06-012021-02-280000320187us-gaap:NondesignatedMemberus-gaap:ForeignExchangeContractMembernke:OtherIncomeAndExpenseMember2019-06-012020-0</w:t>
      </w:r>
      <w:r>
        <w:rPr>
          <w:rFonts w:ascii="宋体" w:eastAsia="宋体" w:hAnsi="宋体" w:cs="宋体"/>
          <w:vanish/>
        </w:rPr>
        <w:t>2-290000320187us-gaap:NondesignatedMemberus-gaap:EmbeddedDerivativeFinancialInstrumentsMembernke:OtherIncomeAndExpenseMember2020-12-012021-02-280000320187us-gaap:NondesignatedMemberus-gaap:EmbeddedDerivativeFinancialInstrumentsMembernke:OtherIncomeAndExpen</w:t>
      </w:r>
      <w:r>
        <w:rPr>
          <w:rFonts w:ascii="宋体" w:eastAsia="宋体" w:hAnsi="宋体" w:cs="宋体"/>
          <w:vanish/>
        </w:rPr>
        <w:t>seMember2019-12-012020-02-290000320187us-gaap:NondesignatedMemberus-gaap:EmbeddedDerivativeFinancialInstrumentsMembernke:OtherIncomeAndExpenseMember2020-06-012021-02-280000320187us-gaap:NondesignatedMemberus-gaap:EmbeddedDerivativeFinancialInstrumentsMembe</w:t>
      </w:r>
      <w:r>
        <w:rPr>
          <w:rFonts w:ascii="宋体" w:eastAsia="宋体" w:hAnsi="宋体" w:cs="宋体"/>
          <w:vanish/>
        </w:rPr>
        <w:t>rnke:OtherIncomeAndExpenseMember2019-06-012020-02-290000320187us-gaap:CashFlowHedgingMember2021-02-280000320187nke:NotDesignatedasDerivativeInstrumentMember2021-02-280000320187us-gaap:EmbeddedDerivativeFinancialInstrumentsMember2021-02-280000320187us-gaap:</w:t>
      </w:r>
      <w:r>
        <w:rPr>
          <w:rFonts w:ascii="宋体" w:eastAsia="宋体" w:hAnsi="宋体" w:cs="宋体"/>
          <w:vanish/>
        </w:rPr>
        <w:t>CashAndCashEquivalentsMember2021-02-280000320187us-gaap:AccumulatedTranslationAdjustmentMember2020-11-300000320187us-gaap:AccumulatedGainLossNetCashFlowHedgeParentMember2020-11-300000320187us-gaap:AccumulatedNetUnrealizedInvestmentGainLossMember2020-11-300</w:t>
      </w:r>
      <w:r>
        <w:rPr>
          <w:rFonts w:ascii="宋体" w:eastAsia="宋体" w:hAnsi="宋体" w:cs="宋体"/>
          <w:vanish/>
        </w:rPr>
        <w:t>000320187nke:AccumulatedOtherAdjustmentsMember2020-11-300000320187us-gaap:ParentMember2020-11-300000320187us-gaap:AccumulatedTranslationAdjustmentMember2020-12-012021-02-280000320187us-gaap:AccumulatedGainLossNetCashFlowHedgeParentMember2020-12-012021-02-2</w:t>
      </w:r>
      <w:r>
        <w:rPr>
          <w:rFonts w:ascii="宋体" w:eastAsia="宋体" w:hAnsi="宋体" w:cs="宋体"/>
          <w:vanish/>
        </w:rPr>
        <w:t>80000320187us-gaap:AccumulatedNetUnrealizedInvestmentGainLossMember2020-12-012021-02-280000320187nke:AccumulatedOtherAdjustmentsMember2020-12-012021-02-280000320187us-gaap:AccumulatedTranslationAdjustmentMember2021-02-280000320187us-gaap:AccumulatedGainLos</w:t>
      </w:r>
      <w:r>
        <w:rPr>
          <w:rFonts w:ascii="宋体" w:eastAsia="宋体" w:hAnsi="宋体" w:cs="宋体"/>
          <w:vanish/>
        </w:rPr>
        <w:t>sNetCashFlowHedgeParentMember2021-02-280000320187us-gaap:AccumulatedNetUnrealizedInvestmentGainLossMember2021-02-280000320187nke:AccumulatedOtherAdjustmentsMember2021-02-280000320187us-gaap:ParentMember2021-02-280000320187us-gaap:AccumulatedTranslationAdju</w:t>
      </w:r>
      <w:r>
        <w:rPr>
          <w:rFonts w:ascii="宋体" w:eastAsia="宋体" w:hAnsi="宋体" w:cs="宋体"/>
          <w:vanish/>
        </w:rPr>
        <w:t>stmentMember2019-11-300000320187us-gaap:AccumulatedGainLossNetCashFlowHedgeParentMember2019-11-300000320187us-gaap:AccumulatedNetUnrealizedInvestmentGainLossMember2019-11-300000320187nke:AccumulatedOtherAdjustmentsMember2019-11-300000320187us-gaap:ParentMe</w:t>
      </w:r>
      <w:r>
        <w:rPr>
          <w:rFonts w:ascii="宋体" w:eastAsia="宋体" w:hAnsi="宋体" w:cs="宋体"/>
          <w:vanish/>
        </w:rPr>
        <w:t>mber2019-11-300000320187us-gaap:AccumulatedTranslationAdjustmentMember2019-12-012020-02-290000320187us-gaap:AccumulatedGainLossNetCashFlowHedgeParentMember2019-12-012020-02-290000320187us-gaap:AccumulatedNetUnrealizedInvestmentGainLossMember2019-12-012020-</w:t>
      </w:r>
      <w:r>
        <w:rPr>
          <w:rFonts w:ascii="宋体" w:eastAsia="宋体" w:hAnsi="宋体" w:cs="宋体"/>
          <w:vanish/>
        </w:rPr>
        <w:t>02-290000320187nke:AccumulatedOtherAdjustmentsMember2019-12-012020-02-290000320187us-gaap:AccumulatedTranslationAdjustmentMember2020-02-290000320187us-gaap:AccumulatedGainLossNetCashFlowHedgeParentMember2020-02-290000320187us-gaap:AccumulatedNetUnrealizedI</w:t>
      </w:r>
      <w:r>
        <w:rPr>
          <w:rFonts w:ascii="宋体" w:eastAsia="宋体" w:hAnsi="宋体" w:cs="宋体"/>
          <w:vanish/>
        </w:rPr>
        <w:t>nvestmentGainLossMember2020-02-290000320187nke:AccumulatedOtherAdjustmentsMember2020-02-290000320187us-gaap:ParentMember2020-02-290000320187us-gaap:AccumulatedTranslationAdjustmentMember2020-05-310000320187us-gaap:AccumulatedGainLossNetCashFlowHedgeParentM</w:t>
      </w:r>
      <w:r>
        <w:rPr>
          <w:rFonts w:ascii="宋体" w:eastAsia="宋体" w:hAnsi="宋体" w:cs="宋体"/>
          <w:vanish/>
        </w:rPr>
        <w:t>ember2020-05-310000320187us-gaap:AccumulatedNetUnrealizedInvestmentGainLossMember2020-05-310000320187nke:AccumulatedOtherAdjustmentsMember2020-05-310000320187us-gaap:ParentMember2020-05-310000320187us-gaap:AccumulatedTranslationAdjustmentMember2020-06-0120</w:t>
      </w:r>
      <w:r>
        <w:rPr>
          <w:rFonts w:ascii="宋体" w:eastAsia="宋体" w:hAnsi="宋体" w:cs="宋体"/>
          <w:vanish/>
        </w:rPr>
        <w:t>21-02-280000320187us-gaap:AccumulatedGainLossNetCashFlowHedgeParentMember2020-06-012021-02-280000320187nke:AccumulatedOtherAdjustmentsMember2020-06-012021-02-280000320187us-gaap:AccumulatedNetUnrealizedInvestmentGainLossMember2020-06-012021-02-280000320187</w:t>
      </w:r>
      <w:r>
        <w:rPr>
          <w:rFonts w:ascii="宋体" w:eastAsia="宋体" w:hAnsi="宋体" w:cs="宋体"/>
          <w:vanish/>
        </w:rPr>
        <w:t>us-gaap:AccumulatedTranslationAdjustmentMember2019-05-310000320187us-gaap:AccumulatedGainLossNetCashFlowHedgeParentMember2019-05-310000320187us-gaap:AccumulatedNetUnrealizedInvestmentGainLossMember2019-05-310000320187nke:AccumulatedOtherAdjustmentsMember20</w:t>
      </w:r>
      <w:r>
        <w:rPr>
          <w:rFonts w:ascii="宋体" w:eastAsia="宋体" w:hAnsi="宋体" w:cs="宋体"/>
          <w:vanish/>
        </w:rPr>
        <w:t>19-05-310000320187us-gaap:ParentMember2019-05-310000320187us-gaap:AccumulatedTranslationAdjustmentMember2019-06-012020-02-290000320187us-gaap:AccumulatedGainLossNetCashFlowHedgeParentMember2019-06-012020-02-290000320187us-gaap:AccumulatedNetUnrealizedInves</w:t>
      </w:r>
      <w:r>
        <w:rPr>
          <w:rFonts w:ascii="宋体" w:eastAsia="宋体" w:hAnsi="宋体" w:cs="宋体"/>
          <w:vanish/>
        </w:rPr>
        <w:t>tmentGainLossMember2019-06-012020-02-290000320187nke:AccumulatedOtherAdjustmentsMember2019-06-012020-02-290000320187us-gaap:ReclassificationOutOfAccumulatedOtherComprehensiveIncomeMemberus-gaap:AccumulatedTranslationAdjustmentMember2020-12-012021-02-280000</w:t>
      </w:r>
      <w:r>
        <w:rPr>
          <w:rFonts w:ascii="宋体" w:eastAsia="宋体" w:hAnsi="宋体" w:cs="宋体"/>
          <w:vanish/>
        </w:rPr>
        <w:t>320187us-gaap:ReclassificationOutOfAccumulatedOtherComprehensiveIncomeMemberus-gaap:AccumulatedTranslationAdjustmentMember2019-12-012020-02-290000320187us-gaap:ReclassificationOutOfAccumulatedOtherComprehensiveIncomeMemberus-gaap:AccumulatedTranslationAdju</w:t>
      </w:r>
      <w:r>
        <w:rPr>
          <w:rFonts w:ascii="宋体" w:eastAsia="宋体" w:hAnsi="宋体" w:cs="宋体"/>
          <w:vanish/>
        </w:rPr>
        <w:t>stmentMember2020-06-012021-02-280000320187us-gaap:ReclassificationOutOfAccumulatedOtherComprehensiveIncomeMemberus-gaap:AccumulatedTranslationAdjustmentMember2019-06-012020-02-290000320187nke:ForeignExchangeForwardandOptionMemberus-gaap:ReclassificationOut</w:t>
      </w:r>
      <w:r>
        <w:rPr>
          <w:rFonts w:ascii="宋体" w:eastAsia="宋体" w:hAnsi="宋体" w:cs="宋体"/>
          <w:vanish/>
        </w:rPr>
        <w:t>OfAccumulatedOtherComprehensiveIncomeMemberus-gaap:AccumulatedNetGainLossFromDesignatedOrQualifyingCashFlowHedgesMember2020-12-012021-02-280000320187nke:ForeignExchangeForwardandOptionMemberus-gaap:ReclassificationOutOfAccumulatedOtherComprehensiveIncomeMe</w:t>
      </w:r>
      <w:r>
        <w:rPr>
          <w:rFonts w:ascii="宋体" w:eastAsia="宋体" w:hAnsi="宋体" w:cs="宋体"/>
          <w:vanish/>
        </w:rPr>
        <w:t>mberus-gaap:AccumulatedNetGainLossFromDesignatedOrQualifyingCashFlowHedgesMember2019-12-012020-02-290000320187nke:ForeignExchangeForwardandOptionMemberus-gaap:ReclassificationOutOfAccumulatedOtherComprehensiveIncomeMemberus-gaap:AccumulatedNetGainLossFromD</w:t>
      </w:r>
      <w:r>
        <w:rPr>
          <w:rFonts w:ascii="宋体" w:eastAsia="宋体" w:hAnsi="宋体" w:cs="宋体"/>
          <w:vanish/>
        </w:rPr>
        <w:t>esignatedOrQualifyingCashFlowHedgesMember2020-06-012021-02-280000320187nke:ForeignExchangeForwardandOptionMemberus-gaap:ReclassificationOutOfAccumulatedOtherComprehensiveIncomeMemberus-gaap:AccumulatedNetGainLossFromDesignatedOrQualifyingCashFlowHedgesMemb</w:t>
      </w:r>
      <w:r>
        <w:rPr>
          <w:rFonts w:ascii="宋体" w:eastAsia="宋体" w:hAnsi="宋体" w:cs="宋体"/>
          <w:vanish/>
        </w:rPr>
        <w:t>er2019-06-012020-02-290000320187us-gaap:ReclassificationOutOfAccumulatedOtherComprehensiveIncomeMemberus-gaap:InterestRateSwapMemberus-gaap:AccumulatedNetGainLossFromDesignatedOrQualifyingCashFlowHedgesMember2020-12-012021-02-280000320187us-gaap:Reclassifi</w:t>
      </w:r>
      <w:r>
        <w:rPr>
          <w:rFonts w:ascii="宋体" w:eastAsia="宋体" w:hAnsi="宋体" w:cs="宋体"/>
          <w:vanish/>
        </w:rPr>
        <w:t>cationOutOfAccumulatedOtherComprehensiveIncomeMemberus-gaap:InterestRateSwapMemberus-gaap:AccumulatedNetGainLossFromDesignatedOrQualifyingCashFlowHedgesMember2019-12-012020-02-290000320187us-gaap:ReclassificationOutOfAccumulatedOtherComprehensiveIncomeMemb</w:t>
      </w:r>
      <w:r>
        <w:rPr>
          <w:rFonts w:ascii="宋体" w:eastAsia="宋体" w:hAnsi="宋体" w:cs="宋体"/>
          <w:vanish/>
        </w:rPr>
        <w:t>erus-gaap:InterestRateSwapMemberus-gaap:AccumulatedNetGainLossFromDesignatedOrQualifyingCashFlowHedgesMember2020-06-012021-02-280000320187us-gaap:ReclassificationOutOfAccumulatedOtherComprehensiveIncomeMemberus-gaap:InterestRateSwapMemberus-gaap:Accumulate</w:t>
      </w:r>
      <w:r>
        <w:rPr>
          <w:rFonts w:ascii="宋体" w:eastAsia="宋体" w:hAnsi="宋体" w:cs="宋体"/>
          <w:vanish/>
        </w:rPr>
        <w:t>dNetGainLossFromDesignatedOrQualifyingCashFlowHedgesMember2019-06-012020-02-290000320187us-gaap:ReclassificationOutOfAccumulatedOtherComprehensiveIncomeMemberus-gaap:AccumulatedNetGainLossFromDesignatedOrQualifyingCashFlowHedgesMember2020-12-012021-02-2800</w:t>
      </w:r>
      <w:r>
        <w:rPr>
          <w:rFonts w:ascii="宋体" w:eastAsia="宋体" w:hAnsi="宋体" w:cs="宋体"/>
          <w:vanish/>
        </w:rPr>
        <w:t>00320187us-gaap:ReclassificationOutOfAccumulatedOtherComprehensiveIncomeMemberus-gaap:AccumulatedNetGainLossFromDesignatedOrQualifyingCashFlowHedgesMember2019-12-012020-02-290000320187us-gaap:ReclassificationOutOfAccumulatedOtherComprehensiveIncomeMemberus</w:t>
      </w:r>
      <w:r>
        <w:rPr>
          <w:rFonts w:ascii="宋体" w:eastAsia="宋体" w:hAnsi="宋体" w:cs="宋体"/>
          <w:vanish/>
        </w:rPr>
        <w:t>-gaap:AccumulatedNetGainLossFromDesignatedOrQualifyingCashFlowHedgesMember2020-06-012021-02-280000320187us-gaap:ReclassificationOutOfAccumulatedOtherComprehensiveIncomeMemberus-gaap:AccumulatedNetGainLossFromDesignatedOrQualifyingCashFlowHedgesMember2019-0</w:t>
      </w:r>
      <w:r>
        <w:rPr>
          <w:rFonts w:ascii="宋体" w:eastAsia="宋体" w:hAnsi="宋体" w:cs="宋体"/>
          <w:vanish/>
        </w:rPr>
        <w:t>6-012020-02-290000320187nke:AccumulatedOtherAdjustmentsMemberus-gaap:ReclassificationOutOfAccumulatedOtherComprehensiveIncomeMember2020-12-012021-02-280000320187nke:AccumulatedOtherAdjustmentsMemberus-gaap:ReclassificationOutOfAccumulatedOtherComprehensive</w:t>
      </w:r>
      <w:r>
        <w:rPr>
          <w:rFonts w:ascii="宋体" w:eastAsia="宋体" w:hAnsi="宋体" w:cs="宋体"/>
          <w:vanish/>
        </w:rPr>
        <w:t>IncomeMember2019-12-012020-02-290000320187nke:AccumulatedOtherAdjustmentsMemberus-gaap:ReclassificationOutOfAccumulatedOtherComprehensiveIncomeMember2020-06-012021-02-280000320187nke:AccumulatedOtherAdjustmentsMemberus-gaap:ReclassificationOutOfAccumulated</w:t>
      </w:r>
      <w:r>
        <w:rPr>
          <w:rFonts w:ascii="宋体" w:eastAsia="宋体" w:hAnsi="宋体" w:cs="宋体"/>
          <w:vanish/>
        </w:rPr>
        <w:t>OtherComprehensiveIncomeMember2019-06-012020-02-290000320187us-gaap:ReclassificationOutOfAccumulatedOtherComprehensiveIncomeMember2020-12-012021-02-280000320187us-gaap:ReclassificationOutOfAccumulatedOtherComprehensiveIncomeMember2019-12-012020-02-29000032</w:t>
      </w:r>
      <w:r>
        <w:rPr>
          <w:rFonts w:ascii="宋体" w:eastAsia="宋体" w:hAnsi="宋体" w:cs="宋体"/>
          <w:vanish/>
        </w:rPr>
        <w:t>0187us-gaap:ReclassificationOutOfAccumulatedOtherComprehensiveIncomeMember2020-06-012021-02-280000320187us-gaap:ReclassificationOutOfAccumulatedOtherComprehensiveIncomeMember2019-06-012020-02-290000320187nke:NIKEBrandMemberus-gaap:OperatingSegmentsMembernk</w:t>
      </w:r>
      <w:r>
        <w:rPr>
          <w:rFonts w:ascii="宋体" w:eastAsia="宋体" w:hAnsi="宋体" w:cs="宋体"/>
          <w:vanish/>
        </w:rPr>
        <w:t>e:NorthAmericaSegmentMembernke:FootwearMember2020-12-012021-02-280000320187nke:EuropeMiddleEastAndAfricaSegmentMembernke:NIKEBrandMemberus-gaap:OperatingSegmentsMembernke:FootwearMember2020-12-012021-02-280000320187nke:GreaterChinaSegmentMembernke:NIKEBran</w:t>
      </w:r>
      <w:r>
        <w:rPr>
          <w:rFonts w:ascii="宋体" w:eastAsia="宋体" w:hAnsi="宋体" w:cs="宋体"/>
          <w:vanish/>
        </w:rPr>
        <w:t>dMemberus-gaap:OperatingSegmentsMembernke:FootwearMember2020-12-012021-02-280000320187nke:AsiaPacificAndLatinAmericaSegmentMembernke:NIKEBrandMemberus-gaap:OperatingSegmentsMembernke:FootwearMember2020-12-012021-02-280000320187us-gaap:MaterialReconcilingIt</w:t>
      </w:r>
      <w:r>
        <w:rPr>
          <w:rFonts w:ascii="宋体" w:eastAsia="宋体" w:hAnsi="宋体" w:cs="宋体"/>
          <w:vanish/>
        </w:rPr>
        <w:t>emsMembernke:FootwearMember2020-12-012021-02-280000320187nke:NIKEBrandMemberus-gaap:OperatingSegmentsMembernke:FootwearMember2020-12-012021-02-280000320187nke:ConverseSegmentMemberus-gaap:OperatingSegmentsMembernke:FootwearMember2020-12-012021-02-280000320</w:t>
      </w:r>
      <w:r>
        <w:rPr>
          <w:rFonts w:ascii="宋体" w:eastAsia="宋体" w:hAnsi="宋体" w:cs="宋体"/>
          <w:vanish/>
        </w:rPr>
        <w:t>187us-gaap:CorporateNonSegmentMembernke:FootwearMember2020-12-012021-02-280000320187nke:FootwearMember2020-12-012021-02-280000320187nke:NIKEBrandMemberus-gaap:OperatingSegmentsMembernke:NorthAmericaSegmentMembernke:ApparelMember2020-12-012021-02-2800003201</w:t>
      </w:r>
      <w:r>
        <w:rPr>
          <w:rFonts w:ascii="宋体" w:eastAsia="宋体" w:hAnsi="宋体" w:cs="宋体"/>
          <w:vanish/>
        </w:rPr>
        <w:t>87nke:EuropeMiddleEastAndAfricaSegmentMembernke:NIKEBrandMemberus-gaap:OperatingSegmentsMembernke:ApparelMember2020-12-012021-02-280000320187nke:GreaterChinaSegmentMembernke:NIKEBrandMemberus-gaap:OperatingSegmentsMembernke:ApparelMember2020-12-012021-02-2</w:t>
      </w:r>
      <w:r>
        <w:rPr>
          <w:rFonts w:ascii="宋体" w:eastAsia="宋体" w:hAnsi="宋体" w:cs="宋体"/>
          <w:vanish/>
        </w:rPr>
        <w:t>80000320187nke:AsiaPacificAndLatinAmericaSegmentMembernke:NIKEBrandMemberus-gaap:OperatingSegmentsMembernke:ApparelMember2020-12-012021-02-280000320187us-gaap:MaterialReconcilingItemsMembernke:ApparelMember2020-12-012021-02-280000320187nke:NIKEBrandMemberu</w:t>
      </w:r>
      <w:r>
        <w:rPr>
          <w:rFonts w:ascii="宋体" w:eastAsia="宋体" w:hAnsi="宋体" w:cs="宋体"/>
          <w:vanish/>
        </w:rPr>
        <w:t>s-gaap:OperatingSegmentsMembernke:ApparelMember2020-12-012021-02-280000320187nke:ConverseSegmentMemberus-gaap:OperatingSegmentsMembernke:ApparelMember2020-12-012021-02-280000320187us-gaap:CorporateNonSegmentMembernke:ApparelMember2020-12-012021-02-28000032</w:t>
      </w:r>
      <w:r>
        <w:rPr>
          <w:rFonts w:ascii="宋体" w:eastAsia="宋体" w:hAnsi="宋体" w:cs="宋体"/>
          <w:vanish/>
        </w:rPr>
        <w:t>0187nke:ApparelMember2020-12-012021-02-280000320187nke:NIKEBrandMemberus-gaap:OperatingSegmentsMembernke:NorthAmericaSegmentMembernke:SportingEquipmentMember2020-12-012021-02-280000320187nke:EuropeMiddleEastAndAfricaSegmentMembernke:NIKEBrandMemberus-gaap:</w:t>
      </w:r>
      <w:r>
        <w:rPr>
          <w:rFonts w:ascii="宋体" w:eastAsia="宋体" w:hAnsi="宋体" w:cs="宋体"/>
          <w:vanish/>
        </w:rPr>
        <w:t>OperatingSegmentsMembernke:SportingEquipmentMember2020-12-012021-02-280000320187nke:GreaterChinaSegmentMembernke:NIKEBrandMemberus-gaap:OperatingSegmentsMembernke:SportingEquipmentMember2020-12-012021-02-280000320187nke:AsiaPacificAndLatinAmericaSegmentMem</w:t>
      </w:r>
      <w:r>
        <w:rPr>
          <w:rFonts w:ascii="宋体" w:eastAsia="宋体" w:hAnsi="宋体" w:cs="宋体"/>
          <w:vanish/>
        </w:rPr>
        <w:t>bernke:NIKEBrandMemberus-gaap:OperatingSegmentsMembernke:SportingEquipmentMember2020-12-012021-02-280000320187us-gaap:MaterialReconcilingItemsMembernke:SportingEquipmentMember2020-12-012021-02-280000320187nke:NIKEBrandMemberus-gaap:OperatingSegmentsMembern</w:t>
      </w:r>
      <w:r>
        <w:rPr>
          <w:rFonts w:ascii="宋体" w:eastAsia="宋体" w:hAnsi="宋体" w:cs="宋体"/>
          <w:vanish/>
        </w:rPr>
        <w:t>ke:SportingEquipmentMember2020-12-012021-02-280000320187nke:ConverseSegmentMemberus-gaap:OperatingSegmentsMembernke:SportingEquipmentMember2020-12-012021-02-280000320187us-gaap:CorporateNonSegmentMembernke:SportingEquipmentMember2020-12-012021-02-280000320</w:t>
      </w:r>
      <w:r>
        <w:rPr>
          <w:rFonts w:ascii="宋体" w:eastAsia="宋体" w:hAnsi="宋体" w:cs="宋体"/>
          <w:vanish/>
        </w:rPr>
        <w:t>187nke:SportingEquipmentMember2020-12-012021-02-280000320187nke:OtherProductLinesMembernke:NIKEBrandMemberus-gaap:OperatingSegmentsMembernke:NorthAmericaSegmentMember2020-12-012021-02-280000320187nke:OtherProductLinesMembernke:EuropeMiddleEastAndAfricaSegm</w:t>
      </w:r>
      <w:r>
        <w:rPr>
          <w:rFonts w:ascii="宋体" w:eastAsia="宋体" w:hAnsi="宋体" w:cs="宋体"/>
          <w:vanish/>
        </w:rPr>
        <w:t>entMembernke:NIKEBrandMemberus-gaap:OperatingSegmentsMember2020-12-012021-02-280000320187nke:GreaterChinaSegmentMembernke:OtherProductLinesMembernke:NIKEBrandMemberus-gaap:OperatingSegmentsMember2020-12-012021-02-280000320187nke:AsiaPacificAndLatinAmericaS</w:t>
      </w:r>
      <w:r>
        <w:rPr>
          <w:rFonts w:ascii="宋体" w:eastAsia="宋体" w:hAnsi="宋体" w:cs="宋体"/>
          <w:vanish/>
        </w:rPr>
        <w:t>egmentMembernke:OtherProductLinesMembernke:NIKEBrandMemberus-gaap:OperatingSegmentsMember2020-12-012021-02-280000320187nke:OtherProductLinesMemberus-gaap:MaterialReconcilingItemsMember2020-12-012021-02-280000320187nke:OtherProductLinesMembernke:NIKEBrandMe</w:t>
      </w:r>
      <w:r>
        <w:rPr>
          <w:rFonts w:ascii="宋体" w:eastAsia="宋体" w:hAnsi="宋体" w:cs="宋体"/>
          <w:vanish/>
        </w:rPr>
        <w:t>mberus-gaap:OperatingSegmentsMember2020-12-012021-02-280000320187nke:OtherProductLinesMembernke:ConverseSegmentMemberus-gaap:OperatingSegmentsMember2020-12-012021-02-280000320187nke:OtherProductLinesMemberus-gaap:CorporateNonSegmentMember2020-12-012021-02-</w:t>
      </w:r>
      <w:r>
        <w:rPr>
          <w:rFonts w:ascii="宋体" w:eastAsia="宋体" w:hAnsi="宋体" w:cs="宋体"/>
          <w:vanish/>
        </w:rPr>
        <w:t>280000320187nke:OtherProductLinesMember2020-12-012021-02-280000320187nke:NIKEBrandMemberus-gaap:OperatingSegmentsMembernke:NorthAmericaSegmentMember2020-12-012021-02-280000320187nke:EuropeMiddleEastAndAfricaSegmentMembernke:NIKEBrandMemberus-gaap:Operating</w:t>
      </w:r>
      <w:r>
        <w:rPr>
          <w:rFonts w:ascii="宋体" w:eastAsia="宋体" w:hAnsi="宋体" w:cs="宋体"/>
          <w:vanish/>
        </w:rPr>
        <w:t>SegmentsMember2020-12-012021-02-280000320187nke:GreaterChinaSegmentMembernke:NIKEBrandMemberus-gaap:OperatingSegmentsMember2020-12-012021-02-280000320187nke:AsiaPacificAndLatinAmericaSegmentMembernke:NIKEBrandMemberus-gaap:OperatingSegmentsMember2020-12-01</w:t>
      </w:r>
      <w:r>
        <w:rPr>
          <w:rFonts w:ascii="宋体" w:eastAsia="宋体" w:hAnsi="宋体" w:cs="宋体"/>
          <w:vanish/>
        </w:rPr>
        <w:t>2021-02-280000320187us-gaap:MaterialReconcilingItemsMember2020-12-012021-02-280000320187nke:NIKEBrandMemberus-gaap:OperatingSegmentsMember2020-12-012021-02-280000320187nke:ConverseSegmentMemberus-gaap:OperatingSegmentsMember2020-12-012021-02-280000320187us</w:t>
      </w:r>
      <w:r>
        <w:rPr>
          <w:rFonts w:ascii="宋体" w:eastAsia="宋体" w:hAnsi="宋体" w:cs="宋体"/>
          <w:vanish/>
        </w:rPr>
        <w:t>-gaap:CorporateNonSegmentMember2020-12-012021-02-280000320187nke:SalesChannelWholesaleMembernke:NIKEBrandMemberus-gaap:OperatingSegmentsMembernke:NorthAmericaSegmentMember2020-12-012021-02-280000320187nke:SalesChannelWholesaleMembernke:EuropeMiddleEastAndA</w:t>
      </w:r>
      <w:r>
        <w:rPr>
          <w:rFonts w:ascii="宋体" w:eastAsia="宋体" w:hAnsi="宋体" w:cs="宋体"/>
          <w:vanish/>
        </w:rPr>
        <w:t>fricaSegmentMembernke:NIKEBrandMemberus-gaap:OperatingSegmentsMember2020-12-012021-02-280000320187nke:SalesChannelWholesaleMembernke:GreaterChinaSegmentMembernke:NIKEBrandMemberus-gaap:OperatingSegmentsMember2020-12-012021-02-280000320187nke:SalesChannelWh</w:t>
      </w:r>
      <w:r>
        <w:rPr>
          <w:rFonts w:ascii="宋体" w:eastAsia="宋体" w:hAnsi="宋体" w:cs="宋体"/>
          <w:vanish/>
        </w:rPr>
        <w:t>olesaleMembernke:AsiaPacificAndLatinAmericaSegmentMembernke:NIKEBrandMemberus-gaap:OperatingSegmentsMember2020-12-012021-02-280000320187nke:SalesChannelWholesaleMemberus-gaap:MaterialReconcilingItemsMember2020-12-012021-02-280000320187nke:SalesChannelWhole</w:t>
      </w:r>
      <w:r>
        <w:rPr>
          <w:rFonts w:ascii="宋体" w:eastAsia="宋体" w:hAnsi="宋体" w:cs="宋体"/>
          <w:vanish/>
        </w:rPr>
        <w:t>saleMembernke:NIKEBrandMemberus-gaap:OperatingSegmentsMember2020-12-012021-02-280000320187nke:SalesChannelWholesaleMembernke:ConverseSegmentMemberus-gaap:OperatingSegmentsMember2020-12-012021-02-280000320187nke:SalesChannelWholesaleMemberus-gaap:CorporateN</w:t>
      </w:r>
      <w:r>
        <w:rPr>
          <w:rFonts w:ascii="宋体" w:eastAsia="宋体" w:hAnsi="宋体" w:cs="宋体"/>
          <w:vanish/>
        </w:rPr>
        <w:t>onSegmentMember2020-12-012021-02-280000320187nke:SalesChannelWholesaleMember2020-12-012021-02-280000320187us-gaap:SalesChannelDirectlyToConsumerMembernke:NIKEBrandMemberus-gaap:OperatingSegmentsMembernke:NorthAmericaSegmentMember2020-12-012021-02-280000320</w:t>
      </w:r>
      <w:r>
        <w:rPr>
          <w:rFonts w:ascii="宋体" w:eastAsia="宋体" w:hAnsi="宋体" w:cs="宋体"/>
          <w:vanish/>
        </w:rPr>
        <w:t>187nke:EuropeMiddleEastAndAfricaSegmentMemberus-gaap:SalesChannelDirectlyToConsumerMembernke:NIKEBrandMemberus-gaap:OperatingSegmentsMember2020-12-012021-02-280000320187nke:GreaterChinaSegmentMemberus-gaap:SalesChannelDirectlyToConsumerMembernke:NIKEBrandM</w:t>
      </w:r>
      <w:r>
        <w:rPr>
          <w:rFonts w:ascii="宋体" w:eastAsia="宋体" w:hAnsi="宋体" w:cs="宋体"/>
          <w:vanish/>
        </w:rPr>
        <w:t>emberus-gaap:OperatingSegmentsMember2020-12-012021-02-280000320187nke:AsiaPacificAndLatinAmericaSegmentMemberus-gaap:SalesChannelDirectlyToConsumerMembernke:NIKEBrandMemberus-gaap:OperatingSegmentsMember2020-12-012021-02-280000320187us-gaap:SalesChannelDir</w:t>
      </w:r>
      <w:r>
        <w:rPr>
          <w:rFonts w:ascii="宋体" w:eastAsia="宋体" w:hAnsi="宋体" w:cs="宋体"/>
          <w:vanish/>
        </w:rPr>
        <w:t>ectlyToConsumerMemberus-gaap:MaterialReconcilingItemsMember2020-12-012021-02-280000320187us-gaap:SalesChannelDirectlyToConsumerMembernke:NIKEBrandMemberus-gaap:OperatingSegmentsMember2020-12-012021-02-280000320187us-gaap:SalesChannelDirectlyToConsumerMembe</w:t>
      </w:r>
      <w:r>
        <w:rPr>
          <w:rFonts w:ascii="宋体" w:eastAsia="宋体" w:hAnsi="宋体" w:cs="宋体"/>
          <w:vanish/>
        </w:rPr>
        <w:t>rnke:ConverseSegmentMemberus-gaap:OperatingSegmentsMember2020-12-012021-02-280000320187us-gaap:SalesChannelDirectlyToConsumerMemberus-gaap:CorporateNonSegmentMember2020-12-012021-02-280000320187us-gaap:SalesChannelDirectlyToConsumerMember2020-12-012021-02-</w:t>
      </w:r>
      <w:r>
        <w:rPr>
          <w:rFonts w:ascii="宋体" w:eastAsia="宋体" w:hAnsi="宋体" w:cs="宋体"/>
          <w:vanish/>
        </w:rPr>
        <w:t>280000320187nke:SalesChannelOtherMembernke:NIKEBrandMemberus-gaap:OperatingSegmentsMembernke:NorthAmericaSegmentMember2020-12-012021-02-280000320187nke:EuropeMiddleEastAndAfricaSegmentMembernke:SalesChannelOtherMembernke:NIKEBrandMemberus-gaap:OperatingSeg</w:t>
      </w:r>
      <w:r>
        <w:rPr>
          <w:rFonts w:ascii="宋体" w:eastAsia="宋体" w:hAnsi="宋体" w:cs="宋体"/>
          <w:vanish/>
        </w:rPr>
        <w:t>mentsMember2020-12-012021-02-280000320187nke:GreaterChinaSegmentMembernke:SalesChannelOtherMembernke:NIKEBrandMemberus-gaap:OperatingSegmentsMember2020-12-012021-02-280000320187nke:AsiaPacificAndLatinAmericaSegmentMembernke:SalesChannelOtherMembernke:NIKEB</w:t>
      </w:r>
      <w:r>
        <w:rPr>
          <w:rFonts w:ascii="宋体" w:eastAsia="宋体" w:hAnsi="宋体" w:cs="宋体"/>
          <w:vanish/>
        </w:rPr>
        <w:t>randMemberus-gaap:OperatingSegmentsMember2020-12-012021-02-280000320187nke:SalesChannelOtherMemberus-gaap:MaterialReconcilingItemsMember2020-12-012021-02-280000320187nke:SalesChannelOtherMembernke:NIKEBrandMemberus-gaap:OperatingSegmentsMember2020-12-01202</w:t>
      </w:r>
      <w:r>
        <w:rPr>
          <w:rFonts w:ascii="宋体" w:eastAsia="宋体" w:hAnsi="宋体" w:cs="宋体"/>
          <w:vanish/>
        </w:rPr>
        <w:t>1-02-280000320187nke:SalesChannelOtherMembernke:ConverseSegmentMemberus-gaap:OperatingSegmentsMember2020-12-012021-02-280000320187nke:SalesChannelOtherMemberus-gaap:CorporateNonSegmentMember2020-12-012021-02-280000320187nke:SalesChannelOtherMember2020-12-0</w:t>
      </w:r>
      <w:r>
        <w:rPr>
          <w:rFonts w:ascii="宋体" w:eastAsia="宋体" w:hAnsi="宋体" w:cs="宋体"/>
          <w:vanish/>
        </w:rPr>
        <w:t>12021-02-280000320187nke:NIKEBrandMemberus-gaap:OperatingSegmentsMembernke:NorthAmericaSegmentMembernke:FootwearMember2019-12-012020-02-290000320187nke:EuropeMiddleEastAndAfricaSegmentMembernke:NIKEBrandMemberus-gaap:OperatingSegmentsMembernke:FootwearMemb</w:t>
      </w:r>
      <w:r>
        <w:rPr>
          <w:rFonts w:ascii="宋体" w:eastAsia="宋体" w:hAnsi="宋体" w:cs="宋体"/>
          <w:vanish/>
        </w:rPr>
        <w:t>er2019-12-012020-02-290000320187nke:GreaterChinaSegmentMembernke:NIKEBrandMemberus-gaap:OperatingSegmentsMembernke:FootwearMember2019-12-012020-02-290000320187nke:AsiaPacificAndLatinAmericaSegmentMembernke:NIKEBrandMemberus-gaap:OperatingSegmentsMembernke:</w:t>
      </w:r>
      <w:r>
        <w:rPr>
          <w:rFonts w:ascii="宋体" w:eastAsia="宋体" w:hAnsi="宋体" w:cs="宋体"/>
          <w:vanish/>
        </w:rPr>
        <w:t>FootwearMember2019-12-012020-02-290000320187us-gaap:MaterialReconcilingItemsMembernke:FootwearMember2019-12-012020-02-290000320187nke:NIKEBrandMemberus-gaap:OperatingSegmentsMembernke:FootwearMember2019-12-012020-02-290000320187nke:ConverseSegmentMemberus-</w:t>
      </w:r>
      <w:r>
        <w:rPr>
          <w:rFonts w:ascii="宋体" w:eastAsia="宋体" w:hAnsi="宋体" w:cs="宋体"/>
          <w:vanish/>
        </w:rPr>
        <w:t>gaap:OperatingSegmentsMembernke:FootwearMember2019-12-012020-02-290000320187us-gaap:CorporateNonSegmentMembernke:FootwearMember2019-12-012020-02-290000320187nke:FootwearMember2019-12-012020-02-290000320187nke:NIKEBrandMemberus-gaap:OperatingSegmentsMembern</w:t>
      </w:r>
      <w:r>
        <w:rPr>
          <w:rFonts w:ascii="宋体" w:eastAsia="宋体" w:hAnsi="宋体" w:cs="宋体"/>
          <w:vanish/>
        </w:rPr>
        <w:t>ke:NorthAmericaSegmentMembernke:ApparelMember2019-12-012020-02-290000320187nke:EuropeMiddleEastAndAfricaSegmentMembernke:NIKEBrandMemberus-gaap:OperatingSegmentsMembernke:ApparelMember2019-12-012020-02-290000320187nke:GreaterChinaSegmentMembernke:NIKEBrand</w:t>
      </w:r>
      <w:r>
        <w:rPr>
          <w:rFonts w:ascii="宋体" w:eastAsia="宋体" w:hAnsi="宋体" w:cs="宋体"/>
          <w:vanish/>
        </w:rPr>
        <w:t>Memberus-gaap:OperatingSegmentsMembernke:ApparelMember2019-12-012020-02-290000320187nke:AsiaPacificAndLatinAmericaSegmentMembernke:NIKEBrandMemberus-gaap:OperatingSegmentsMembernke:ApparelMember2019-12-012020-02-290000320187us-gaap:MaterialReconcilingItems</w:t>
      </w:r>
      <w:r>
        <w:rPr>
          <w:rFonts w:ascii="宋体" w:eastAsia="宋体" w:hAnsi="宋体" w:cs="宋体"/>
          <w:vanish/>
        </w:rPr>
        <w:t>Membernke:ApparelMember2019-12-012020-02-290000320187nke:NIKEBrandMemberus-gaap:OperatingSegmentsMembernke:ApparelMember2019-12-012020-02-290000320187nke:ConverseSegmentMemberus-gaap:OperatingSegmentsMembernke:ApparelMember2019-12-012020-02-290000320187us-</w:t>
      </w:r>
      <w:r>
        <w:rPr>
          <w:rFonts w:ascii="宋体" w:eastAsia="宋体" w:hAnsi="宋体" w:cs="宋体"/>
          <w:vanish/>
        </w:rPr>
        <w:t>gaap:CorporateNonSegmentMembernke:ApparelMember2019-12-012020-02-290000320187nke:ApparelMember2019-12-012020-02-290000320187nke:NIKEBrandMemberus-gaap:OperatingSegmentsMembernke:NorthAmericaSegmentMembernke:SportingEquipmentMember2019-12-012020-02-29000032</w:t>
      </w:r>
      <w:r>
        <w:rPr>
          <w:rFonts w:ascii="宋体" w:eastAsia="宋体" w:hAnsi="宋体" w:cs="宋体"/>
          <w:vanish/>
        </w:rPr>
        <w:t>0187nke:EuropeMiddleEastAndAfricaSegmentMembernke:NIKEBrandMemberus-gaap:OperatingSegmentsMembernke:SportingEquipmentMember2019-12-012020-02-290000320187nke:GreaterChinaSegmentMembernke:NIKEBrandMemberus-gaap:OperatingSegmentsMembernke:SportingEquipmentMem</w:t>
      </w:r>
      <w:r>
        <w:rPr>
          <w:rFonts w:ascii="宋体" w:eastAsia="宋体" w:hAnsi="宋体" w:cs="宋体"/>
          <w:vanish/>
        </w:rPr>
        <w:t>ber2019-12-012020-02-290000320187nke:AsiaPacificAndLatinAmericaSegmentMembernke:NIKEBrandMemberus-gaap:OperatingSegmentsMembernke:SportingEquipmentMember2019-12-012020-02-290000320187us-gaap:MaterialReconcilingItemsMembernke:SportingEquipmentMember2019-12-</w:t>
      </w:r>
      <w:r>
        <w:rPr>
          <w:rFonts w:ascii="宋体" w:eastAsia="宋体" w:hAnsi="宋体" w:cs="宋体"/>
          <w:vanish/>
        </w:rPr>
        <w:t>012020-02-290000320187nke:NIKEBrandMemberus-gaap:OperatingSegmentsMembernke:SportingEquipmentMember2019-12-012020-02-290000320187nke:ConverseSegmentMemberus-gaap:OperatingSegmentsMembernke:SportingEquipmentMember2019-12-012020-02-290000320187us-gaap:Corpor</w:t>
      </w:r>
      <w:r>
        <w:rPr>
          <w:rFonts w:ascii="宋体" w:eastAsia="宋体" w:hAnsi="宋体" w:cs="宋体"/>
          <w:vanish/>
        </w:rPr>
        <w:t>ateNonSegmentMembernke:SportingEquipmentMember2019-12-012020-02-290000320187nke:SportingEquipmentMember2019-12-012020-02-290000320187nke:OtherProductLinesMembernke:NIKEBrandMemberus-gaap:OperatingSegmentsMembernke:NorthAmericaSegmentMember2019-12-012020-02</w:t>
      </w:r>
      <w:r>
        <w:rPr>
          <w:rFonts w:ascii="宋体" w:eastAsia="宋体" w:hAnsi="宋体" w:cs="宋体"/>
          <w:vanish/>
        </w:rPr>
        <w:t>-290000320187nke:OtherProductLinesMembernke:EuropeMiddleEastAndAfricaSegmentMembernke:NIKEBrandMemberus-gaap:OperatingSegmentsMember2019-12-012020-02-290000320187nke:GreaterChinaSegmentMembernke:OtherProductLinesMembernke:NIKEBrandMemberus-gaap:OperatingSe</w:t>
      </w:r>
      <w:r>
        <w:rPr>
          <w:rFonts w:ascii="宋体" w:eastAsia="宋体" w:hAnsi="宋体" w:cs="宋体"/>
          <w:vanish/>
        </w:rPr>
        <w:t>gmentsMember2019-12-012020-02-290000320187nke:AsiaPacificAndLatinAmericaSegmentMembernke:OtherProductLinesMembernke:NIKEBrandMemberus-gaap:OperatingSegmentsMember2019-12-012020-02-290000320187nke:OtherProductLinesMemberus-gaap:MaterialReconcilingItemsMembe</w:t>
      </w:r>
      <w:r>
        <w:rPr>
          <w:rFonts w:ascii="宋体" w:eastAsia="宋体" w:hAnsi="宋体" w:cs="宋体"/>
          <w:vanish/>
        </w:rPr>
        <w:t>r2019-12-012020-02-290000320187nke:OtherProductLinesMembernke:NIKEBrandMemberus-gaap:OperatingSegmentsMember2019-12-012020-02-290000320187nke:OtherProductLinesMembernke:ConverseSegmentMemberus-gaap:OperatingSegmentsMember2019-12-012020-02-290000320187nke:O</w:t>
      </w:r>
      <w:r>
        <w:rPr>
          <w:rFonts w:ascii="宋体" w:eastAsia="宋体" w:hAnsi="宋体" w:cs="宋体"/>
          <w:vanish/>
        </w:rPr>
        <w:t>therProductLinesMemberus-gaap:CorporateNonSegmentMember2019-12-012020-02-290000320187nke:OtherProductLinesMember2019-12-012020-02-290000320187nke:NIKEBrandMemberus-gaap:OperatingSegmentsMembernke:NorthAmericaSegmentMember2019-12-012020-02-290000320187nke:E</w:t>
      </w:r>
      <w:r>
        <w:rPr>
          <w:rFonts w:ascii="宋体" w:eastAsia="宋体" w:hAnsi="宋体" w:cs="宋体"/>
          <w:vanish/>
        </w:rPr>
        <w:t>uropeMiddleEastAndAfricaSegmentMembernke:NIKEBrandMemberus-gaap:OperatingSegmentsMember2019-12-012020-02-290000320187nke:GreaterChinaSegmentMembernke:NIKEBrandMemberus-gaap:OperatingSegmentsMember2019-12-012020-02-290000320187nke:AsiaPacificAndLatinAmerica</w:t>
      </w:r>
      <w:r>
        <w:rPr>
          <w:rFonts w:ascii="宋体" w:eastAsia="宋体" w:hAnsi="宋体" w:cs="宋体"/>
          <w:vanish/>
        </w:rPr>
        <w:t>SegmentMembernke:NIKEBrandMemberus-gaap:OperatingSegmentsMember2019-12-012020-02-290000320187us-gaap:MaterialReconcilingItemsMember2019-12-012020-02-290000320187nke:NIKEBrandMemberus-gaap:OperatingSegmentsMember2019-12-012020-02-290000320187nke:ConverseSeg</w:t>
      </w:r>
      <w:r>
        <w:rPr>
          <w:rFonts w:ascii="宋体" w:eastAsia="宋体" w:hAnsi="宋体" w:cs="宋体"/>
          <w:vanish/>
        </w:rPr>
        <w:t>mentMemberus-gaap:OperatingSegmentsMember2019-12-012020-02-290000320187us-gaap:CorporateNonSegmentMember2019-12-012020-02-290000320187nke:SalesChannelWholesaleMembernke:NIKEBrandMemberus-gaap:OperatingSegmentsMembernke:NorthAmericaSegmentMember2019-12-0120</w:t>
      </w:r>
      <w:r>
        <w:rPr>
          <w:rFonts w:ascii="宋体" w:eastAsia="宋体" w:hAnsi="宋体" w:cs="宋体"/>
          <w:vanish/>
        </w:rPr>
        <w:t>20-02-290000320187nke:SalesChannelWholesaleMembernke:EuropeMiddleEastAndAfricaSegmentMembernke:NIKEBrandMemberus-gaap:OperatingSegmentsMember2019-12-012020-02-290000320187nke:SalesChannelWholesaleMembernke:GreaterChinaSegmentMembernke:NIKEBrandMemberus-gaa</w:t>
      </w:r>
      <w:r>
        <w:rPr>
          <w:rFonts w:ascii="宋体" w:eastAsia="宋体" w:hAnsi="宋体" w:cs="宋体"/>
          <w:vanish/>
        </w:rPr>
        <w:t>p:OperatingSegmentsMember2019-12-012020-02-290000320187nke:SalesChannelWholesaleMembernke:AsiaPacificAndLatinAmericaSegmentMembernke:NIKEBrandMemberus-gaap:OperatingSegmentsMember2019-12-012020-02-290000320187nke:SalesChannelWholesaleMemberus-gaap:Material</w:t>
      </w:r>
      <w:r>
        <w:rPr>
          <w:rFonts w:ascii="宋体" w:eastAsia="宋体" w:hAnsi="宋体" w:cs="宋体"/>
          <w:vanish/>
        </w:rPr>
        <w:t>ReconcilingItemsMember2019-12-012020-02-290000320187nke:SalesChannelWholesaleMembernke:NIKEBrandMemberus-gaap:OperatingSegmentsMember2019-12-012020-02-290000320187nke:SalesChannelWholesaleMembernke:ConverseSegmentMemberus-gaap:OperatingSegmentsMember2019-1</w:t>
      </w:r>
      <w:r>
        <w:rPr>
          <w:rFonts w:ascii="宋体" w:eastAsia="宋体" w:hAnsi="宋体" w:cs="宋体"/>
          <w:vanish/>
        </w:rPr>
        <w:t>2-012020-02-290000320187nke:SalesChannelWholesaleMemberus-gaap:CorporateNonSegmentMember2019-12-012020-02-290000320187nke:SalesChannelWholesaleMember2019-12-012020-02-290000320187us-gaap:SalesChannelDirectlyToConsumerMembernke:NIKEBrandMemberus-gaap:Operat</w:t>
      </w:r>
      <w:r>
        <w:rPr>
          <w:rFonts w:ascii="宋体" w:eastAsia="宋体" w:hAnsi="宋体" w:cs="宋体"/>
          <w:vanish/>
        </w:rPr>
        <w:t>ingSegmentsMembernke:NorthAmericaSegmentMember2019-12-012020-02-290000320187nke:EuropeMiddleEastAndAfricaSegmentMemberus-gaap:SalesChannelDirectlyToConsumerMembernke:NIKEBrandMemberus-gaap:OperatingSegmentsMember2019-12-012020-02-290000320187nke:GreaterChi</w:t>
      </w:r>
      <w:r>
        <w:rPr>
          <w:rFonts w:ascii="宋体" w:eastAsia="宋体" w:hAnsi="宋体" w:cs="宋体"/>
          <w:vanish/>
        </w:rPr>
        <w:t>naSegmentMemberus-gaap:SalesChannelDirectlyToConsumerMembernke:NIKEBrandMemberus-gaap:OperatingSegmentsMember2019-12-012020-02-290000320187nke:AsiaPacificAndLatinAmericaSegmentMemberus-gaap:SalesChannelDirectlyToConsumerMembernke:NIKEBrandMemberus-gaap:Ope</w:t>
      </w:r>
      <w:r>
        <w:rPr>
          <w:rFonts w:ascii="宋体" w:eastAsia="宋体" w:hAnsi="宋体" w:cs="宋体"/>
          <w:vanish/>
        </w:rPr>
        <w:t>ratingSegmentsMember2019-12-012020-02-290000320187us-gaap:SalesChannelDirectlyToConsumerMemberus-gaap:MaterialReconcilingItemsMember2019-12-012020-02-290000320187us-gaap:SalesChannelDirectlyToConsumerMembernke:NIKEBrandMemberus-gaap:OperatingSegmentsMember</w:t>
      </w:r>
      <w:r>
        <w:rPr>
          <w:rFonts w:ascii="宋体" w:eastAsia="宋体" w:hAnsi="宋体" w:cs="宋体"/>
          <w:vanish/>
        </w:rPr>
        <w:t>2019-12-012020-02-290000320187us-gaap:SalesChannelDirectlyToConsumerMembernke:ConverseSegmentMemberus-gaap:OperatingSegmentsMember2019-12-012020-02-290000320187us-gaap:SalesChannelDirectlyToConsumerMemberus-gaap:CorporateNonSegmentMember2019-12-012020-02-2</w:t>
      </w:r>
      <w:r>
        <w:rPr>
          <w:rFonts w:ascii="宋体" w:eastAsia="宋体" w:hAnsi="宋体" w:cs="宋体"/>
          <w:vanish/>
        </w:rPr>
        <w:t>90000320187us-gaap:SalesChannelDirectlyToConsumerMember2019-12-012020-02-290000320187nke:SalesChannelOtherMembernke:NIKEBrandMemberus-gaap:OperatingSegmentsMembernke:NorthAmericaSegmentMember2019-12-012020-02-290000320187nke:EuropeMiddleEastAndAfricaSegmen</w:t>
      </w:r>
      <w:r>
        <w:rPr>
          <w:rFonts w:ascii="宋体" w:eastAsia="宋体" w:hAnsi="宋体" w:cs="宋体"/>
          <w:vanish/>
        </w:rPr>
        <w:t>tMembernke:SalesChannelOtherMembernke:NIKEBrandMemberus-gaap:OperatingSegmentsMember2019-12-012020-02-290000320187nke:GreaterChinaSegmentMembernke:SalesChannelOtherMembernke:NIKEBrandMemberus-gaap:OperatingSegmentsMember2019-12-012020-02-290000320187nke:As</w:t>
      </w:r>
      <w:r>
        <w:rPr>
          <w:rFonts w:ascii="宋体" w:eastAsia="宋体" w:hAnsi="宋体" w:cs="宋体"/>
          <w:vanish/>
        </w:rPr>
        <w:t>iaPacificAndLatinAmericaSegmentMembernke:SalesChannelOtherMembernke:NIKEBrandMemberus-gaap:OperatingSegmentsMember2019-12-012020-02-290000320187nke:SalesChannelOtherMemberus-gaap:MaterialReconcilingItemsMember2019-12-012020-02-290000320187nke:SalesChannelO</w:t>
      </w:r>
      <w:r>
        <w:rPr>
          <w:rFonts w:ascii="宋体" w:eastAsia="宋体" w:hAnsi="宋体" w:cs="宋体"/>
          <w:vanish/>
        </w:rPr>
        <w:t>therMembernke:NIKEBrandMemberus-gaap:OperatingSegmentsMember2019-12-012020-02-290000320187nke:SalesChannelOtherMembernke:ConverseSegmentMemberus-gaap:OperatingSegmentsMember2019-12-012020-02-290000320187nke:SalesChannelOtherMemberus-gaap:CorporateNonSegmen</w:t>
      </w:r>
      <w:r>
        <w:rPr>
          <w:rFonts w:ascii="宋体" w:eastAsia="宋体" w:hAnsi="宋体" w:cs="宋体"/>
          <w:vanish/>
        </w:rPr>
        <w:t>tMember2019-12-012020-02-290000320187nke:SalesChannelOtherMember2019-12-012020-02-290000320187nke:NIKEBrandMemberus-gaap:OperatingSegmentsMembernke:NorthAmericaSegmentMembernke:FootwearMember2020-06-012021-02-280000320187nke:EuropeMiddleEastAndAfricaSegmen</w:t>
      </w:r>
      <w:r>
        <w:rPr>
          <w:rFonts w:ascii="宋体" w:eastAsia="宋体" w:hAnsi="宋体" w:cs="宋体"/>
          <w:vanish/>
        </w:rPr>
        <w:t>tMembernke:NIKEBrandMemberus-gaap:OperatingSegmentsMembernke:FootwearMember2020-06-012021-02-280000320187nke:GreaterChinaSegmentMembernke:NIKEBrandMemberus-gaap:OperatingSegmentsMembernke:FootwearMember2020-06-012021-02-280000320187nke:AsiaPacificAndLatinA</w:t>
      </w:r>
      <w:r>
        <w:rPr>
          <w:rFonts w:ascii="宋体" w:eastAsia="宋体" w:hAnsi="宋体" w:cs="宋体"/>
          <w:vanish/>
        </w:rPr>
        <w:t>mericaSegmentMembernke:NIKEBrandMemberus-gaap:OperatingSegmentsMembernke:FootwearMember2020-06-012021-02-280000320187us-gaap:MaterialReconcilingItemsMembernke:FootwearMember2020-06-012021-02-280000320187nke:NIKEBrandMemberus-gaap:OperatingSegmentsMembernke</w:t>
      </w:r>
      <w:r>
        <w:rPr>
          <w:rFonts w:ascii="宋体" w:eastAsia="宋体" w:hAnsi="宋体" w:cs="宋体"/>
          <w:vanish/>
        </w:rPr>
        <w:t>:FootwearMember2020-06-012021-02-280000320187nke:ConverseSegmentMemberus-gaap:OperatingSegmentsMembernke:FootwearMember2020-06-012021-02-280000320187us-gaap:CorporateNonSegmentMembernke:FootwearMember2020-06-012021-02-280000320187nke:FootwearMember2020-06-</w:t>
      </w:r>
      <w:r>
        <w:rPr>
          <w:rFonts w:ascii="宋体" w:eastAsia="宋体" w:hAnsi="宋体" w:cs="宋体"/>
          <w:vanish/>
        </w:rPr>
        <w:t>012021-02-280000320187nke:NIKEBrandMemberus-gaap:OperatingSegmentsMembernke:NorthAmericaSegmentMembernke:ApparelMember2020-06-012021-02-280000320187nke:EuropeMiddleEastAndAfricaSegmentMembernke:NIKEBrandMemberus-gaap:OperatingSegmentsMembernke:ApparelMembe</w:t>
      </w:r>
      <w:r>
        <w:rPr>
          <w:rFonts w:ascii="宋体" w:eastAsia="宋体" w:hAnsi="宋体" w:cs="宋体"/>
          <w:vanish/>
        </w:rPr>
        <w:t>r2020-06-012021-02-280000320187nke:GreaterChinaSegmentMembernke:NIKEBrandMemberus-gaap:OperatingSegmentsMembernke:ApparelMember2020-06-012021-02-280000320187nke:AsiaPacificAndLatinAmericaSegmentMembernke:NIKEBrandMemberus-gaap:OperatingSegmentsMembernke:Ap</w:t>
      </w:r>
      <w:r>
        <w:rPr>
          <w:rFonts w:ascii="宋体" w:eastAsia="宋体" w:hAnsi="宋体" w:cs="宋体"/>
          <w:vanish/>
        </w:rPr>
        <w:t>parelMember2020-06-012021-02-280000320187us-gaap:MaterialReconcilingItemsMembernke:ApparelMember2020-06-012021-02-280000320187nke:NIKEBrandMemberus-gaap:OperatingSegmentsMembernke:ApparelMember2020-06-012021-02-280000320187nke:ConverseSegmentMemberus-gaap:</w:t>
      </w:r>
      <w:r>
        <w:rPr>
          <w:rFonts w:ascii="宋体" w:eastAsia="宋体" w:hAnsi="宋体" w:cs="宋体"/>
          <w:vanish/>
        </w:rPr>
        <w:t>OperatingSegmentsMembernke:ApparelMember2020-06-012021-02-280000320187us-gaap:CorporateNonSegmentMembernke:ApparelMember2020-06-012021-02-280000320187nke:ApparelMember2020-06-012021-02-280000320187nke:NIKEBrandMemberus-gaap:OperatingSegmentsMembernke:North</w:t>
      </w:r>
      <w:r>
        <w:rPr>
          <w:rFonts w:ascii="宋体" w:eastAsia="宋体" w:hAnsi="宋体" w:cs="宋体"/>
          <w:vanish/>
        </w:rPr>
        <w:t>AmericaSegmentMembernke:SportingEquipmentMember2020-06-012021-02-280000320187nke:EuropeMiddleEastAndAfricaSegmentMembernke:NIKEBrandMemberus-gaap:OperatingSegmentsMembernke:SportingEquipmentMember2020-06-012021-02-280000320187nke:GreaterChinaSegmentMembern</w:t>
      </w:r>
      <w:r>
        <w:rPr>
          <w:rFonts w:ascii="宋体" w:eastAsia="宋体" w:hAnsi="宋体" w:cs="宋体"/>
          <w:vanish/>
        </w:rPr>
        <w:t>ke:NIKEBrandMemberus-gaap:OperatingSegmentsMembernke:SportingEquipmentMember2020-06-012021-02-280000320187nke:AsiaPacificAndLatinAmericaSegmentMembernke:NIKEBrandMemberus-gaap:OperatingSegmentsMembernke:SportingEquipmentMember2020-06-012021-02-280000320187</w:t>
      </w:r>
      <w:r>
        <w:rPr>
          <w:rFonts w:ascii="宋体" w:eastAsia="宋体" w:hAnsi="宋体" w:cs="宋体"/>
          <w:vanish/>
        </w:rPr>
        <w:t>us-gaap:MaterialReconcilingItemsMembernke:SportingEquipmentMember2020-06-012021-02-280000320187nke:NIKEBrandMemberus-gaap:OperatingSegmentsMembernke:SportingEquipmentMember2020-06-012021-02-280000320187nke:ConverseSegmentMemberus-gaap:OperatingSegmentsMemb</w:t>
      </w:r>
      <w:r>
        <w:rPr>
          <w:rFonts w:ascii="宋体" w:eastAsia="宋体" w:hAnsi="宋体" w:cs="宋体"/>
          <w:vanish/>
        </w:rPr>
        <w:t>ernke:SportingEquipmentMember2020-06-012021-02-280000320187us-gaap:CorporateNonSegmentMembernke:SportingEquipmentMember2020-06-012021-02-280000320187nke:SportingEquipmentMember2020-06-012021-02-280000320187nke:OtherProductLinesMembernke:NIKEBrandMemberus-g</w:t>
      </w:r>
      <w:r>
        <w:rPr>
          <w:rFonts w:ascii="宋体" w:eastAsia="宋体" w:hAnsi="宋体" w:cs="宋体"/>
          <w:vanish/>
        </w:rPr>
        <w:t>aap:OperatingSegmentsMembernke:NorthAmericaSegmentMember2020-06-012021-02-280000320187nke:OtherProductLinesMembernke:EuropeMiddleEastAndAfricaSegmentMembernke:NIKEBrandMemberus-gaap:OperatingSegmentsMember2020-06-012021-02-280000320187nke:GreaterChinaSegme</w:t>
      </w:r>
      <w:r>
        <w:rPr>
          <w:rFonts w:ascii="宋体" w:eastAsia="宋体" w:hAnsi="宋体" w:cs="宋体"/>
          <w:vanish/>
        </w:rPr>
        <w:t>ntMembernke:OtherProductLinesMembernke:NIKEBrandMemberus-gaap:OperatingSegmentsMember2020-06-012021-02-280000320187nke:AsiaPacificAndLatinAmericaSegmentMembernke:OtherProductLinesMembernke:NIKEBrandMemberus-gaap:OperatingSegmentsMember2020-06-012021-02-280</w:t>
      </w:r>
      <w:r>
        <w:rPr>
          <w:rFonts w:ascii="宋体" w:eastAsia="宋体" w:hAnsi="宋体" w:cs="宋体"/>
          <w:vanish/>
        </w:rPr>
        <w:t>000320187nke:OtherProductLinesMemberus-gaap:MaterialReconcilingItemsMember2020-06-012021-02-280000320187nke:OtherProductLinesMembernke:NIKEBrandMemberus-gaap:OperatingSegmentsMember2020-06-012021-02-280000320187nke:OtherProductLinesMembernke:ConverseSegmen</w:t>
      </w:r>
      <w:r>
        <w:rPr>
          <w:rFonts w:ascii="宋体" w:eastAsia="宋体" w:hAnsi="宋体" w:cs="宋体"/>
          <w:vanish/>
        </w:rPr>
        <w:t>tMemberus-gaap:OperatingSegmentsMember2020-06-012021-02-280000320187nke:OtherProductLinesMemberus-gaap:CorporateNonSegmentMember2020-06-012021-02-280000320187nke:OtherProductLinesMember2020-06-012021-02-280000320187nke:NIKEBrandMemberus-gaap:OperatingSegme</w:t>
      </w:r>
      <w:r>
        <w:rPr>
          <w:rFonts w:ascii="宋体" w:eastAsia="宋体" w:hAnsi="宋体" w:cs="宋体"/>
          <w:vanish/>
        </w:rPr>
        <w:t>ntsMembernke:NorthAmericaSegmentMember2020-06-012021-02-280000320187nke:EuropeMiddleEastAndAfricaSegmentMembernke:NIKEBrandMemberus-gaap:OperatingSegmentsMember2020-06-012021-02-280000320187nke:GreaterChinaSegmentMembernke:NIKEBrandMemberus-gaap:OperatingS</w:t>
      </w:r>
      <w:r>
        <w:rPr>
          <w:rFonts w:ascii="宋体" w:eastAsia="宋体" w:hAnsi="宋体" w:cs="宋体"/>
          <w:vanish/>
        </w:rPr>
        <w:t>egmentsMember2020-06-012021-02-280000320187nke:AsiaPacificAndLatinAmericaSegmentMembernke:NIKEBrandMemberus-gaap:OperatingSegmentsMember2020-06-012021-02-280000320187us-gaap:MaterialReconcilingItemsMember2020-06-012021-02-280000320187nke:NIKEBrandMemberus-</w:t>
      </w:r>
      <w:r>
        <w:rPr>
          <w:rFonts w:ascii="宋体" w:eastAsia="宋体" w:hAnsi="宋体" w:cs="宋体"/>
          <w:vanish/>
        </w:rPr>
        <w:t>gaap:OperatingSegmentsMember2020-06-012021-02-280000320187nke:ConverseSegmentMemberus-gaap:OperatingSegmentsMember2020-06-012021-02-280000320187us-gaap:CorporateNonSegmentMember2020-06-012021-02-280000320187nke:SalesChannelWholesaleMembernke:NIKEBrandMembe</w:t>
      </w:r>
      <w:r>
        <w:rPr>
          <w:rFonts w:ascii="宋体" w:eastAsia="宋体" w:hAnsi="宋体" w:cs="宋体"/>
          <w:vanish/>
        </w:rPr>
        <w:t>rus-gaap:OperatingSegmentsMembernke:NorthAmericaSegmentMember2020-06-012021-02-280000320187nke:SalesChannelWholesaleMembernke:EuropeMiddleEastAndAfricaSegmentMembernke:NIKEBrandMemberus-gaap:OperatingSegmentsMember2020-06-012021-02-280000320187nke:SalesCha</w:t>
      </w:r>
      <w:r>
        <w:rPr>
          <w:rFonts w:ascii="宋体" w:eastAsia="宋体" w:hAnsi="宋体" w:cs="宋体"/>
          <w:vanish/>
        </w:rPr>
        <w:t>nnelWholesaleMembernke:GreaterChinaSegmentMembernke:NIKEBrandMemberus-gaap:OperatingSegmentsMember2020-06-012021-02-280000320187nke:SalesChannelWholesaleMembernke:AsiaPacificAndLatinAmericaSegmentMembernke:NIKEBrandMemberus-gaap:OperatingSegmentsMember2020</w:t>
      </w:r>
      <w:r>
        <w:rPr>
          <w:rFonts w:ascii="宋体" w:eastAsia="宋体" w:hAnsi="宋体" w:cs="宋体"/>
          <w:vanish/>
        </w:rPr>
        <w:t>-06-012021-02-280000320187nke:SalesChannelWholesaleMemberus-gaap:MaterialReconcilingItemsMember2020-06-012021-02-280000320187nke:SalesChannelWholesaleMembernke:NIKEBrandMemberus-gaap:OperatingSegmentsMember2020-06-012021-02-280000320187nke:SalesChannelWhol</w:t>
      </w:r>
      <w:r>
        <w:rPr>
          <w:rFonts w:ascii="宋体" w:eastAsia="宋体" w:hAnsi="宋体" w:cs="宋体"/>
          <w:vanish/>
        </w:rPr>
        <w:t>esaleMembernke:ConverseSegmentMemberus-gaap:OperatingSegmentsMember2020-06-012021-02-280000320187nke:SalesChannelWholesaleMemberus-gaap:CorporateNonSegmentMember2020-06-012021-02-280000320187nke:SalesChannelWholesaleMember2020-06-012021-02-280000320187us-g</w:t>
      </w:r>
      <w:r>
        <w:rPr>
          <w:rFonts w:ascii="宋体" w:eastAsia="宋体" w:hAnsi="宋体" w:cs="宋体"/>
          <w:vanish/>
        </w:rPr>
        <w:t>aap:SalesChannelDirectlyToConsumerMembernke:NIKEBrandMemberus-gaap:OperatingSegmentsMembernke:NorthAmericaSegmentMember2020-06-012021-02-280000320187nke:EuropeMiddleEastAndAfricaSegmentMemberus-gaap:SalesChannelDirectlyToConsumerMembernke:NIKEBrandMemberus</w:t>
      </w:r>
      <w:r>
        <w:rPr>
          <w:rFonts w:ascii="宋体" w:eastAsia="宋体" w:hAnsi="宋体" w:cs="宋体"/>
          <w:vanish/>
        </w:rPr>
        <w:t>-gaap:OperatingSegmentsMember2020-06-012021-02-280000320187nke:GreaterChinaSegmentMemberus-gaap:SalesChannelDirectlyToConsumerMembernke:NIKEBrandMemberus-gaap:OperatingSegmentsMember2020-06-012021-02-280000320187nke:AsiaPacificAndLatinAmericaSegmentMemberu</w:t>
      </w:r>
      <w:r>
        <w:rPr>
          <w:rFonts w:ascii="宋体" w:eastAsia="宋体" w:hAnsi="宋体" w:cs="宋体"/>
          <w:vanish/>
        </w:rPr>
        <w:t>s-gaap:SalesChannelDirectlyToConsumerMembernke:NIKEBrandMemberus-gaap:OperatingSegmentsMember2020-06-012021-02-280000320187us-gaap:SalesChannelDirectlyToConsumerMemberus-gaap:MaterialReconcilingItemsMember2020-06-012021-02-280000320187us-gaap:SalesChannelD</w:t>
      </w:r>
      <w:r>
        <w:rPr>
          <w:rFonts w:ascii="宋体" w:eastAsia="宋体" w:hAnsi="宋体" w:cs="宋体"/>
          <w:vanish/>
        </w:rPr>
        <w:t>irectlyToConsumerMembernke:NIKEBrandMemberus-gaap:OperatingSegmentsMember2020-06-012021-02-280000320187us-gaap:SalesChannelDirectlyToConsumerMembernke:ConverseSegmentMemberus-gaap:OperatingSegmentsMember2020-06-012021-02-280000320187us-gaap:SalesChannelDir</w:t>
      </w:r>
      <w:r>
        <w:rPr>
          <w:rFonts w:ascii="宋体" w:eastAsia="宋体" w:hAnsi="宋体" w:cs="宋体"/>
          <w:vanish/>
        </w:rPr>
        <w:t>ectlyToConsumerMemberus-gaap:CorporateNonSegmentMember2020-06-012021-02-280000320187us-gaap:SalesChannelDirectlyToConsumerMember2020-06-012021-02-280000320187nke:SalesChannelOtherMembernke:NIKEBrandMemberus-gaap:OperatingSegmentsMembernke:NorthAmericaSegme</w:t>
      </w:r>
      <w:r>
        <w:rPr>
          <w:rFonts w:ascii="宋体" w:eastAsia="宋体" w:hAnsi="宋体" w:cs="宋体"/>
          <w:vanish/>
        </w:rPr>
        <w:t>ntMember2020-06-012021-02-280000320187nke:EuropeMiddleEastAndAfricaSegmentMembernke:SalesChannelOtherMembernke:NIKEBrandMemberus-gaap:OperatingSegmentsMember2020-06-012021-02-280000320187nke:GreaterChinaSegmentMembernke:SalesChannelOtherMembernke:NIKEBrand</w:t>
      </w:r>
      <w:r>
        <w:rPr>
          <w:rFonts w:ascii="宋体" w:eastAsia="宋体" w:hAnsi="宋体" w:cs="宋体"/>
          <w:vanish/>
        </w:rPr>
        <w:t>Memberus-gaap:OperatingSegmentsMember2020-06-012021-02-280000320187nke:AsiaPacificAndLatinAmericaSegmentMembernke:SalesChannelOtherMembernke:NIKEBrandMemberus-gaap:OperatingSegmentsMember2020-06-012021-02-280000320187nke:SalesChannelOtherMemberus-gaap:Mate</w:t>
      </w:r>
      <w:r>
        <w:rPr>
          <w:rFonts w:ascii="宋体" w:eastAsia="宋体" w:hAnsi="宋体" w:cs="宋体"/>
          <w:vanish/>
        </w:rPr>
        <w:t>rialReconcilingItemsMember2020-06-012021-02-280000320187nke:SalesChannelOtherMembernke:NIKEBrandMemberus-gaap:OperatingSegmentsMember2020-06-012021-02-280000320187nke:SalesChannelOtherMembernke:ConverseSegmentMemberus-gaap:OperatingSegmentsMember2020-06-01</w:t>
      </w:r>
      <w:r>
        <w:rPr>
          <w:rFonts w:ascii="宋体" w:eastAsia="宋体" w:hAnsi="宋体" w:cs="宋体"/>
          <w:vanish/>
        </w:rPr>
        <w:t>2021-02-280000320187nke:SalesChannelOtherMemberus-gaap:CorporateNonSegmentMember2020-06-012021-02-280000320187nke:SalesChannelOtherMember2020-06-012021-02-280000320187nke:NIKEBrandMemberus-gaap:OperatingSegmentsMembernke:NorthAmericaSegmentMembernke:Footwe</w:t>
      </w:r>
      <w:r>
        <w:rPr>
          <w:rFonts w:ascii="宋体" w:eastAsia="宋体" w:hAnsi="宋体" w:cs="宋体"/>
          <w:vanish/>
        </w:rPr>
        <w:t>arMember2019-06-012020-02-290000320187nke:EuropeMiddleEastAndAfricaSegmentMembernke:NIKEBrandMemberus-gaap:OperatingSegmentsMembernke:FootwearMember2019-06-012020-02-290000320187nke:GreaterChinaSegmentMembernke:NIKEBrandMemberus-gaap:OperatingSegmentsMembe</w:t>
      </w:r>
      <w:r>
        <w:rPr>
          <w:rFonts w:ascii="宋体" w:eastAsia="宋体" w:hAnsi="宋体" w:cs="宋体"/>
          <w:vanish/>
        </w:rPr>
        <w:t>rnke:FootwearMember2019-06-012020-02-290000320187nke:AsiaPacificAndLatinAmericaSegmentMembernke:NIKEBrandMemberus-gaap:OperatingSegmentsMembernke:FootwearMember2019-06-012020-02-290000320187us-gaap:MaterialReconcilingItemsMembernke:FootwearMember2019-06-01</w:t>
      </w:r>
      <w:r>
        <w:rPr>
          <w:rFonts w:ascii="宋体" w:eastAsia="宋体" w:hAnsi="宋体" w:cs="宋体"/>
          <w:vanish/>
        </w:rPr>
        <w:t>2020-02-290000320187nke:NIKEBrandMemberus-gaap:OperatingSegmentsMembernke:FootwearMember2019-06-012020-02-290000320187nke:ConverseSegmentMemberus-gaap:OperatingSegmentsMembernke:FootwearMember2019-06-012020-02-290000320187us-gaap:CorporateNonSegmentMembern</w:t>
      </w:r>
      <w:r>
        <w:rPr>
          <w:rFonts w:ascii="宋体" w:eastAsia="宋体" w:hAnsi="宋体" w:cs="宋体"/>
          <w:vanish/>
        </w:rPr>
        <w:t>ke:FootwearMember2019-06-012020-02-290000320187nke:FootwearMember2019-06-012020-02-290000320187nke:NIKEBrandMemberus-gaap:OperatingSegmentsMembernke:NorthAmericaSegmentMembernke:ApparelMember2019-06-012020-02-290000320187nke:EuropeMiddleEastAndAfricaSegmen</w:t>
      </w:r>
      <w:r>
        <w:rPr>
          <w:rFonts w:ascii="宋体" w:eastAsia="宋体" w:hAnsi="宋体" w:cs="宋体"/>
          <w:vanish/>
        </w:rPr>
        <w:t>tMembernke:NIKEBrandMemberus-gaap:OperatingSegmentsMembernke:ApparelMember2019-06-012020-02-290000320187nke:GreaterChinaSegmentMembernke:NIKEBrandMemberus-gaap:OperatingSegmentsMembernke:ApparelMember2019-06-012020-02-290000320187nke:AsiaPacificAndLatinAme</w:t>
      </w:r>
      <w:r>
        <w:rPr>
          <w:rFonts w:ascii="宋体" w:eastAsia="宋体" w:hAnsi="宋体" w:cs="宋体"/>
          <w:vanish/>
        </w:rPr>
        <w:t>ricaSegmentMembernke:NIKEBrandMemberus-gaap:OperatingSegmentsMembernke:ApparelMember2019-06-012020-02-290000320187us-gaap:MaterialReconcilingItemsMembernke:ApparelMember2019-06-012020-02-290000320187nke:NIKEBrandMemberus-gaap:OperatingSegmentsMembernke:App</w:t>
      </w:r>
      <w:r>
        <w:rPr>
          <w:rFonts w:ascii="宋体" w:eastAsia="宋体" w:hAnsi="宋体" w:cs="宋体"/>
          <w:vanish/>
        </w:rPr>
        <w:t>arelMember2019-06-012020-02-290000320187nke:ConverseSegmentMemberus-gaap:OperatingSegmentsMembernke:ApparelMember2019-06-012020-02-290000320187us-gaap:CorporateNonSegmentMembernke:ApparelMember2019-06-012020-02-290000320187nke:ApparelMember2019-06-012020-0</w:t>
      </w:r>
      <w:r>
        <w:rPr>
          <w:rFonts w:ascii="宋体" w:eastAsia="宋体" w:hAnsi="宋体" w:cs="宋体"/>
          <w:vanish/>
        </w:rPr>
        <w:t>2-290000320187nke:NIKEBrandMemberus-gaap:OperatingSegmentsMembernke:NorthAmericaSegmentMembernke:SportingEquipmentMember2019-06-012020-02-290000320187nke:EuropeMiddleEastAndAfricaSegmentMembernke:NIKEBrandMemberus-gaap:OperatingSegmentsMembernke:SportingEq</w:t>
      </w:r>
      <w:r>
        <w:rPr>
          <w:rFonts w:ascii="宋体" w:eastAsia="宋体" w:hAnsi="宋体" w:cs="宋体"/>
          <w:vanish/>
        </w:rPr>
        <w:t>uipmentMember2019-06-012020-02-290000320187nke:GreaterChinaSegmentMembernke:NIKEBrandMemberus-gaap:OperatingSegmentsMembernke:SportingEquipmentMember2019-06-012020-02-290000320187nke:AsiaPacificAndLatinAmericaSegmentMembernke:NIKEBrandMemberus-gaap:Operati</w:t>
      </w:r>
      <w:r>
        <w:rPr>
          <w:rFonts w:ascii="宋体" w:eastAsia="宋体" w:hAnsi="宋体" w:cs="宋体"/>
          <w:vanish/>
        </w:rPr>
        <w:t>ngSegmentsMembernke:SportingEquipmentMember2019-06-012020-02-290000320187us-gaap:MaterialReconcilingItemsMembernke:SportingEquipmentMember2019-06-012020-02-290000320187nke:NIKEBrandMemberus-gaap:OperatingSegmentsMembernke:SportingEquipmentMember2019-06-012</w:t>
      </w:r>
      <w:r>
        <w:rPr>
          <w:rFonts w:ascii="宋体" w:eastAsia="宋体" w:hAnsi="宋体" w:cs="宋体"/>
          <w:vanish/>
        </w:rPr>
        <w:t>020-02-290000320187nke:ConverseSegmentMemberus-gaap:OperatingSegmentsMembernke:SportingEquipmentMember2019-06-012020-02-290000320187us-gaap:CorporateNonSegmentMembernke:SportingEquipmentMember2019-06-012020-02-290000320187nke:SportingEquipmentMember2019-06</w:t>
      </w:r>
      <w:r>
        <w:rPr>
          <w:rFonts w:ascii="宋体" w:eastAsia="宋体" w:hAnsi="宋体" w:cs="宋体"/>
          <w:vanish/>
        </w:rPr>
        <w:t>-012020-02-290000320187nke:OtherProductLinesMembernke:NIKEBrandMemberus-gaap:OperatingSegmentsMembernke:NorthAmericaSegmentMember2019-06-012020-02-290000320187nke:OtherProductLinesMembernke:EuropeMiddleEastAndAfricaSegmentMembernke:NIKEBrandMemberus-gaap:O</w:t>
      </w:r>
      <w:r>
        <w:rPr>
          <w:rFonts w:ascii="宋体" w:eastAsia="宋体" w:hAnsi="宋体" w:cs="宋体"/>
          <w:vanish/>
        </w:rPr>
        <w:t>peratingSegmentsMember2019-06-012020-02-290000320187nke:GreaterChinaSegmentMembernke:OtherProductLinesMembernke:NIKEBrandMemberus-gaap:OperatingSegmentsMember2019-06-012020-02-290000320187nke:AsiaPacificAndLatinAmericaSegmentMembernke:OtherProductLinesMemb</w:t>
      </w:r>
      <w:r>
        <w:rPr>
          <w:rFonts w:ascii="宋体" w:eastAsia="宋体" w:hAnsi="宋体" w:cs="宋体"/>
          <w:vanish/>
        </w:rPr>
        <w:t>ernke:NIKEBrandMemberus-gaap:OperatingSegmentsMember2019-06-012020-02-290000320187nke:OtherProductLinesMemberus-gaap:MaterialReconcilingItemsMember2019-06-012020-02-290000320187nke:OtherProductLinesMembernke:NIKEBrandMemberus-gaap:OperatingSegmentsMember20</w:t>
      </w:r>
      <w:r>
        <w:rPr>
          <w:rFonts w:ascii="宋体" w:eastAsia="宋体" w:hAnsi="宋体" w:cs="宋体"/>
          <w:vanish/>
        </w:rPr>
        <w:t>19-06-012020-02-290000320187nke:OtherProductLinesMembernke:ConverseSegmentMemberus-gaap:OperatingSegmentsMember2019-06-012020-02-290000320187nke:OtherProductLinesMemberus-gaap:CorporateNonSegmentMember2019-06-012020-02-290000320187nke:OtherProductLinesMemb</w:t>
      </w:r>
      <w:r>
        <w:rPr>
          <w:rFonts w:ascii="宋体" w:eastAsia="宋体" w:hAnsi="宋体" w:cs="宋体"/>
          <w:vanish/>
        </w:rPr>
        <w:t>er2019-06-012020-02-290000320187nke:NIKEBrandMemberus-gaap:OperatingSegmentsMembernke:NorthAmericaSegmentMember2019-06-012020-02-290000320187nke:EuropeMiddleEastAndAfricaSegmentMembernke:NIKEBrandMemberus-gaap:OperatingSegmentsMember2019-06-012020-02-29000</w:t>
      </w:r>
      <w:r>
        <w:rPr>
          <w:rFonts w:ascii="宋体" w:eastAsia="宋体" w:hAnsi="宋体" w:cs="宋体"/>
          <w:vanish/>
        </w:rPr>
        <w:t>0320187nke:GreaterChinaSegmentMembernke:NIKEBrandMemberus-gaap:OperatingSegmentsMember2019-06-012020-02-290000320187nke:AsiaPacificAndLatinAmericaSegmentMembernke:NIKEBrandMemberus-gaap:OperatingSegmentsMember2019-06-012020-02-290000320187us-gaap:MaterialR</w:t>
      </w:r>
      <w:r>
        <w:rPr>
          <w:rFonts w:ascii="宋体" w:eastAsia="宋体" w:hAnsi="宋体" w:cs="宋体"/>
          <w:vanish/>
        </w:rPr>
        <w:t>econcilingItemsMember2019-06-012020-02-290000320187nke:NIKEBrandMemberus-gaap:OperatingSegmentsMember2019-06-012020-02-290000320187nke:ConverseSegmentMemberus-gaap:OperatingSegmentsMember2019-06-012020-02-290000320187us-gaap:CorporateNonSegmentMember2019-0</w:t>
      </w:r>
      <w:r>
        <w:rPr>
          <w:rFonts w:ascii="宋体" w:eastAsia="宋体" w:hAnsi="宋体" w:cs="宋体"/>
          <w:vanish/>
        </w:rPr>
        <w:t>6-012020-02-290000320187nke:SalesChannelWholesaleMembernke:NIKEBrandMemberus-gaap:OperatingSegmentsMembernke:NorthAmericaSegmentMember2019-06-012020-02-290000320187nke:SalesChannelWholesaleMembernke:EuropeMiddleEastAndAfricaSegmentMembernke:NIKEBrandMember</w:t>
      </w:r>
      <w:r>
        <w:rPr>
          <w:rFonts w:ascii="宋体" w:eastAsia="宋体" w:hAnsi="宋体" w:cs="宋体"/>
          <w:vanish/>
        </w:rPr>
        <w:t>us-gaap:OperatingSegmentsMember2019-06-012020-02-290000320187nke:SalesChannelWholesaleMembernke:GreaterChinaSegmentMembernke:NIKEBrandMemberus-gaap:OperatingSegmentsMember2019-06-012020-02-290000320187nke:SalesChannelWholesaleMembernke:AsiaPacificAndLatinA</w:t>
      </w:r>
      <w:r>
        <w:rPr>
          <w:rFonts w:ascii="宋体" w:eastAsia="宋体" w:hAnsi="宋体" w:cs="宋体"/>
          <w:vanish/>
        </w:rPr>
        <w:t>mericaSegmentMembernke:NIKEBrandMemberus-gaap:OperatingSegmentsMember2019-06-012020-02-290000320187nke:SalesChannelWholesaleMemberus-gaap:MaterialReconcilingItemsMember2019-06-012020-02-290000320187nke:SalesChannelWholesaleMembernke:NIKEBrandMemberus-gaap:</w:t>
      </w:r>
      <w:r>
        <w:rPr>
          <w:rFonts w:ascii="宋体" w:eastAsia="宋体" w:hAnsi="宋体" w:cs="宋体"/>
          <w:vanish/>
        </w:rPr>
        <w:t>OperatingSegmentsMember2019-06-012020-02-290000320187nke:SalesChannelWholesaleMembernke:ConverseSegmentMemberus-gaap:OperatingSegmentsMember2019-06-012020-02-290000320187nke:SalesChannelWholesaleMemberus-gaap:CorporateNonSegmentMember2019-06-012020-02-2900</w:t>
      </w:r>
      <w:r>
        <w:rPr>
          <w:rFonts w:ascii="宋体" w:eastAsia="宋体" w:hAnsi="宋体" w:cs="宋体"/>
          <w:vanish/>
        </w:rPr>
        <w:t>00320187nke:SalesChannelWholesaleMember2019-06-012020-02-290000320187us-gaap:SalesChannelDirectlyToConsumerMembernke:NIKEBrandMemberus-gaap:OperatingSegmentsMembernke:NorthAmericaSegmentMember2019-06-012020-02-290000320187nke:EuropeMiddleEastAndAfricaSegme</w:t>
      </w:r>
      <w:r>
        <w:rPr>
          <w:rFonts w:ascii="宋体" w:eastAsia="宋体" w:hAnsi="宋体" w:cs="宋体"/>
          <w:vanish/>
        </w:rPr>
        <w:t>ntMemberus-gaap:SalesChannelDirectlyToConsumerMembernke:NIKEBrandMemberus-gaap:OperatingSegmentsMember2019-06-012020-02-290000320187nke:GreaterChinaSegmentMemberus-gaap:SalesChannelDirectlyToConsumerMembernke:NIKEBrandMemberus-gaap:OperatingSegmentsMember2</w:t>
      </w:r>
      <w:r>
        <w:rPr>
          <w:rFonts w:ascii="宋体" w:eastAsia="宋体" w:hAnsi="宋体" w:cs="宋体"/>
          <w:vanish/>
        </w:rPr>
        <w:t>019-06-012020-02-290000320187nke:AsiaPacificAndLatinAmericaSegmentMemberus-gaap:SalesChannelDirectlyToConsumerMembernke:NIKEBrandMemberus-gaap:OperatingSegmentsMember2019-06-012020-02-290000320187us-gaap:SalesChannelDirectlyToConsumerMemberus-gaap:Material</w:t>
      </w:r>
      <w:r>
        <w:rPr>
          <w:rFonts w:ascii="宋体" w:eastAsia="宋体" w:hAnsi="宋体" w:cs="宋体"/>
          <w:vanish/>
        </w:rPr>
        <w:t>ReconcilingItemsMember2019-06-012020-02-290000320187us-gaap:SalesChannelDirectlyToConsumerMembernke:NIKEBrandMemberus-gaap:OperatingSegmentsMember2019-06-012020-02-290000320187us-gaap:SalesChannelDirectlyToConsumerMembernke:ConverseSegmentMemberus-gaap:Ope</w:t>
      </w:r>
      <w:r>
        <w:rPr>
          <w:rFonts w:ascii="宋体" w:eastAsia="宋体" w:hAnsi="宋体" w:cs="宋体"/>
          <w:vanish/>
        </w:rPr>
        <w:t>ratingSegmentsMember2019-06-012020-02-290000320187us-gaap:SalesChannelDirectlyToConsumerMemberus-gaap:CorporateNonSegmentMember2019-06-012020-02-290000320187us-gaap:SalesChannelDirectlyToConsumerMember2019-06-012020-02-290000320187nke:SalesChannelOtherMemb</w:t>
      </w:r>
      <w:r>
        <w:rPr>
          <w:rFonts w:ascii="宋体" w:eastAsia="宋体" w:hAnsi="宋体" w:cs="宋体"/>
          <w:vanish/>
        </w:rPr>
        <w:t>ernke:NIKEBrandMemberus-gaap:OperatingSegmentsMembernke:NorthAmericaSegmentMember2019-06-012020-02-290000320187nke:EuropeMiddleEastAndAfricaSegmentMembernke:SalesChannelOtherMembernke:NIKEBrandMemberus-gaap:OperatingSegmentsMember2019-06-012020-02-29000032</w:t>
      </w:r>
      <w:r>
        <w:rPr>
          <w:rFonts w:ascii="宋体" w:eastAsia="宋体" w:hAnsi="宋体" w:cs="宋体"/>
          <w:vanish/>
        </w:rPr>
        <w:t>0187nke:GreaterChinaSegmentMembernke:SalesChannelOtherMembernke:NIKEBrandMemberus-gaap:OperatingSegmentsMember2019-06-012020-02-290000320187nke:AsiaPacificAndLatinAmericaSegmentMembernke:SalesChannelOtherMembernke:NIKEBrandMemberus-gaap:OperatingSegmentsMe</w:t>
      </w:r>
      <w:r>
        <w:rPr>
          <w:rFonts w:ascii="宋体" w:eastAsia="宋体" w:hAnsi="宋体" w:cs="宋体"/>
          <w:vanish/>
        </w:rPr>
        <w:t>mber2019-06-012020-02-290000320187nke:SalesChannelOtherMemberus-gaap:MaterialReconcilingItemsMember2019-06-012020-02-290000320187nke:SalesChannelOtherMembernke:NIKEBrandMemberus-gaap:OperatingSegmentsMember2019-06-012020-02-290000320187nke:SalesChannelOthe</w:t>
      </w:r>
      <w:r>
        <w:rPr>
          <w:rFonts w:ascii="宋体" w:eastAsia="宋体" w:hAnsi="宋体" w:cs="宋体"/>
          <w:vanish/>
        </w:rPr>
        <w:t>rMembernke:ConverseSegmentMemberus-gaap:OperatingSegmentsMember2019-06-012020-02-290000320187nke:SalesChannelOtherMemberus-gaap:CorporateNonSegmentMember2019-06-012020-02-290000320187nke:SalesChannelOtherMember2019-06-012020-02-290000320187nke:NIKEBrandMem</w:t>
      </w:r>
      <w:r>
        <w:rPr>
          <w:rFonts w:ascii="宋体" w:eastAsia="宋体" w:hAnsi="宋体" w:cs="宋体"/>
          <w:vanish/>
        </w:rPr>
        <w:t>berus-gaap:OperatingSegmentsMembernke:NorthAmericaSegmentMembernke:NIKEBrandMember2020-12-012021-02-280000320187nke:NIKEBrandMemberus-gaap:OperatingSegmentsMembernke:NorthAmericaSegmentMembernke:NIKEBrandMember2019-12-012020-02-290000320187nke:NIKEBrandMem</w:t>
      </w:r>
      <w:r>
        <w:rPr>
          <w:rFonts w:ascii="宋体" w:eastAsia="宋体" w:hAnsi="宋体" w:cs="宋体"/>
          <w:vanish/>
        </w:rPr>
        <w:t>berus-gaap:OperatingSegmentsMembernke:NorthAmericaSegmentMembernke:NIKEBrandMember2020-06-012021-02-280000320187nke:NIKEBrandMemberus-gaap:OperatingSegmentsMembernke:NorthAmericaSegmentMembernke:NIKEBrandMember2019-06-012020-02-290000320187nke:EuropeMiddle</w:t>
      </w:r>
      <w:r>
        <w:rPr>
          <w:rFonts w:ascii="宋体" w:eastAsia="宋体" w:hAnsi="宋体" w:cs="宋体"/>
          <w:vanish/>
        </w:rPr>
        <w:t>EastAndAfricaSegmentMembernke:NIKEBrandMemberus-gaap:OperatingSegmentsMembernke:NIKEBrandMember2020-12-012021-02-280000320187nke:EuropeMiddleEastAndAfricaSegmentMembernke:NIKEBrandMemberus-gaap:OperatingSegmentsMembernke:NIKEBrandMember2019-12-012020-02-29</w:t>
      </w:r>
      <w:r>
        <w:rPr>
          <w:rFonts w:ascii="宋体" w:eastAsia="宋体" w:hAnsi="宋体" w:cs="宋体"/>
          <w:vanish/>
        </w:rPr>
        <w:t>0000320187nke:EuropeMiddleEastAndAfricaSegmentMembernke:NIKEBrandMemberus-gaap:OperatingSegmentsMembernke:NIKEBrandMember2020-06-012021-02-280000320187nke:EuropeMiddleEastAndAfricaSegmentMembernke:NIKEBrandMemberus-gaap:OperatingSegmentsMembernke:NIKEBrand</w:t>
      </w:r>
      <w:r>
        <w:rPr>
          <w:rFonts w:ascii="宋体" w:eastAsia="宋体" w:hAnsi="宋体" w:cs="宋体"/>
          <w:vanish/>
        </w:rPr>
        <w:t>Member2019-06-012020-02-290000320187nke:GreaterChinaSegmentMembernke:NIKEBrandMemberus-gaap:OperatingSegmentsMembernke:NIKEBrandMember2020-12-012021-02-280000320187nke:GreaterChinaSegmentMembernke:NIKEBrandMemberus-gaap:OperatingSegmentsMembernke:NIKEBrand</w:t>
      </w:r>
      <w:r>
        <w:rPr>
          <w:rFonts w:ascii="宋体" w:eastAsia="宋体" w:hAnsi="宋体" w:cs="宋体"/>
          <w:vanish/>
        </w:rPr>
        <w:t>Member2019-12-012020-02-290000320187nke:GreaterChinaSegmentMembernke:NIKEBrandMemberus-gaap:OperatingSegmentsMembernke:NIKEBrandMember2020-06-012021-02-280000320187nke:GreaterChinaSegmentMembernke:NIKEBrandMemberus-gaap:OperatingSegmentsMembernke:NIKEBrand</w:t>
      </w:r>
      <w:r>
        <w:rPr>
          <w:rFonts w:ascii="宋体" w:eastAsia="宋体" w:hAnsi="宋体" w:cs="宋体"/>
          <w:vanish/>
        </w:rPr>
        <w:t>Member2019-06-012020-02-290000320187nke:AsiaPacificAndLatinAmericaSegmentMembernke:NIKEBrandMemberus-gaap:OperatingSegmentsMembernke:NIKEBrandMember2020-12-012021-02-280000320187nke:AsiaPacificAndLatinAmericaSegmentMembernke:NIKEBrandMemberus-gaap:Operatin</w:t>
      </w:r>
      <w:r>
        <w:rPr>
          <w:rFonts w:ascii="宋体" w:eastAsia="宋体" w:hAnsi="宋体" w:cs="宋体"/>
          <w:vanish/>
        </w:rPr>
        <w:t>gSegmentsMembernke:NIKEBrandMember2019-12-012020-02-290000320187nke:AsiaPacificAndLatinAmericaSegmentMembernke:NIKEBrandMemberus-gaap:OperatingSegmentsMembernke:NIKEBrandMember2020-06-012021-02-280000320187nke:AsiaPacificAndLatinAmericaSegmentMembernke:NIK</w:t>
      </w:r>
      <w:r>
        <w:rPr>
          <w:rFonts w:ascii="宋体" w:eastAsia="宋体" w:hAnsi="宋体" w:cs="宋体"/>
          <w:vanish/>
        </w:rPr>
        <w:t>EBrandMemberus-gaap:OperatingSegmentsMembernke:NIKEBrandMember2019-06-012020-02-290000320187us-gaap:MaterialReconcilingItemsMembernke:NIKEBrandMember2020-12-012021-02-280000320187us-gaap:MaterialReconcilingItemsMembernke:NIKEBrandMember2019-12-012020-02-29</w:t>
      </w:r>
      <w:r>
        <w:rPr>
          <w:rFonts w:ascii="宋体" w:eastAsia="宋体" w:hAnsi="宋体" w:cs="宋体"/>
          <w:vanish/>
        </w:rPr>
        <w:t>0000320187us-gaap:MaterialReconcilingItemsMembernke:NIKEBrandMember2020-06-012021-02-280000320187us-gaap:MaterialReconcilingItemsMembernke:NIKEBrandMember2019-06-012020-02-290000320187nke:NIKEBrandMemberus-gaap:OperatingSegmentsMembernke:NIKEBrandMember202</w:t>
      </w:r>
      <w:r>
        <w:rPr>
          <w:rFonts w:ascii="宋体" w:eastAsia="宋体" w:hAnsi="宋体" w:cs="宋体"/>
          <w:vanish/>
        </w:rPr>
        <w:t>0-12-012021-02-280000320187nke:NIKEBrandMemberus-gaap:OperatingSegmentsMembernke:NIKEBrandMember2019-12-012020-02-290000320187nke:NIKEBrandMemberus-gaap:OperatingSegmentsMembernke:NIKEBrandMember2020-06-012021-02-280000320187nke:NIKEBrandMemberus-gaap:Oper</w:t>
      </w:r>
      <w:r>
        <w:rPr>
          <w:rFonts w:ascii="宋体" w:eastAsia="宋体" w:hAnsi="宋体" w:cs="宋体"/>
          <w:vanish/>
        </w:rPr>
        <w:t>atingSegmentsMembernke:NIKEBrandMember2019-06-012020-02-290000320187nke:ConverseSegmentMembernke:ConverseSegmentMemberus-gaap:OperatingSegmentsMember2020-12-012021-02-280000320187nke:ConverseSegmentMembernke:ConverseSegmentMemberus-gaap:OperatingSegmentsMe</w:t>
      </w:r>
      <w:r>
        <w:rPr>
          <w:rFonts w:ascii="宋体" w:eastAsia="宋体" w:hAnsi="宋体" w:cs="宋体"/>
          <w:vanish/>
        </w:rPr>
        <w:t>mber2019-12-012020-02-290000320187nke:ConverseSegmentMembernke:ConverseSegmentMemberus-gaap:OperatingSegmentsMember2020-06-012021-02-280000320187nke:ConverseSegmentMembernke:ConverseSegmentMemberus-gaap:OperatingSegmentsMember2019-06-012020-02-290000320187</w:t>
      </w:r>
      <w:r>
        <w:rPr>
          <w:rFonts w:ascii="宋体" w:eastAsia="宋体" w:hAnsi="宋体" w:cs="宋体"/>
          <w:vanish/>
        </w:rPr>
        <w:t>nke:NIKEBrandMemberus-gaap:OperatingSegmentsMembernke:NorthAmericaSegmentMembernke:NIKEBrandMember2021-02-280000320187nke:NIKEBrandMemberus-gaap:OperatingSegmentsMembernke:NorthAmericaSegmentMembernke:NIKEBrandMember2020-05-310000320187nke:EuropeMiddleEast</w:t>
      </w:r>
      <w:r>
        <w:rPr>
          <w:rFonts w:ascii="宋体" w:eastAsia="宋体" w:hAnsi="宋体" w:cs="宋体"/>
          <w:vanish/>
        </w:rPr>
        <w:t>AndAfricaSegmentMembernke:NIKEBrandMemberus-gaap:OperatingSegmentsMembernke:NIKEBrandMember2021-02-280000320187nke:EuropeMiddleEastAndAfricaSegmentMembernke:NIKEBrandMemberus-gaap:OperatingSegmentsMembernke:NIKEBrandMember2020-05-310000320187nke:GreaterChi</w:t>
      </w:r>
      <w:r>
        <w:rPr>
          <w:rFonts w:ascii="宋体" w:eastAsia="宋体" w:hAnsi="宋体" w:cs="宋体"/>
          <w:vanish/>
        </w:rPr>
        <w:t>naSegmentMembernke:NIKEBrandMemberus-gaap:OperatingSegmentsMembernke:NIKEBrandMember2021-02-280000320187nke:GreaterChinaSegmentMembernke:NIKEBrandMemberus-gaap:OperatingSegmentsMembernke:NIKEBrandMember2020-05-310000320187nke:AsiaPacificAndLatinAmericaSegm</w:t>
      </w:r>
      <w:r>
        <w:rPr>
          <w:rFonts w:ascii="宋体" w:eastAsia="宋体" w:hAnsi="宋体" w:cs="宋体"/>
          <w:vanish/>
        </w:rPr>
        <w:t>entMembernke:NIKEBrandMemberus-gaap:OperatingSegmentsMembernke:NIKEBrandMember2021-02-280000320187nke:AsiaPacificAndLatinAmericaSegmentMembernke:NIKEBrandMemberus-gaap:OperatingSegmentsMembernke:NIKEBrandMember2020-05-310000320187us-gaap:MaterialReconcilin</w:t>
      </w:r>
      <w:r>
        <w:rPr>
          <w:rFonts w:ascii="宋体" w:eastAsia="宋体" w:hAnsi="宋体" w:cs="宋体"/>
          <w:vanish/>
        </w:rPr>
        <w:t>gItemsMembernke:NIKEBrandMember2021-02-280000320187us-gaap:MaterialReconcilingItemsMembernke:NIKEBrandMember2020-05-310000320187nke:NIKEBrandMemberus-gaap:OperatingSegmentsMembernke:NIKEBrandMember2021-02-280000320187nke:NIKEBrandMemberus-gaap:OperatingSeg</w:t>
      </w:r>
      <w:r>
        <w:rPr>
          <w:rFonts w:ascii="宋体" w:eastAsia="宋体" w:hAnsi="宋体" w:cs="宋体"/>
          <w:vanish/>
        </w:rPr>
        <w:t>mentsMembernke:NIKEBrandMember2020-05-310000320187nke:ConverseSegmentMembernke:ConverseSegmentMemberus-gaap:OperatingSegmentsMember2021-02-280000320187nke:ConverseSegmentMembernke:ConverseSegmentMemberus-gaap:OperatingSegmentsMember2020-05-310000320187us-g</w:t>
      </w:r>
      <w:r>
        <w:rPr>
          <w:rFonts w:ascii="宋体" w:eastAsia="宋体" w:hAnsi="宋体" w:cs="宋体"/>
          <w:vanish/>
        </w:rPr>
        <w:t>aap:CorporateNonSegmentMember2021-02-280000320187us-gaap:CorporateNonSegmentMember2020-05-310000320187country:BRus-gaap:DiscontinuedOperationsHeldforsaleMembernke:GrupoSBFSAMember2020-06-012021-02-280000320187country:BRus-gaap:DiscontinuedOperationsHeldfor</w:t>
      </w:r>
      <w:r>
        <w:rPr>
          <w:rFonts w:ascii="宋体" w:eastAsia="宋体" w:hAnsi="宋体" w:cs="宋体"/>
          <w:vanish/>
        </w:rPr>
        <w:t>saleMembernke:GrupoSBFSAMember2020-09-012020-11-300000320187country:BRnke:NIKEBrandBusinessesMemberus-gaap:DiscontinuedOperationsHeldforsaleMembernke:GrupoSBFSAMember2020-05-310000320187nke:NIKEBrandBusinessesMembernke:ArgentinaChileAndUruguayMemberus-gaap</w:t>
      </w:r>
      <w:r>
        <w:rPr>
          <w:rFonts w:ascii="宋体" w:eastAsia="宋体" w:hAnsi="宋体" w:cs="宋体"/>
          <w:vanish/>
        </w:rPr>
        <w:t>:DiscontinuedOperationsHeldforsaleMembernke:GrupoAxoMember2021-02-280000320187nke:NIKEBrandBusinessesMembernke:ArgentinaChileAndUruguayMemberus-gaap:DiscontinuedOperationsHeldforsaleMembernke:GrupoAxoMember2020-05-310000320187nke:NIKEBrandBusinessesMemberu</w:t>
      </w:r>
      <w:r>
        <w:rPr>
          <w:rFonts w:ascii="宋体" w:eastAsia="宋体" w:hAnsi="宋体" w:cs="宋体"/>
          <w:vanish/>
        </w:rPr>
        <w:t>s-gaap:OtherNonoperatingIncomeExpenseMembernke:ArgentinaChileAndUruguayMemberus-gaap:DiscontinuedOperationsHeldforsaleMembernke:GrupoAxoMember2019-12-012020-11-300000320187us-gaap:OneTimeTerminationBenefitsMember2021-02-280000320187us-gaap:OneTimeTerminati</w:t>
      </w:r>
      <w:r>
        <w:rPr>
          <w:rFonts w:ascii="宋体" w:eastAsia="宋体" w:hAnsi="宋体" w:cs="宋体"/>
          <w:vanish/>
        </w:rPr>
        <w:t>onBenefitsMember2020-06-012021-02-280000320187us-gaap:OneTimeTerminationBenefitsMembernke:OperatingOverheadExpenseMember2020-12-012021-02-280000320187us-gaap:OneTimeTerminationBenefitsMemberus-gaap:CostOfSalesMember2020-12-012021-02-280000320187us-gaap:One</w:t>
      </w:r>
      <w:r>
        <w:rPr>
          <w:rFonts w:ascii="宋体" w:eastAsia="宋体" w:hAnsi="宋体" w:cs="宋体"/>
          <w:vanish/>
        </w:rPr>
        <w:t>TimeTerminationBenefitsMembernke:OperatingOverheadExpenseMember2020-06-012021-02-280000320187us-gaap:OneTimeTerminationBenefitsMemberus-gaap:CostOfSalesMember2020-06-012021-02-280000320187us-gaap:OneTimeTerminationBenefitsMember2020-11-300000320187us-gaap:</w:t>
      </w:r>
      <w:r>
        <w:rPr>
          <w:rFonts w:ascii="宋体" w:eastAsia="宋体" w:hAnsi="宋体" w:cs="宋体"/>
          <w:vanish/>
        </w:rPr>
        <w:t>OneTimeTerminationBenefitsMember2020-12-012021-02-280000320187us-gaap:OneTimeTerminationBenefitsMember2020-05-31</w:t>
      </w:r>
    </w:p>
    <w:p w14:paraId="669C58C6" w14:textId="77777777" w:rsidR="00066C63" w:rsidRDefault="00066C63">
      <w:pPr>
        <w:spacing w:before="120" w:after="120"/>
      </w:pPr>
    </w:p>
    <w:p w14:paraId="669C58C7" w14:textId="77777777" w:rsidR="00066C63" w:rsidRDefault="009656F6">
      <w:pPr>
        <w:jc w:val="center"/>
      </w:pPr>
      <w:r>
        <w:rPr>
          <w:rFonts w:ascii="Arial" w:eastAsia="宋体" w:hAnsi="Arial" w:cs="Arial"/>
          <w:b/>
          <w:bCs/>
          <w:color w:val="000000"/>
          <w:sz w:val="16"/>
          <w:szCs w:val="16"/>
        </w:rPr>
        <w:t>UNITED STATES</w:t>
      </w:r>
    </w:p>
    <w:p w14:paraId="669C58C8" w14:textId="77777777" w:rsidR="00066C63" w:rsidRDefault="009656F6">
      <w:pPr>
        <w:jc w:val="center"/>
      </w:pPr>
      <w:r>
        <w:rPr>
          <w:rFonts w:ascii="Arial" w:eastAsia="宋体" w:hAnsi="Arial" w:cs="Arial"/>
          <w:b/>
          <w:bCs/>
          <w:color w:val="000000"/>
          <w:sz w:val="16"/>
          <w:szCs w:val="16"/>
        </w:rPr>
        <w:t>SECURITIES AND EXCHANGE COMMISSION</w:t>
      </w:r>
    </w:p>
    <w:p w14:paraId="669C58C9" w14:textId="77777777" w:rsidR="00066C63" w:rsidRDefault="009656F6">
      <w:pPr>
        <w:jc w:val="center"/>
      </w:pPr>
      <w:r>
        <w:rPr>
          <w:rFonts w:ascii="Arial" w:eastAsia="宋体" w:hAnsi="Arial" w:cs="Arial"/>
          <w:b/>
          <w:bCs/>
          <w:color w:val="000000"/>
          <w:sz w:val="16"/>
          <w:szCs w:val="16"/>
        </w:rPr>
        <w:t>Washington, D.C. 20549</w:t>
      </w:r>
    </w:p>
    <w:p w14:paraId="669C58CA" w14:textId="77777777" w:rsidR="00066C63" w:rsidRDefault="009656F6">
      <w:pPr>
        <w:spacing w:before="120" w:after="120"/>
        <w:jc w:val="center"/>
      </w:pPr>
      <w:r>
        <w:rPr>
          <w:rFonts w:ascii="Arial" w:eastAsia="宋体" w:hAnsi="Arial" w:cs="Arial"/>
          <w:b/>
          <w:bCs/>
          <w:color w:val="000000"/>
          <w:sz w:val="28"/>
          <w:szCs w:val="28"/>
        </w:rPr>
        <w:t xml:space="preserve">FORM 10-Q </w:t>
      </w:r>
    </w:p>
    <w:p w14:paraId="669C58CB" w14:textId="77777777" w:rsidR="00066C63" w:rsidRDefault="009656F6">
      <w:pPr>
        <w:jc w:val="center"/>
      </w:pPr>
      <w:r>
        <w:rPr>
          <w:rFonts w:ascii="Arial" w:eastAsia="宋体" w:hAnsi="Arial" w:cs="Arial"/>
          <w:color w:val="000000"/>
          <w:sz w:val="14"/>
          <w:szCs w:val="14"/>
        </w:rPr>
        <w:t>(Mark One)</w:t>
      </w:r>
    </w:p>
    <w:p w14:paraId="669C58CC" w14:textId="77777777" w:rsidR="00066C63" w:rsidRDefault="009656F6">
      <w:pPr>
        <w:jc w:val="center"/>
      </w:pPr>
      <w:r>
        <w:rPr>
          <w:rFonts w:ascii="Wingdings" w:eastAsia="宋体" w:hAnsi="Wingdings" w:cs="Wingdings"/>
          <w:color w:val="000000"/>
          <w:sz w:val="14"/>
          <w:szCs w:val="14"/>
        </w:rPr>
        <w:t>☑</w:t>
      </w:r>
      <w:r>
        <w:rPr>
          <w:rFonts w:ascii="Arial" w:eastAsia="宋体" w:hAnsi="Arial" w:cs="Arial"/>
          <w:b/>
          <w:bCs/>
          <w:color w:val="000000"/>
          <w:sz w:val="16"/>
          <w:szCs w:val="16"/>
        </w:rPr>
        <w:t xml:space="preserve"> QUARTERLY REPORT PURSUANT TO SECTION 13 OR 15(</w:t>
      </w:r>
      <w:r>
        <w:rPr>
          <w:rFonts w:ascii="Arial" w:eastAsia="宋体" w:hAnsi="Arial" w:cs="Arial"/>
          <w:b/>
          <w:bCs/>
          <w:color w:val="000000"/>
          <w:sz w:val="16"/>
          <w:szCs w:val="16"/>
        </w:rPr>
        <w:t>D) OF THE SECURITIES EXCHANGE ACT OF 1934</w:t>
      </w:r>
    </w:p>
    <w:p w14:paraId="669C58CD" w14:textId="77777777" w:rsidR="00066C63" w:rsidRDefault="009656F6">
      <w:pPr>
        <w:jc w:val="center"/>
      </w:pPr>
      <w:r>
        <w:rPr>
          <w:rFonts w:ascii="Arial" w:eastAsia="宋体" w:hAnsi="Arial" w:cs="Arial"/>
          <w:b/>
          <w:bCs/>
          <w:color w:val="000000"/>
          <w:sz w:val="16"/>
          <w:szCs w:val="16"/>
        </w:rPr>
        <w:t xml:space="preserve">FOR THE QUARTERLY PERIOD ENDED FEBRUARY 28, 2021 </w:t>
      </w:r>
    </w:p>
    <w:p w14:paraId="669C58CE" w14:textId="77777777" w:rsidR="00066C63" w:rsidRDefault="00066C63">
      <w:pPr>
        <w:jc w:val="center"/>
      </w:pPr>
    </w:p>
    <w:p w14:paraId="669C58CF" w14:textId="77777777" w:rsidR="00066C63" w:rsidRDefault="009656F6">
      <w:pPr>
        <w:jc w:val="center"/>
      </w:pPr>
      <w:r>
        <w:rPr>
          <w:rFonts w:ascii="Arial" w:eastAsia="宋体" w:hAnsi="Arial" w:cs="Arial"/>
          <w:b/>
          <w:bCs/>
          <w:color w:val="000000"/>
          <w:sz w:val="16"/>
          <w:szCs w:val="16"/>
        </w:rPr>
        <w:t>OR</w:t>
      </w:r>
    </w:p>
    <w:p w14:paraId="669C58D0" w14:textId="77777777" w:rsidR="00066C63" w:rsidRDefault="00066C63">
      <w:pPr>
        <w:jc w:val="center"/>
      </w:pPr>
    </w:p>
    <w:p w14:paraId="669C58D1" w14:textId="77777777" w:rsidR="00066C63" w:rsidRDefault="009656F6">
      <w:pPr>
        <w:jc w:val="center"/>
      </w:pPr>
      <w:r>
        <w:rPr>
          <w:rFonts w:ascii="Wingdings" w:eastAsia="宋体" w:hAnsi="Wingdings" w:cs="Wingdings"/>
          <w:color w:val="000000"/>
          <w:sz w:val="14"/>
          <w:szCs w:val="14"/>
        </w:rPr>
        <w:t>☐</w:t>
      </w:r>
      <w:r>
        <w:rPr>
          <w:rFonts w:ascii="Arial" w:eastAsia="宋体" w:hAnsi="Arial" w:cs="Arial"/>
          <w:b/>
          <w:bCs/>
          <w:color w:val="000000"/>
          <w:sz w:val="16"/>
          <w:szCs w:val="16"/>
        </w:rPr>
        <w:t xml:space="preserve"> TRANSITION REPORT PURSUANT TO SECTION 13 OR 15(D) OF THE SECURITIES EXCHANGE ACT OF 1934</w:t>
      </w:r>
    </w:p>
    <w:p w14:paraId="669C58D2" w14:textId="77777777" w:rsidR="00066C63" w:rsidRDefault="009656F6">
      <w:pPr>
        <w:jc w:val="center"/>
      </w:pPr>
      <w:r>
        <w:rPr>
          <w:rFonts w:ascii="Arial" w:eastAsia="宋体" w:hAnsi="Arial" w:cs="Arial"/>
          <w:b/>
          <w:bCs/>
          <w:color w:val="000000"/>
          <w:sz w:val="16"/>
          <w:szCs w:val="16"/>
        </w:rPr>
        <w:t>FOR THE TRANSITION PERIOD FROM                         TO           </w:t>
      </w:r>
      <w:r>
        <w:rPr>
          <w:rFonts w:ascii="Arial" w:eastAsia="宋体" w:hAnsi="Arial" w:cs="Arial"/>
          <w:b/>
          <w:bCs/>
          <w:color w:val="000000"/>
          <w:sz w:val="16"/>
          <w:szCs w:val="16"/>
        </w:rPr>
        <w:t>              .</w:t>
      </w:r>
    </w:p>
    <w:p w14:paraId="669C58D3" w14:textId="77777777" w:rsidR="00066C63" w:rsidRDefault="00066C63">
      <w:pPr>
        <w:jc w:val="center"/>
      </w:pPr>
    </w:p>
    <w:p w14:paraId="669C58D4" w14:textId="77777777" w:rsidR="00066C63" w:rsidRDefault="009656F6">
      <w:pPr>
        <w:jc w:val="center"/>
      </w:pPr>
      <w:r>
        <w:rPr>
          <w:rFonts w:ascii="Arial" w:eastAsia="宋体" w:hAnsi="Arial" w:cs="Arial"/>
          <w:b/>
          <w:bCs/>
          <w:color w:val="000000"/>
          <w:sz w:val="16"/>
          <w:szCs w:val="16"/>
        </w:rPr>
        <w:t xml:space="preserve">Commission File No. 1-10635 </w:t>
      </w:r>
    </w:p>
    <w:p w14:paraId="669C58D5" w14:textId="77777777" w:rsidR="00066C63" w:rsidRDefault="009656F6">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/NIKE/./Inline XBRL Viewer7_files/nke-20210228_g1.jpg"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69C7E2D" wp14:editId="669C7E2E">
            <wp:extent cx="304800" cy="304800"/>
            <wp:effectExtent l="0" t="0" r="0" b="0"/>
            <wp:docPr id="2" name="图片 3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4"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669C58D6" w14:textId="77777777" w:rsidR="00066C63" w:rsidRDefault="009656F6">
      <w:pPr>
        <w:spacing w:after="120"/>
        <w:jc w:val="center"/>
      </w:pPr>
      <w:r>
        <w:rPr>
          <w:rFonts w:ascii="Arial" w:eastAsia="宋体" w:hAnsi="Arial" w:cs="Arial"/>
          <w:b/>
          <w:bCs/>
          <w:color w:val="000000"/>
          <w:sz w:val="40"/>
          <w:szCs w:val="40"/>
        </w:rPr>
        <w:t xml:space="preserve">NIKE, Inc. </w:t>
      </w:r>
    </w:p>
    <w:p w14:paraId="669C58D7" w14:textId="77777777" w:rsidR="00066C63" w:rsidRDefault="009656F6">
      <w:pPr>
        <w:jc w:val="center"/>
      </w:pPr>
      <w:r>
        <w:rPr>
          <w:rFonts w:ascii="Arial" w:eastAsia="宋体" w:hAnsi="Arial" w:cs="Arial"/>
          <w:b/>
          <w:bCs/>
          <w:color w:val="000000"/>
          <w:sz w:val="16"/>
          <w:szCs w:val="16"/>
        </w:rPr>
        <w:t xml:space="preserve">(Exact name of Registrant as specified in its </w:t>
      </w:r>
      <w:r>
        <w:rPr>
          <w:rFonts w:ascii="Arial" w:eastAsia="宋体" w:hAnsi="Arial" w:cs="Arial"/>
          <w:b/>
          <w:bCs/>
          <w:color w:val="000000"/>
          <w:sz w:val="16"/>
          <w:szCs w:val="16"/>
        </w:rPr>
        <w:t>charter)</w:t>
      </w:r>
    </w:p>
    <w:tbl>
      <w:tblPr>
        <w:tblW w:w="5000" w:type="pct"/>
        <w:tblCellMar>
          <w:top w:w="15" w:type="dxa"/>
          <w:left w:w="15" w:type="dxa"/>
          <w:bottom w:w="15" w:type="dxa"/>
          <w:right w:w="15" w:type="dxa"/>
        </w:tblCellMar>
        <w:tblLook w:val="04A0" w:firstRow="1" w:lastRow="0" w:firstColumn="1" w:lastColumn="0" w:noHBand="0" w:noVBand="1"/>
      </w:tblPr>
      <w:tblGrid>
        <w:gridCol w:w="69"/>
        <w:gridCol w:w="2520"/>
        <w:gridCol w:w="37"/>
        <w:gridCol w:w="69"/>
        <w:gridCol w:w="1436"/>
        <w:gridCol w:w="36"/>
        <w:gridCol w:w="69"/>
        <w:gridCol w:w="1436"/>
        <w:gridCol w:w="37"/>
        <w:gridCol w:w="70"/>
        <w:gridCol w:w="2521"/>
        <w:gridCol w:w="36"/>
      </w:tblGrid>
      <w:tr w:rsidR="00066C63" w14:paraId="669C58E4" w14:textId="77777777">
        <w:tc>
          <w:tcPr>
            <w:tcW w:w="50" w:type="pct"/>
            <w:shd w:val="clear" w:color="auto" w:fill="auto"/>
          </w:tcPr>
          <w:p w14:paraId="669C58D8" w14:textId="77777777" w:rsidR="00066C63" w:rsidRDefault="00066C63">
            <w:pPr>
              <w:rPr>
                <w:rFonts w:ascii="宋体"/>
              </w:rPr>
            </w:pPr>
          </w:p>
        </w:tc>
        <w:tc>
          <w:tcPr>
            <w:tcW w:w="1519" w:type="pct"/>
            <w:shd w:val="clear" w:color="auto" w:fill="auto"/>
          </w:tcPr>
          <w:p w14:paraId="669C58D9" w14:textId="77777777" w:rsidR="00066C63" w:rsidRDefault="00066C63">
            <w:pPr>
              <w:rPr>
                <w:rFonts w:ascii="宋体"/>
              </w:rPr>
            </w:pPr>
          </w:p>
        </w:tc>
        <w:tc>
          <w:tcPr>
            <w:tcW w:w="5" w:type="pct"/>
            <w:shd w:val="clear" w:color="auto" w:fill="auto"/>
          </w:tcPr>
          <w:p w14:paraId="669C58DA" w14:textId="77777777" w:rsidR="00066C63" w:rsidRDefault="00066C63">
            <w:pPr>
              <w:rPr>
                <w:rFonts w:ascii="宋体"/>
              </w:rPr>
            </w:pPr>
          </w:p>
        </w:tc>
        <w:tc>
          <w:tcPr>
            <w:tcW w:w="50" w:type="pct"/>
            <w:shd w:val="clear" w:color="auto" w:fill="auto"/>
          </w:tcPr>
          <w:p w14:paraId="669C58DB" w14:textId="77777777" w:rsidR="00066C63" w:rsidRDefault="00066C63">
            <w:pPr>
              <w:rPr>
                <w:rFonts w:ascii="宋体"/>
              </w:rPr>
            </w:pPr>
          </w:p>
        </w:tc>
        <w:tc>
          <w:tcPr>
            <w:tcW w:w="870" w:type="pct"/>
            <w:shd w:val="clear" w:color="auto" w:fill="auto"/>
          </w:tcPr>
          <w:p w14:paraId="669C58DC" w14:textId="77777777" w:rsidR="00066C63" w:rsidRDefault="00066C63">
            <w:pPr>
              <w:rPr>
                <w:rFonts w:ascii="宋体"/>
              </w:rPr>
            </w:pPr>
          </w:p>
        </w:tc>
        <w:tc>
          <w:tcPr>
            <w:tcW w:w="5" w:type="pct"/>
            <w:shd w:val="clear" w:color="auto" w:fill="auto"/>
          </w:tcPr>
          <w:p w14:paraId="669C58DD" w14:textId="77777777" w:rsidR="00066C63" w:rsidRDefault="00066C63">
            <w:pPr>
              <w:rPr>
                <w:rFonts w:ascii="宋体"/>
              </w:rPr>
            </w:pPr>
          </w:p>
        </w:tc>
        <w:tc>
          <w:tcPr>
            <w:tcW w:w="50" w:type="pct"/>
            <w:shd w:val="clear" w:color="auto" w:fill="auto"/>
          </w:tcPr>
          <w:p w14:paraId="669C58DE" w14:textId="77777777" w:rsidR="00066C63" w:rsidRDefault="00066C63">
            <w:pPr>
              <w:rPr>
                <w:rFonts w:ascii="宋体"/>
              </w:rPr>
            </w:pPr>
          </w:p>
        </w:tc>
        <w:tc>
          <w:tcPr>
            <w:tcW w:w="870" w:type="pct"/>
            <w:shd w:val="clear" w:color="auto" w:fill="auto"/>
          </w:tcPr>
          <w:p w14:paraId="669C58DF" w14:textId="77777777" w:rsidR="00066C63" w:rsidRDefault="00066C63">
            <w:pPr>
              <w:rPr>
                <w:rFonts w:ascii="宋体"/>
              </w:rPr>
            </w:pPr>
          </w:p>
        </w:tc>
        <w:tc>
          <w:tcPr>
            <w:tcW w:w="5" w:type="pct"/>
            <w:shd w:val="clear" w:color="auto" w:fill="auto"/>
          </w:tcPr>
          <w:p w14:paraId="669C58E0" w14:textId="77777777" w:rsidR="00066C63" w:rsidRDefault="00066C63">
            <w:pPr>
              <w:rPr>
                <w:rFonts w:ascii="宋体"/>
              </w:rPr>
            </w:pPr>
          </w:p>
        </w:tc>
        <w:tc>
          <w:tcPr>
            <w:tcW w:w="50" w:type="pct"/>
            <w:shd w:val="clear" w:color="auto" w:fill="auto"/>
          </w:tcPr>
          <w:p w14:paraId="669C58E1" w14:textId="77777777" w:rsidR="00066C63" w:rsidRDefault="00066C63">
            <w:pPr>
              <w:rPr>
                <w:rFonts w:ascii="宋体"/>
              </w:rPr>
            </w:pPr>
          </w:p>
        </w:tc>
        <w:tc>
          <w:tcPr>
            <w:tcW w:w="1519" w:type="pct"/>
            <w:shd w:val="clear" w:color="auto" w:fill="auto"/>
          </w:tcPr>
          <w:p w14:paraId="669C58E2" w14:textId="77777777" w:rsidR="00066C63" w:rsidRDefault="00066C63">
            <w:pPr>
              <w:rPr>
                <w:rFonts w:ascii="宋体"/>
              </w:rPr>
            </w:pPr>
          </w:p>
        </w:tc>
        <w:tc>
          <w:tcPr>
            <w:tcW w:w="5" w:type="pct"/>
            <w:shd w:val="clear" w:color="auto" w:fill="auto"/>
          </w:tcPr>
          <w:p w14:paraId="669C58E3" w14:textId="77777777" w:rsidR="00066C63" w:rsidRDefault="00066C63">
            <w:pPr>
              <w:rPr>
                <w:rFonts w:ascii="宋体"/>
              </w:rPr>
            </w:pPr>
          </w:p>
        </w:tc>
      </w:tr>
      <w:tr w:rsidR="00066C63" w14:paraId="669C58E7" w14:textId="77777777">
        <w:tc>
          <w:tcPr>
            <w:tcW w:w="0" w:type="auto"/>
            <w:gridSpan w:val="6"/>
            <w:shd w:val="clear" w:color="auto" w:fill="auto"/>
            <w:tcMar>
              <w:top w:w="40" w:type="dxa"/>
              <w:left w:w="20" w:type="dxa"/>
              <w:bottom w:w="40" w:type="dxa"/>
              <w:right w:w="20" w:type="dxa"/>
            </w:tcMar>
            <w:vAlign w:val="bottom"/>
          </w:tcPr>
          <w:p w14:paraId="669C58E5" w14:textId="77777777" w:rsidR="00066C63" w:rsidRDefault="009656F6">
            <w:pPr>
              <w:jc w:val="center"/>
              <w:textAlignment w:val="bottom"/>
            </w:pPr>
            <w:r>
              <w:rPr>
                <w:rFonts w:ascii="Arial" w:eastAsia="宋体" w:hAnsi="Arial" w:cs="Arial"/>
                <w:b/>
                <w:bCs/>
                <w:color w:val="000000"/>
                <w:sz w:val="14"/>
                <w:szCs w:val="14"/>
              </w:rPr>
              <w:t>Oregon</w:t>
            </w:r>
          </w:p>
        </w:tc>
        <w:tc>
          <w:tcPr>
            <w:tcW w:w="0" w:type="auto"/>
            <w:gridSpan w:val="6"/>
            <w:shd w:val="clear" w:color="auto" w:fill="auto"/>
            <w:tcMar>
              <w:top w:w="40" w:type="dxa"/>
              <w:left w:w="20" w:type="dxa"/>
              <w:bottom w:w="40" w:type="dxa"/>
              <w:right w:w="20" w:type="dxa"/>
            </w:tcMar>
            <w:vAlign w:val="bottom"/>
          </w:tcPr>
          <w:p w14:paraId="669C58E6" w14:textId="77777777" w:rsidR="00066C63" w:rsidRDefault="009656F6">
            <w:pPr>
              <w:jc w:val="center"/>
              <w:textAlignment w:val="bottom"/>
            </w:pPr>
            <w:r>
              <w:rPr>
                <w:rFonts w:ascii="Arial" w:eastAsia="宋体" w:hAnsi="Arial" w:cs="Arial"/>
                <w:b/>
                <w:bCs/>
                <w:color w:val="000000"/>
                <w:sz w:val="14"/>
                <w:szCs w:val="14"/>
              </w:rPr>
              <w:t>93-0584541</w:t>
            </w:r>
          </w:p>
        </w:tc>
      </w:tr>
      <w:tr w:rsidR="00066C63" w14:paraId="669C58EA" w14:textId="77777777">
        <w:tc>
          <w:tcPr>
            <w:tcW w:w="0" w:type="auto"/>
            <w:gridSpan w:val="6"/>
            <w:shd w:val="clear" w:color="auto" w:fill="auto"/>
            <w:tcMar>
              <w:top w:w="40" w:type="dxa"/>
              <w:left w:w="20" w:type="dxa"/>
              <w:bottom w:w="40" w:type="dxa"/>
              <w:right w:w="20" w:type="dxa"/>
            </w:tcMar>
          </w:tcPr>
          <w:p w14:paraId="669C58E8" w14:textId="77777777" w:rsidR="00066C63" w:rsidRDefault="009656F6">
            <w:pPr>
              <w:jc w:val="center"/>
              <w:textAlignment w:val="top"/>
            </w:pPr>
            <w:r>
              <w:rPr>
                <w:rFonts w:ascii="Arial" w:eastAsia="宋体" w:hAnsi="Arial" w:cs="Arial"/>
                <w:i/>
                <w:iCs/>
                <w:color w:val="000000"/>
                <w:sz w:val="14"/>
                <w:szCs w:val="14"/>
              </w:rPr>
              <w:t>(State or other jurisdiction of incorporation or organization)</w:t>
            </w:r>
          </w:p>
        </w:tc>
        <w:tc>
          <w:tcPr>
            <w:tcW w:w="0" w:type="auto"/>
            <w:gridSpan w:val="6"/>
            <w:shd w:val="clear" w:color="auto" w:fill="auto"/>
            <w:tcMar>
              <w:top w:w="40" w:type="dxa"/>
              <w:left w:w="20" w:type="dxa"/>
              <w:bottom w:w="40" w:type="dxa"/>
              <w:right w:w="20" w:type="dxa"/>
            </w:tcMar>
          </w:tcPr>
          <w:p w14:paraId="669C58E9" w14:textId="77777777" w:rsidR="00066C63" w:rsidRDefault="009656F6">
            <w:pPr>
              <w:jc w:val="center"/>
              <w:textAlignment w:val="top"/>
            </w:pPr>
            <w:r>
              <w:rPr>
                <w:rFonts w:ascii="Arial" w:eastAsia="宋体" w:hAnsi="Arial" w:cs="Arial"/>
                <w:i/>
                <w:iCs/>
                <w:color w:val="000000"/>
                <w:sz w:val="14"/>
                <w:szCs w:val="14"/>
              </w:rPr>
              <w:t>(I.R.S. Employer Identification No.)</w:t>
            </w:r>
          </w:p>
        </w:tc>
      </w:tr>
    </w:tbl>
    <w:p w14:paraId="669C58EB" w14:textId="77777777" w:rsidR="00066C63" w:rsidRDefault="00066C63">
      <w:pPr>
        <w:jc w:val="center"/>
      </w:pPr>
    </w:p>
    <w:p w14:paraId="669C58EC" w14:textId="77777777" w:rsidR="00066C63" w:rsidRDefault="009656F6">
      <w:pPr>
        <w:jc w:val="center"/>
      </w:pPr>
      <w:r>
        <w:rPr>
          <w:rFonts w:ascii="Arial" w:eastAsia="宋体" w:hAnsi="Arial" w:cs="Arial"/>
          <w:b/>
          <w:bCs/>
          <w:color w:val="000000"/>
          <w:sz w:val="14"/>
          <w:szCs w:val="14"/>
        </w:rPr>
        <w:t xml:space="preserve">One Bowerman Drive, Beaverton, Oregon 97005-6453 </w:t>
      </w:r>
    </w:p>
    <w:p w14:paraId="669C58ED" w14:textId="77777777" w:rsidR="00066C63" w:rsidRDefault="009656F6">
      <w:pPr>
        <w:jc w:val="center"/>
      </w:pPr>
      <w:r>
        <w:rPr>
          <w:rFonts w:ascii="Arial" w:eastAsia="宋体" w:hAnsi="Arial" w:cs="Arial"/>
          <w:i/>
          <w:iCs/>
          <w:color w:val="000000"/>
          <w:sz w:val="14"/>
          <w:szCs w:val="14"/>
        </w:rPr>
        <w:t>(Address of principal executive offices and zip code)</w:t>
      </w:r>
    </w:p>
    <w:p w14:paraId="669C58EE" w14:textId="77777777" w:rsidR="00066C63" w:rsidRDefault="00066C63">
      <w:pPr>
        <w:jc w:val="center"/>
      </w:pPr>
    </w:p>
    <w:p w14:paraId="669C58EF" w14:textId="77777777" w:rsidR="00066C63" w:rsidRDefault="009656F6">
      <w:pPr>
        <w:jc w:val="center"/>
      </w:pPr>
      <w:r>
        <w:rPr>
          <w:rFonts w:ascii="Arial" w:eastAsia="宋体" w:hAnsi="Arial" w:cs="Arial"/>
          <w:b/>
          <w:bCs/>
          <w:color w:val="000000"/>
          <w:sz w:val="14"/>
          <w:szCs w:val="14"/>
        </w:rPr>
        <w:t xml:space="preserve">(503) 671-6453 </w:t>
      </w:r>
    </w:p>
    <w:p w14:paraId="669C58F0" w14:textId="77777777" w:rsidR="00066C63" w:rsidRDefault="009656F6">
      <w:pPr>
        <w:jc w:val="center"/>
      </w:pPr>
      <w:r>
        <w:rPr>
          <w:rFonts w:ascii="Arial" w:eastAsia="宋体" w:hAnsi="Arial" w:cs="Arial"/>
          <w:i/>
          <w:iCs/>
          <w:color w:val="000000"/>
          <w:sz w:val="14"/>
          <w:szCs w:val="14"/>
        </w:rPr>
        <w:t>(Registrant's telephone number, including area code)</w:t>
      </w:r>
    </w:p>
    <w:tbl>
      <w:tblPr>
        <w:tblW w:w="5000" w:type="pct"/>
        <w:tblCellMar>
          <w:top w:w="15" w:type="dxa"/>
          <w:left w:w="15" w:type="dxa"/>
          <w:bottom w:w="15" w:type="dxa"/>
          <w:right w:w="15" w:type="dxa"/>
        </w:tblCellMar>
        <w:tblLook w:val="04A0" w:firstRow="1" w:lastRow="0" w:firstColumn="1" w:lastColumn="0" w:noHBand="0" w:noVBand="1"/>
      </w:tblPr>
      <w:tblGrid>
        <w:gridCol w:w="68"/>
        <w:gridCol w:w="2520"/>
        <w:gridCol w:w="38"/>
        <w:gridCol w:w="69"/>
        <w:gridCol w:w="1436"/>
        <w:gridCol w:w="37"/>
        <w:gridCol w:w="69"/>
        <w:gridCol w:w="1436"/>
        <w:gridCol w:w="37"/>
        <w:gridCol w:w="69"/>
        <w:gridCol w:w="2520"/>
        <w:gridCol w:w="37"/>
      </w:tblGrid>
      <w:tr w:rsidR="00066C63" w14:paraId="669C58FD" w14:textId="77777777">
        <w:tc>
          <w:tcPr>
            <w:tcW w:w="50" w:type="pct"/>
            <w:shd w:val="clear" w:color="auto" w:fill="auto"/>
          </w:tcPr>
          <w:p w14:paraId="669C58F1" w14:textId="77777777" w:rsidR="00066C63" w:rsidRDefault="00066C63">
            <w:pPr>
              <w:rPr>
                <w:rFonts w:ascii="宋体"/>
              </w:rPr>
            </w:pPr>
          </w:p>
        </w:tc>
        <w:tc>
          <w:tcPr>
            <w:tcW w:w="1519" w:type="pct"/>
            <w:shd w:val="clear" w:color="auto" w:fill="auto"/>
          </w:tcPr>
          <w:p w14:paraId="669C58F2" w14:textId="77777777" w:rsidR="00066C63" w:rsidRDefault="00066C63">
            <w:pPr>
              <w:rPr>
                <w:rFonts w:ascii="宋体"/>
              </w:rPr>
            </w:pPr>
          </w:p>
        </w:tc>
        <w:tc>
          <w:tcPr>
            <w:tcW w:w="5" w:type="pct"/>
            <w:shd w:val="clear" w:color="auto" w:fill="auto"/>
          </w:tcPr>
          <w:p w14:paraId="669C58F3" w14:textId="77777777" w:rsidR="00066C63" w:rsidRDefault="00066C63">
            <w:pPr>
              <w:rPr>
                <w:rFonts w:ascii="宋体"/>
              </w:rPr>
            </w:pPr>
          </w:p>
        </w:tc>
        <w:tc>
          <w:tcPr>
            <w:tcW w:w="50" w:type="pct"/>
            <w:shd w:val="clear" w:color="auto" w:fill="auto"/>
          </w:tcPr>
          <w:p w14:paraId="669C58F4" w14:textId="77777777" w:rsidR="00066C63" w:rsidRDefault="00066C63">
            <w:pPr>
              <w:rPr>
                <w:rFonts w:ascii="宋体"/>
              </w:rPr>
            </w:pPr>
          </w:p>
        </w:tc>
        <w:tc>
          <w:tcPr>
            <w:tcW w:w="870" w:type="pct"/>
            <w:shd w:val="clear" w:color="auto" w:fill="auto"/>
          </w:tcPr>
          <w:p w14:paraId="669C58F5" w14:textId="77777777" w:rsidR="00066C63" w:rsidRDefault="00066C63">
            <w:pPr>
              <w:rPr>
                <w:rFonts w:ascii="宋体"/>
              </w:rPr>
            </w:pPr>
          </w:p>
        </w:tc>
        <w:tc>
          <w:tcPr>
            <w:tcW w:w="5" w:type="pct"/>
            <w:shd w:val="clear" w:color="auto" w:fill="auto"/>
          </w:tcPr>
          <w:p w14:paraId="669C58F6" w14:textId="77777777" w:rsidR="00066C63" w:rsidRDefault="00066C63">
            <w:pPr>
              <w:rPr>
                <w:rFonts w:ascii="宋体"/>
              </w:rPr>
            </w:pPr>
          </w:p>
        </w:tc>
        <w:tc>
          <w:tcPr>
            <w:tcW w:w="50" w:type="pct"/>
            <w:shd w:val="clear" w:color="auto" w:fill="auto"/>
          </w:tcPr>
          <w:p w14:paraId="669C58F7" w14:textId="77777777" w:rsidR="00066C63" w:rsidRDefault="00066C63">
            <w:pPr>
              <w:rPr>
                <w:rFonts w:ascii="宋体"/>
              </w:rPr>
            </w:pPr>
          </w:p>
        </w:tc>
        <w:tc>
          <w:tcPr>
            <w:tcW w:w="870" w:type="pct"/>
            <w:shd w:val="clear" w:color="auto" w:fill="auto"/>
          </w:tcPr>
          <w:p w14:paraId="669C58F8" w14:textId="77777777" w:rsidR="00066C63" w:rsidRDefault="00066C63">
            <w:pPr>
              <w:rPr>
                <w:rFonts w:ascii="宋体"/>
              </w:rPr>
            </w:pPr>
          </w:p>
        </w:tc>
        <w:tc>
          <w:tcPr>
            <w:tcW w:w="5" w:type="pct"/>
            <w:shd w:val="clear" w:color="auto" w:fill="auto"/>
          </w:tcPr>
          <w:p w14:paraId="669C58F9" w14:textId="77777777" w:rsidR="00066C63" w:rsidRDefault="00066C63">
            <w:pPr>
              <w:rPr>
                <w:rFonts w:ascii="宋体"/>
              </w:rPr>
            </w:pPr>
          </w:p>
        </w:tc>
        <w:tc>
          <w:tcPr>
            <w:tcW w:w="50" w:type="pct"/>
            <w:shd w:val="clear" w:color="auto" w:fill="auto"/>
          </w:tcPr>
          <w:p w14:paraId="669C58FA" w14:textId="77777777" w:rsidR="00066C63" w:rsidRDefault="00066C63">
            <w:pPr>
              <w:rPr>
                <w:rFonts w:ascii="宋体"/>
              </w:rPr>
            </w:pPr>
          </w:p>
        </w:tc>
        <w:tc>
          <w:tcPr>
            <w:tcW w:w="1519" w:type="pct"/>
            <w:shd w:val="clear" w:color="auto" w:fill="auto"/>
          </w:tcPr>
          <w:p w14:paraId="669C58FB" w14:textId="77777777" w:rsidR="00066C63" w:rsidRDefault="00066C63">
            <w:pPr>
              <w:rPr>
                <w:rFonts w:ascii="宋体"/>
              </w:rPr>
            </w:pPr>
          </w:p>
        </w:tc>
        <w:tc>
          <w:tcPr>
            <w:tcW w:w="5" w:type="pct"/>
            <w:shd w:val="clear" w:color="auto" w:fill="auto"/>
          </w:tcPr>
          <w:p w14:paraId="669C58FC" w14:textId="77777777" w:rsidR="00066C63" w:rsidRDefault="00066C63">
            <w:pPr>
              <w:rPr>
                <w:rFonts w:ascii="宋体"/>
              </w:rPr>
            </w:pPr>
          </w:p>
        </w:tc>
      </w:tr>
      <w:tr w:rsidR="00066C63" w14:paraId="669C58FF" w14:textId="77777777">
        <w:tc>
          <w:tcPr>
            <w:tcW w:w="0" w:type="auto"/>
            <w:gridSpan w:val="12"/>
            <w:shd w:val="clear" w:color="auto" w:fill="auto"/>
            <w:tcMar>
              <w:top w:w="40" w:type="dxa"/>
              <w:left w:w="20" w:type="dxa"/>
              <w:bottom w:w="40" w:type="dxa"/>
              <w:right w:w="20" w:type="dxa"/>
            </w:tcMar>
            <w:vAlign w:val="bottom"/>
          </w:tcPr>
          <w:p w14:paraId="669C58FE" w14:textId="77777777" w:rsidR="00066C63" w:rsidRDefault="009656F6">
            <w:pPr>
              <w:jc w:val="center"/>
              <w:textAlignment w:val="bottom"/>
            </w:pPr>
            <w:r>
              <w:rPr>
                <w:rFonts w:ascii="Arial" w:eastAsia="宋体" w:hAnsi="Arial" w:cs="Arial"/>
                <w:color w:val="000000"/>
                <w:sz w:val="14"/>
                <w:szCs w:val="14"/>
              </w:rPr>
              <w:t>SECURITIES REGISTERED PURSUANT TO SECTION 12(B) OF THE ACT:</w:t>
            </w:r>
          </w:p>
        </w:tc>
      </w:tr>
      <w:tr w:rsidR="00066C63" w14:paraId="669C5903" w14:textId="77777777">
        <w:tc>
          <w:tcPr>
            <w:tcW w:w="0" w:type="auto"/>
            <w:gridSpan w:val="3"/>
            <w:shd w:val="clear" w:color="auto" w:fill="auto"/>
            <w:tcMar>
              <w:top w:w="40" w:type="dxa"/>
              <w:left w:w="20" w:type="dxa"/>
              <w:bottom w:w="40" w:type="dxa"/>
              <w:right w:w="20" w:type="dxa"/>
            </w:tcMar>
            <w:vAlign w:val="bottom"/>
          </w:tcPr>
          <w:p w14:paraId="669C5900" w14:textId="77777777" w:rsidR="00066C63" w:rsidRDefault="009656F6">
            <w:pPr>
              <w:jc w:val="center"/>
              <w:textAlignment w:val="bottom"/>
            </w:pPr>
            <w:r>
              <w:rPr>
                <w:rFonts w:ascii="Arial" w:eastAsia="宋体" w:hAnsi="Arial" w:cs="Arial"/>
                <w:b/>
                <w:bCs/>
                <w:color w:val="000000"/>
                <w:sz w:val="14"/>
                <w:szCs w:val="14"/>
              </w:rPr>
              <w:t>Class B Common Stock</w:t>
            </w:r>
          </w:p>
        </w:tc>
        <w:tc>
          <w:tcPr>
            <w:tcW w:w="0" w:type="auto"/>
            <w:gridSpan w:val="6"/>
            <w:shd w:val="clear" w:color="auto" w:fill="auto"/>
            <w:tcMar>
              <w:top w:w="40" w:type="dxa"/>
              <w:left w:w="20" w:type="dxa"/>
              <w:bottom w:w="40" w:type="dxa"/>
              <w:right w:w="20" w:type="dxa"/>
            </w:tcMar>
            <w:vAlign w:val="bottom"/>
          </w:tcPr>
          <w:p w14:paraId="669C5901" w14:textId="77777777" w:rsidR="00066C63" w:rsidRDefault="009656F6">
            <w:pPr>
              <w:jc w:val="center"/>
              <w:textAlignment w:val="bottom"/>
            </w:pPr>
            <w:r>
              <w:rPr>
                <w:rFonts w:ascii="Arial" w:eastAsia="宋体" w:hAnsi="Arial" w:cs="Arial"/>
                <w:b/>
                <w:bCs/>
                <w:color w:val="000000"/>
                <w:sz w:val="14"/>
                <w:szCs w:val="14"/>
              </w:rPr>
              <w:t>NKE</w:t>
            </w:r>
          </w:p>
        </w:tc>
        <w:tc>
          <w:tcPr>
            <w:tcW w:w="0" w:type="auto"/>
            <w:gridSpan w:val="3"/>
            <w:shd w:val="clear" w:color="auto" w:fill="auto"/>
            <w:tcMar>
              <w:top w:w="40" w:type="dxa"/>
              <w:left w:w="20" w:type="dxa"/>
              <w:bottom w:w="40" w:type="dxa"/>
              <w:right w:w="20" w:type="dxa"/>
            </w:tcMar>
            <w:vAlign w:val="bottom"/>
          </w:tcPr>
          <w:p w14:paraId="669C5902" w14:textId="77777777" w:rsidR="00066C63" w:rsidRDefault="009656F6">
            <w:pPr>
              <w:jc w:val="center"/>
              <w:textAlignment w:val="bottom"/>
            </w:pPr>
            <w:r>
              <w:rPr>
                <w:rFonts w:ascii="Arial" w:eastAsia="宋体" w:hAnsi="Arial" w:cs="Arial"/>
                <w:b/>
                <w:bCs/>
                <w:color w:val="000000"/>
                <w:sz w:val="14"/>
                <w:szCs w:val="14"/>
              </w:rPr>
              <w:t>New York Stock Exchange</w:t>
            </w:r>
          </w:p>
        </w:tc>
      </w:tr>
      <w:tr w:rsidR="00066C63" w14:paraId="669C5907" w14:textId="77777777">
        <w:tc>
          <w:tcPr>
            <w:tcW w:w="0" w:type="auto"/>
            <w:gridSpan w:val="3"/>
            <w:shd w:val="clear" w:color="auto" w:fill="auto"/>
            <w:tcMar>
              <w:top w:w="40" w:type="dxa"/>
              <w:left w:w="20" w:type="dxa"/>
              <w:bottom w:w="40" w:type="dxa"/>
              <w:right w:w="20" w:type="dxa"/>
            </w:tcMar>
            <w:vAlign w:val="bottom"/>
          </w:tcPr>
          <w:p w14:paraId="669C5904" w14:textId="77777777" w:rsidR="00066C63" w:rsidRDefault="009656F6">
            <w:pPr>
              <w:jc w:val="center"/>
              <w:textAlignment w:val="bottom"/>
            </w:pPr>
            <w:r>
              <w:rPr>
                <w:rFonts w:ascii="Arial" w:eastAsia="宋体" w:hAnsi="Arial" w:cs="Arial"/>
                <w:i/>
                <w:iCs/>
                <w:color w:val="000000"/>
                <w:sz w:val="14"/>
                <w:szCs w:val="14"/>
              </w:rPr>
              <w:t>(Title of each class)</w:t>
            </w:r>
          </w:p>
        </w:tc>
        <w:tc>
          <w:tcPr>
            <w:tcW w:w="0" w:type="auto"/>
            <w:gridSpan w:val="6"/>
            <w:shd w:val="clear" w:color="auto" w:fill="auto"/>
            <w:tcMar>
              <w:top w:w="40" w:type="dxa"/>
              <w:left w:w="20" w:type="dxa"/>
              <w:bottom w:w="40" w:type="dxa"/>
              <w:right w:w="20" w:type="dxa"/>
            </w:tcMar>
            <w:vAlign w:val="bottom"/>
          </w:tcPr>
          <w:p w14:paraId="669C5905" w14:textId="77777777" w:rsidR="00066C63" w:rsidRDefault="009656F6">
            <w:pPr>
              <w:jc w:val="center"/>
              <w:textAlignment w:val="bottom"/>
            </w:pPr>
            <w:r>
              <w:rPr>
                <w:rFonts w:ascii="Arial" w:eastAsia="宋体" w:hAnsi="Arial" w:cs="Arial"/>
                <w:i/>
                <w:iCs/>
                <w:color w:val="000000"/>
                <w:sz w:val="14"/>
                <w:szCs w:val="14"/>
              </w:rPr>
              <w:t>(Trading symbol)</w:t>
            </w:r>
          </w:p>
        </w:tc>
        <w:tc>
          <w:tcPr>
            <w:tcW w:w="0" w:type="auto"/>
            <w:gridSpan w:val="3"/>
            <w:shd w:val="clear" w:color="auto" w:fill="auto"/>
            <w:tcMar>
              <w:top w:w="40" w:type="dxa"/>
              <w:left w:w="20" w:type="dxa"/>
              <w:bottom w:w="40" w:type="dxa"/>
              <w:right w:w="20" w:type="dxa"/>
            </w:tcMar>
            <w:vAlign w:val="bottom"/>
          </w:tcPr>
          <w:p w14:paraId="669C5906" w14:textId="77777777" w:rsidR="00066C63" w:rsidRDefault="009656F6">
            <w:pPr>
              <w:jc w:val="center"/>
              <w:textAlignment w:val="bottom"/>
            </w:pPr>
            <w:r>
              <w:rPr>
                <w:rFonts w:ascii="Arial" w:eastAsia="宋体" w:hAnsi="Arial" w:cs="Arial"/>
                <w:i/>
                <w:iCs/>
                <w:color w:val="000000"/>
                <w:sz w:val="14"/>
                <w:szCs w:val="14"/>
              </w:rPr>
              <w:t xml:space="preserve">(Name of each </w:t>
            </w:r>
            <w:r>
              <w:rPr>
                <w:rFonts w:ascii="Arial" w:eastAsia="宋体" w:hAnsi="Arial" w:cs="Arial"/>
                <w:i/>
                <w:iCs/>
                <w:color w:val="000000"/>
                <w:sz w:val="14"/>
                <w:szCs w:val="14"/>
              </w:rPr>
              <w:t>exchange on which registered)</w:t>
            </w:r>
          </w:p>
        </w:tc>
      </w:tr>
    </w:tbl>
    <w:p w14:paraId="669C5908" w14:textId="77777777" w:rsidR="00066C63" w:rsidRDefault="00066C63">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36"/>
        <w:gridCol w:w="41"/>
        <w:gridCol w:w="36"/>
        <w:gridCol w:w="36"/>
        <w:gridCol w:w="45"/>
        <w:gridCol w:w="1265"/>
        <w:gridCol w:w="38"/>
        <w:gridCol w:w="38"/>
        <w:gridCol w:w="151"/>
        <w:gridCol w:w="38"/>
        <w:gridCol w:w="84"/>
        <w:gridCol w:w="952"/>
        <w:gridCol w:w="38"/>
        <w:gridCol w:w="37"/>
        <w:gridCol w:w="62"/>
        <w:gridCol w:w="37"/>
        <w:gridCol w:w="76"/>
        <w:gridCol w:w="1274"/>
        <w:gridCol w:w="38"/>
        <w:gridCol w:w="37"/>
        <w:gridCol w:w="119"/>
        <w:gridCol w:w="37"/>
        <w:gridCol w:w="88"/>
        <w:gridCol w:w="1617"/>
        <w:gridCol w:w="37"/>
        <w:gridCol w:w="37"/>
        <w:gridCol w:w="294"/>
        <w:gridCol w:w="36"/>
        <w:gridCol w:w="53"/>
        <w:gridCol w:w="760"/>
        <w:gridCol w:w="37"/>
        <w:gridCol w:w="52"/>
        <w:gridCol w:w="583"/>
        <w:gridCol w:w="36"/>
        <w:gridCol w:w="36"/>
        <w:gridCol w:w="119"/>
        <w:gridCol w:w="36"/>
      </w:tblGrid>
      <w:tr w:rsidR="00066C63" w14:paraId="669C592E" w14:textId="77777777">
        <w:tc>
          <w:tcPr>
            <w:tcW w:w="5" w:type="pct"/>
            <w:shd w:val="clear" w:color="auto" w:fill="auto"/>
          </w:tcPr>
          <w:p w14:paraId="669C5909" w14:textId="77777777" w:rsidR="00066C63" w:rsidRDefault="00066C63">
            <w:pPr>
              <w:rPr>
                <w:rFonts w:ascii="宋体"/>
              </w:rPr>
            </w:pPr>
          </w:p>
        </w:tc>
        <w:tc>
          <w:tcPr>
            <w:tcW w:w="59" w:type="pct"/>
            <w:shd w:val="clear" w:color="auto" w:fill="auto"/>
          </w:tcPr>
          <w:p w14:paraId="669C590A" w14:textId="77777777" w:rsidR="00066C63" w:rsidRDefault="00066C63">
            <w:pPr>
              <w:rPr>
                <w:rFonts w:ascii="宋体"/>
              </w:rPr>
            </w:pPr>
          </w:p>
        </w:tc>
        <w:tc>
          <w:tcPr>
            <w:tcW w:w="5" w:type="pct"/>
            <w:shd w:val="clear" w:color="auto" w:fill="auto"/>
          </w:tcPr>
          <w:p w14:paraId="669C590B" w14:textId="77777777" w:rsidR="00066C63" w:rsidRDefault="00066C63">
            <w:pPr>
              <w:rPr>
                <w:rFonts w:ascii="宋体"/>
              </w:rPr>
            </w:pPr>
          </w:p>
        </w:tc>
        <w:tc>
          <w:tcPr>
            <w:tcW w:w="0" w:type="auto"/>
            <w:shd w:val="clear" w:color="auto" w:fill="auto"/>
          </w:tcPr>
          <w:p w14:paraId="669C590C" w14:textId="77777777" w:rsidR="00066C63" w:rsidRDefault="00066C63">
            <w:pPr>
              <w:rPr>
                <w:rFonts w:ascii="宋体"/>
                <w:vanish/>
              </w:rPr>
            </w:pPr>
          </w:p>
        </w:tc>
        <w:tc>
          <w:tcPr>
            <w:tcW w:w="50" w:type="pct"/>
            <w:shd w:val="clear" w:color="auto" w:fill="auto"/>
          </w:tcPr>
          <w:p w14:paraId="669C590D" w14:textId="77777777" w:rsidR="00066C63" w:rsidRDefault="00066C63">
            <w:pPr>
              <w:rPr>
                <w:rFonts w:ascii="宋体"/>
              </w:rPr>
            </w:pPr>
          </w:p>
        </w:tc>
        <w:tc>
          <w:tcPr>
            <w:tcW w:w="807" w:type="pct"/>
            <w:shd w:val="clear" w:color="auto" w:fill="auto"/>
          </w:tcPr>
          <w:p w14:paraId="669C590E" w14:textId="77777777" w:rsidR="00066C63" w:rsidRDefault="00066C63">
            <w:pPr>
              <w:rPr>
                <w:rFonts w:ascii="宋体"/>
              </w:rPr>
            </w:pPr>
          </w:p>
        </w:tc>
        <w:tc>
          <w:tcPr>
            <w:tcW w:w="5" w:type="pct"/>
            <w:shd w:val="clear" w:color="auto" w:fill="auto"/>
          </w:tcPr>
          <w:p w14:paraId="669C590F" w14:textId="77777777" w:rsidR="00066C63" w:rsidRDefault="00066C63">
            <w:pPr>
              <w:rPr>
                <w:rFonts w:ascii="宋体"/>
              </w:rPr>
            </w:pPr>
          </w:p>
        </w:tc>
        <w:tc>
          <w:tcPr>
            <w:tcW w:w="5" w:type="pct"/>
            <w:shd w:val="clear" w:color="auto" w:fill="auto"/>
          </w:tcPr>
          <w:p w14:paraId="669C5910" w14:textId="77777777" w:rsidR="00066C63" w:rsidRDefault="00066C63">
            <w:pPr>
              <w:rPr>
                <w:rFonts w:ascii="宋体"/>
              </w:rPr>
            </w:pPr>
          </w:p>
        </w:tc>
        <w:tc>
          <w:tcPr>
            <w:tcW w:w="105" w:type="pct"/>
            <w:shd w:val="clear" w:color="auto" w:fill="auto"/>
          </w:tcPr>
          <w:p w14:paraId="669C5911" w14:textId="77777777" w:rsidR="00066C63" w:rsidRDefault="00066C63">
            <w:pPr>
              <w:rPr>
                <w:rFonts w:ascii="宋体"/>
              </w:rPr>
            </w:pPr>
          </w:p>
        </w:tc>
        <w:tc>
          <w:tcPr>
            <w:tcW w:w="5" w:type="pct"/>
            <w:shd w:val="clear" w:color="auto" w:fill="auto"/>
          </w:tcPr>
          <w:p w14:paraId="669C5912" w14:textId="77777777" w:rsidR="00066C63" w:rsidRDefault="00066C63">
            <w:pPr>
              <w:rPr>
                <w:rFonts w:ascii="宋体"/>
              </w:rPr>
            </w:pPr>
          </w:p>
        </w:tc>
        <w:tc>
          <w:tcPr>
            <w:tcW w:w="50" w:type="pct"/>
            <w:shd w:val="clear" w:color="auto" w:fill="auto"/>
          </w:tcPr>
          <w:p w14:paraId="669C5913" w14:textId="77777777" w:rsidR="00066C63" w:rsidRDefault="00066C63">
            <w:pPr>
              <w:rPr>
                <w:rFonts w:ascii="宋体"/>
              </w:rPr>
            </w:pPr>
          </w:p>
        </w:tc>
        <w:tc>
          <w:tcPr>
            <w:tcW w:w="569" w:type="pct"/>
            <w:shd w:val="clear" w:color="auto" w:fill="auto"/>
          </w:tcPr>
          <w:p w14:paraId="669C5914" w14:textId="77777777" w:rsidR="00066C63" w:rsidRDefault="00066C63">
            <w:pPr>
              <w:rPr>
                <w:rFonts w:ascii="宋体"/>
              </w:rPr>
            </w:pPr>
          </w:p>
        </w:tc>
        <w:tc>
          <w:tcPr>
            <w:tcW w:w="5" w:type="pct"/>
            <w:shd w:val="clear" w:color="auto" w:fill="auto"/>
          </w:tcPr>
          <w:p w14:paraId="669C5915" w14:textId="77777777" w:rsidR="00066C63" w:rsidRDefault="00066C63">
            <w:pPr>
              <w:rPr>
                <w:rFonts w:ascii="宋体"/>
              </w:rPr>
            </w:pPr>
          </w:p>
        </w:tc>
        <w:tc>
          <w:tcPr>
            <w:tcW w:w="5" w:type="pct"/>
            <w:shd w:val="clear" w:color="auto" w:fill="auto"/>
          </w:tcPr>
          <w:p w14:paraId="669C5916" w14:textId="77777777" w:rsidR="00066C63" w:rsidRDefault="00066C63">
            <w:pPr>
              <w:rPr>
                <w:rFonts w:ascii="宋体"/>
              </w:rPr>
            </w:pPr>
          </w:p>
        </w:tc>
        <w:tc>
          <w:tcPr>
            <w:tcW w:w="90" w:type="pct"/>
            <w:shd w:val="clear" w:color="auto" w:fill="auto"/>
          </w:tcPr>
          <w:p w14:paraId="669C5917" w14:textId="77777777" w:rsidR="00066C63" w:rsidRDefault="00066C63">
            <w:pPr>
              <w:rPr>
                <w:rFonts w:ascii="宋体"/>
              </w:rPr>
            </w:pPr>
          </w:p>
        </w:tc>
        <w:tc>
          <w:tcPr>
            <w:tcW w:w="5" w:type="pct"/>
            <w:shd w:val="clear" w:color="auto" w:fill="auto"/>
          </w:tcPr>
          <w:p w14:paraId="669C5918" w14:textId="77777777" w:rsidR="00066C63" w:rsidRDefault="00066C63">
            <w:pPr>
              <w:rPr>
                <w:rFonts w:ascii="宋体"/>
              </w:rPr>
            </w:pPr>
          </w:p>
        </w:tc>
        <w:tc>
          <w:tcPr>
            <w:tcW w:w="50" w:type="pct"/>
            <w:shd w:val="clear" w:color="auto" w:fill="auto"/>
          </w:tcPr>
          <w:p w14:paraId="669C5919" w14:textId="77777777" w:rsidR="00066C63" w:rsidRDefault="00066C63">
            <w:pPr>
              <w:rPr>
                <w:rFonts w:ascii="宋体"/>
              </w:rPr>
            </w:pPr>
          </w:p>
        </w:tc>
        <w:tc>
          <w:tcPr>
            <w:tcW w:w="830" w:type="pct"/>
            <w:shd w:val="clear" w:color="auto" w:fill="auto"/>
          </w:tcPr>
          <w:p w14:paraId="669C591A" w14:textId="77777777" w:rsidR="00066C63" w:rsidRDefault="00066C63">
            <w:pPr>
              <w:rPr>
                <w:rFonts w:ascii="宋体"/>
              </w:rPr>
            </w:pPr>
          </w:p>
        </w:tc>
        <w:tc>
          <w:tcPr>
            <w:tcW w:w="5" w:type="pct"/>
            <w:shd w:val="clear" w:color="auto" w:fill="auto"/>
          </w:tcPr>
          <w:p w14:paraId="669C591B" w14:textId="77777777" w:rsidR="00066C63" w:rsidRDefault="00066C63">
            <w:pPr>
              <w:rPr>
                <w:rFonts w:ascii="宋体"/>
              </w:rPr>
            </w:pPr>
          </w:p>
        </w:tc>
        <w:tc>
          <w:tcPr>
            <w:tcW w:w="5" w:type="pct"/>
            <w:shd w:val="clear" w:color="auto" w:fill="auto"/>
          </w:tcPr>
          <w:p w14:paraId="669C591C" w14:textId="77777777" w:rsidR="00066C63" w:rsidRDefault="00066C63">
            <w:pPr>
              <w:rPr>
                <w:rFonts w:ascii="宋体"/>
              </w:rPr>
            </w:pPr>
          </w:p>
        </w:tc>
        <w:tc>
          <w:tcPr>
            <w:tcW w:w="105" w:type="pct"/>
            <w:shd w:val="clear" w:color="auto" w:fill="auto"/>
          </w:tcPr>
          <w:p w14:paraId="669C591D" w14:textId="77777777" w:rsidR="00066C63" w:rsidRDefault="00066C63">
            <w:pPr>
              <w:rPr>
                <w:rFonts w:ascii="宋体"/>
              </w:rPr>
            </w:pPr>
          </w:p>
        </w:tc>
        <w:tc>
          <w:tcPr>
            <w:tcW w:w="5" w:type="pct"/>
            <w:shd w:val="clear" w:color="auto" w:fill="auto"/>
          </w:tcPr>
          <w:p w14:paraId="669C591E" w14:textId="77777777" w:rsidR="00066C63" w:rsidRDefault="00066C63">
            <w:pPr>
              <w:rPr>
                <w:rFonts w:ascii="宋体"/>
              </w:rPr>
            </w:pPr>
          </w:p>
        </w:tc>
        <w:tc>
          <w:tcPr>
            <w:tcW w:w="50" w:type="pct"/>
            <w:shd w:val="clear" w:color="auto" w:fill="auto"/>
          </w:tcPr>
          <w:p w14:paraId="669C591F" w14:textId="77777777" w:rsidR="00066C63" w:rsidRDefault="00066C63">
            <w:pPr>
              <w:rPr>
                <w:rFonts w:ascii="宋体"/>
              </w:rPr>
            </w:pPr>
          </w:p>
        </w:tc>
        <w:tc>
          <w:tcPr>
            <w:tcW w:w="923" w:type="pct"/>
            <w:shd w:val="clear" w:color="auto" w:fill="auto"/>
          </w:tcPr>
          <w:p w14:paraId="669C5920" w14:textId="77777777" w:rsidR="00066C63" w:rsidRDefault="00066C63">
            <w:pPr>
              <w:rPr>
                <w:rFonts w:ascii="宋体"/>
              </w:rPr>
            </w:pPr>
          </w:p>
        </w:tc>
        <w:tc>
          <w:tcPr>
            <w:tcW w:w="5" w:type="pct"/>
            <w:shd w:val="clear" w:color="auto" w:fill="auto"/>
          </w:tcPr>
          <w:p w14:paraId="669C5921" w14:textId="77777777" w:rsidR="00066C63" w:rsidRDefault="00066C63">
            <w:pPr>
              <w:rPr>
                <w:rFonts w:ascii="宋体"/>
              </w:rPr>
            </w:pPr>
          </w:p>
        </w:tc>
        <w:tc>
          <w:tcPr>
            <w:tcW w:w="5" w:type="pct"/>
            <w:shd w:val="clear" w:color="auto" w:fill="auto"/>
          </w:tcPr>
          <w:p w14:paraId="669C5922" w14:textId="77777777" w:rsidR="00066C63" w:rsidRDefault="00066C63">
            <w:pPr>
              <w:rPr>
                <w:rFonts w:ascii="宋体"/>
              </w:rPr>
            </w:pPr>
          </w:p>
        </w:tc>
        <w:tc>
          <w:tcPr>
            <w:tcW w:w="105" w:type="pct"/>
            <w:shd w:val="clear" w:color="auto" w:fill="auto"/>
          </w:tcPr>
          <w:p w14:paraId="669C5923" w14:textId="77777777" w:rsidR="00066C63" w:rsidRDefault="00066C63">
            <w:pPr>
              <w:rPr>
                <w:rFonts w:ascii="宋体"/>
              </w:rPr>
            </w:pPr>
          </w:p>
        </w:tc>
        <w:tc>
          <w:tcPr>
            <w:tcW w:w="5" w:type="pct"/>
            <w:shd w:val="clear" w:color="auto" w:fill="auto"/>
          </w:tcPr>
          <w:p w14:paraId="669C5924" w14:textId="77777777" w:rsidR="00066C63" w:rsidRDefault="00066C63">
            <w:pPr>
              <w:rPr>
                <w:rFonts w:ascii="宋体"/>
              </w:rPr>
            </w:pPr>
          </w:p>
        </w:tc>
        <w:tc>
          <w:tcPr>
            <w:tcW w:w="50" w:type="pct"/>
            <w:shd w:val="clear" w:color="auto" w:fill="auto"/>
          </w:tcPr>
          <w:p w14:paraId="669C5925" w14:textId="77777777" w:rsidR="00066C63" w:rsidRDefault="00066C63">
            <w:pPr>
              <w:rPr>
                <w:rFonts w:ascii="宋体"/>
              </w:rPr>
            </w:pPr>
          </w:p>
        </w:tc>
        <w:tc>
          <w:tcPr>
            <w:tcW w:w="507" w:type="pct"/>
            <w:shd w:val="clear" w:color="auto" w:fill="auto"/>
          </w:tcPr>
          <w:p w14:paraId="669C5926" w14:textId="77777777" w:rsidR="00066C63" w:rsidRDefault="00066C63">
            <w:pPr>
              <w:rPr>
                <w:rFonts w:ascii="宋体"/>
              </w:rPr>
            </w:pPr>
          </w:p>
        </w:tc>
        <w:tc>
          <w:tcPr>
            <w:tcW w:w="5" w:type="pct"/>
            <w:shd w:val="clear" w:color="auto" w:fill="auto"/>
          </w:tcPr>
          <w:p w14:paraId="669C5927" w14:textId="77777777" w:rsidR="00066C63" w:rsidRDefault="00066C63">
            <w:pPr>
              <w:rPr>
                <w:rFonts w:ascii="宋体"/>
              </w:rPr>
            </w:pPr>
          </w:p>
        </w:tc>
        <w:tc>
          <w:tcPr>
            <w:tcW w:w="50" w:type="pct"/>
            <w:shd w:val="clear" w:color="auto" w:fill="auto"/>
          </w:tcPr>
          <w:p w14:paraId="669C5928" w14:textId="77777777" w:rsidR="00066C63" w:rsidRDefault="00066C63">
            <w:pPr>
              <w:rPr>
                <w:rFonts w:ascii="宋体"/>
              </w:rPr>
            </w:pPr>
          </w:p>
        </w:tc>
        <w:tc>
          <w:tcPr>
            <w:tcW w:w="399" w:type="pct"/>
            <w:shd w:val="clear" w:color="auto" w:fill="auto"/>
          </w:tcPr>
          <w:p w14:paraId="669C5929" w14:textId="77777777" w:rsidR="00066C63" w:rsidRDefault="00066C63">
            <w:pPr>
              <w:rPr>
                <w:rFonts w:ascii="宋体"/>
              </w:rPr>
            </w:pPr>
          </w:p>
        </w:tc>
        <w:tc>
          <w:tcPr>
            <w:tcW w:w="5" w:type="pct"/>
            <w:shd w:val="clear" w:color="auto" w:fill="auto"/>
          </w:tcPr>
          <w:p w14:paraId="669C592A" w14:textId="77777777" w:rsidR="00066C63" w:rsidRDefault="00066C63">
            <w:pPr>
              <w:rPr>
                <w:rFonts w:ascii="宋体"/>
              </w:rPr>
            </w:pPr>
          </w:p>
        </w:tc>
        <w:tc>
          <w:tcPr>
            <w:tcW w:w="5" w:type="pct"/>
            <w:shd w:val="clear" w:color="auto" w:fill="auto"/>
          </w:tcPr>
          <w:p w14:paraId="669C592B" w14:textId="77777777" w:rsidR="00066C63" w:rsidRDefault="00066C63">
            <w:pPr>
              <w:rPr>
                <w:rFonts w:ascii="宋体"/>
              </w:rPr>
            </w:pPr>
          </w:p>
        </w:tc>
        <w:tc>
          <w:tcPr>
            <w:tcW w:w="105" w:type="pct"/>
            <w:shd w:val="clear" w:color="auto" w:fill="auto"/>
          </w:tcPr>
          <w:p w14:paraId="669C592C" w14:textId="77777777" w:rsidR="00066C63" w:rsidRDefault="00066C63">
            <w:pPr>
              <w:rPr>
                <w:rFonts w:ascii="宋体"/>
              </w:rPr>
            </w:pPr>
          </w:p>
        </w:tc>
        <w:tc>
          <w:tcPr>
            <w:tcW w:w="5" w:type="pct"/>
            <w:shd w:val="clear" w:color="auto" w:fill="auto"/>
          </w:tcPr>
          <w:p w14:paraId="669C592D" w14:textId="77777777" w:rsidR="00066C63" w:rsidRDefault="00066C63">
            <w:pPr>
              <w:rPr>
                <w:rFonts w:ascii="宋体"/>
              </w:rPr>
            </w:pPr>
          </w:p>
        </w:tc>
      </w:tr>
      <w:tr w:rsidR="00066C63" w14:paraId="669C5936" w14:textId="77777777">
        <w:tc>
          <w:tcPr>
            <w:tcW w:w="0" w:type="auto"/>
            <w:gridSpan w:val="22"/>
            <w:tcBorders>
              <w:bottom w:val="single" w:sz="8" w:space="0" w:color="E87722"/>
            </w:tcBorders>
            <w:shd w:val="clear" w:color="auto" w:fill="auto"/>
            <w:tcMar>
              <w:top w:w="40" w:type="dxa"/>
              <w:left w:w="20" w:type="dxa"/>
              <w:bottom w:w="40" w:type="dxa"/>
              <w:right w:w="20" w:type="dxa"/>
            </w:tcMar>
            <w:vAlign w:val="bottom"/>
          </w:tcPr>
          <w:p w14:paraId="669C592F" w14:textId="77777777" w:rsidR="00066C63" w:rsidRDefault="009656F6">
            <w:pPr>
              <w:textAlignment w:val="bottom"/>
            </w:pPr>
            <w:r>
              <w:rPr>
                <w:rFonts w:ascii="Arial" w:eastAsia="宋体" w:hAnsi="Arial" w:cs="Arial"/>
                <w:b/>
                <w:bCs/>
                <w:color w:val="000000"/>
                <w:sz w:val="14"/>
                <w:szCs w:val="14"/>
              </w:rPr>
              <w:t>Indicate by check mark:</w:t>
            </w:r>
          </w:p>
        </w:tc>
        <w:tc>
          <w:tcPr>
            <w:tcW w:w="0" w:type="auto"/>
            <w:gridSpan w:val="3"/>
            <w:shd w:val="clear" w:color="auto" w:fill="auto"/>
            <w:tcMar>
              <w:top w:w="0" w:type="dxa"/>
              <w:left w:w="20" w:type="dxa"/>
              <w:bottom w:w="0" w:type="dxa"/>
              <w:right w:w="20" w:type="dxa"/>
            </w:tcMar>
          </w:tcPr>
          <w:p w14:paraId="669C5930" w14:textId="77777777" w:rsidR="00066C63" w:rsidRDefault="00066C63">
            <w:pPr>
              <w:rPr>
                <w:rFonts w:ascii="宋体"/>
              </w:rPr>
            </w:pPr>
          </w:p>
        </w:tc>
        <w:tc>
          <w:tcPr>
            <w:tcW w:w="0" w:type="auto"/>
            <w:gridSpan w:val="3"/>
            <w:shd w:val="clear" w:color="auto" w:fill="auto"/>
            <w:tcMar>
              <w:top w:w="40" w:type="dxa"/>
              <w:left w:w="20" w:type="dxa"/>
              <w:bottom w:w="40" w:type="dxa"/>
              <w:right w:w="20" w:type="dxa"/>
            </w:tcMar>
            <w:vAlign w:val="bottom"/>
          </w:tcPr>
          <w:p w14:paraId="669C5931" w14:textId="77777777" w:rsidR="00066C63" w:rsidRDefault="009656F6">
            <w:pPr>
              <w:jc w:val="center"/>
              <w:textAlignment w:val="bottom"/>
            </w:pPr>
            <w:r>
              <w:rPr>
                <w:rFonts w:ascii="Arial" w:eastAsia="宋体" w:hAnsi="Arial" w:cs="Arial"/>
                <w:b/>
                <w:bCs/>
                <w:color w:val="000000"/>
                <w:sz w:val="14"/>
                <w:szCs w:val="14"/>
              </w:rPr>
              <w:t>YES</w:t>
            </w:r>
          </w:p>
        </w:tc>
        <w:tc>
          <w:tcPr>
            <w:tcW w:w="0" w:type="auto"/>
            <w:gridSpan w:val="6"/>
            <w:tcBorders>
              <w:bottom w:val="single" w:sz="8" w:space="0" w:color="E87722"/>
            </w:tcBorders>
            <w:shd w:val="clear" w:color="auto" w:fill="auto"/>
            <w:tcMar>
              <w:top w:w="40" w:type="dxa"/>
              <w:left w:w="20" w:type="dxa"/>
              <w:bottom w:w="40" w:type="dxa"/>
              <w:right w:w="20" w:type="dxa"/>
            </w:tcMar>
            <w:vAlign w:val="bottom"/>
          </w:tcPr>
          <w:p w14:paraId="669C5932" w14:textId="77777777" w:rsidR="00066C63" w:rsidRDefault="009656F6">
            <w:pPr>
              <w:jc w:val="center"/>
              <w:textAlignment w:val="bottom"/>
            </w:pPr>
            <w:r>
              <w:rPr>
                <w:rFonts w:ascii="Arial" w:eastAsia="宋体" w:hAnsi="Arial" w:cs="Arial"/>
                <w:b/>
                <w:bCs/>
                <w:color w:val="000000"/>
                <w:sz w:val="14"/>
                <w:szCs w:val="14"/>
              </w:rPr>
              <w:t>NO</w:t>
            </w:r>
          </w:p>
        </w:tc>
        <w:tc>
          <w:tcPr>
            <w:tcW w:w="0" w:type="auto"/>
            <w:shd w:val="clear" w:color="auto" w:fill="auto"/>
          </w:tcPr>
          <w:p w14:paraId="669C5933" w14:textId="77777777" w:rsidR="00066C63" w:rsidRDefault="00066C63">
            <w:pPr>
              <w:rPr>
                <w:rFonts w:ascii="宋体"/>
              </w:rPr>
            </w:pPr>
          </w:p>
        </w:tc>
        <w:tc>
          <w:tcPr>
            <w:tcW w:w="0" w:type="auto"/>
            <w:shd w:val="clear" w:color="auto" w:fill="auto"/>
          </w:tcPr>
          <w:p w14:paraId="669C5934" w14:textId="77777777" w:rsidR="00066C63" w:rsidRDefault="00066C63">
            <w:pPr>
              <w:rPr>
                <w:rFonts w:ascii="宋体"/>
              </w:rPr>
            </w:pPr>
          </w:p>
        </w:tc>
        <w:tc>
          <w:tcPr>
            <w:tcW w:w="0" w:type="auto"/>
            <w:shd w:val="clear" w:color="auto" w:fill="auto"/>
          </w:tcPr>
          <w:p w14:paraId="669C5935" w14:textId="77777777" w:rsidR="00066C63" w:rsidRDefault="00066C63">
            <w:pPr>
              <w:rPr>
                <w:rFonts w:ascii="宋体"/>
              </w:rPr>
            </w:pPr>
          </w:p>
        </w:tc>
      </w:tr>
      <w:tr w:rsidR="00066C63" w14:paraId="669C593D" w14:textId="77777777">
        <w:tc>
          <w:tcPr>
            <w:tcW w:w="0" w:type="auto"/>
            <w:gridSpan w:val="3"/>
            <w:tcBorders>
              <w:top w:val="single" w:sz="8" w:space="0" w:color="E87722"/>
            </w:tcBorders>
            <w:shd w:val="clear" w:color="auto" w:fill="auto"/>
            <w:tcMar>
              <w:top w:w="40" w:type="dxa"/>
              <w:left w:w="20" w:type="dxa"/>
              <w:bottom w:w="40" w:type="dxa"/>
              <w:right w:w="20" w:type="dxa"/>
            </w:tcMar>
          </w:tcPr>
          <w:p w14:paraId="669C5937" w14:textId="77777777" w:rsidR="00066C63" w:rsidRDefault="009656F6">
            <w:pPr>
              <w:jc w:val="center"/>
              <w:textAlignment w:val="top"/>
            </w:pPr>
            <w:r>
              <w:rPr>
                <w:rFonts w:ascii="Arial" w:eastAsia="宋体" w:hAnsi="Arial" w:cs="Arial"/>
                <w:color w:val="E87722"/>
                <w:sz w:val="16"/>
                <w:szCs w:val="16"/>
              </w:rPr>
              <w:t>•</w:t>
            </w:r>
          </w:p>
        </w:tc>
        <w:tc>
          <w:tcPr>
            <w:tcW w:w="0" w:type="auto"/>
            <w:shd w:val="clear" w:color="auto" w:fill="auto"/>
          </w:tcPr>
          <w:p w14:paraId="669C5938" w14:textId="77777777" w:rsidR="00066C63" w:rsidRDefault="00066C63">
            <w:pPr>
              <w:rPr>
                <w:rFonts w:ascii="宋体"/>
                <w:vanish/>
              </w:rPr>
            </w:pPr>
          </w:p>
        </w:tc>
        <w:tc>
          <w:tcPr>
            <w:tcW w:w="0" w:type="auto"/>
            <w:gridSpan w:val="21"/>
            <w:tcBorders>
              <w:top w:val="single" w:sz="8" w:space="0" w:color="E87722"/>
              <w:bottom w:val="single" w:sz="8" w:space="0" w:color="808080"/>
            </w:tcBorders>
            <w:shd w:val="clear" w:color="auto" w:fill="auto"/>
            <w:tcMar>
              <w:top w:w="40" w:type="dxa"/>
              <w:left w:w="20" w:type="dxa"/>
              <w:bottom w:w="40" w:type="dxa"/>
              <w:right w:w="20" w:type="dxa"/>
            </w:tcMar>
          </w:tcPr>
          <w:p w14:paraId="669C5939" w14:textId="77777777" w:rsidR="00066C63" w:rsidRDefault="009656F6">
            <w:pPr>
              <w:textAlignment w:val="top"/>
            </w:pPr>
            <w:r>
              <w:rPr>
                <w:rFonts w:ascii="Arial" w:eastAsia="宋体" w:hAnsi="Arial" w:cs="Arial"/>
                <w:color w:val="000000"/>
                <w:sz w:val="14"/>
                <w:szCs w:val="14"/>
              </w:rPr>
              <w:t xml:space="preserve">whether the registrant (1) has filed </w:t>
            </w:r>
            <w:r>
              <w:rPr>
                <w:rFonts w:ascii="Arial" w:eastAsia="宋体" w:hAnsi="Arial" w:cs="Arial"/>
                <w:color w:val="000000"/>
                <w:sz w:val="14"/>
                <w:szCs w:val="14"/>
              </w:rPr>
              <w:t>all reports required to be filed by Section 13 or 15(d) of the Securities Exchange Act of 1934 during the preceding 12 months (or for such shorter period that the registrant was required to file such reports), and (2) has been subject to such filing requir</w:t>
            </w:r>
            <w:r>
              <w:rPr>
                <w:rFonts w:ascii="Arial" w:eastAsia="宋体" w:hAnsi="Arial" w:cs="Arial"/>
                <w:color w:val="000000"/>
                <w:sz w:val="14"/>
                <w:szCs w:val="14"/>
              </w:rPr>
              <w:t>ements for the past 90 days.</w:t>
            </w:r>
          </w:p>
        </w:tc>
        <w:tc>
          <w:tcPr>
            <w:tcW w:w="0" w:type="auto"/>
            <w:gridSpan w:val="3"/>
            <w:tcBorders>
              <w:top w:val="single" w:sz="8" w:space="0" w:color="E87722"/>
            </w:tcBorders>
            <w:shd w:val="clear" w:color="auto" w:fill="auto"/>
            <w:tcMar>
              <w:top w:w="0" w:type="dxa"/>
              <w:left w:w="20" w:type="dxa"/>
              <w:bottom w:w="0" w:type="dxa"/>
              <w:right w:w="20" w:type="dxa"/>
            </w:tcMar>
          </w:tcPr>
          <w:p w14:paraId="669C593A" w14:textId="77777777" w:rsidR="00066C63" w:rsidRDefault="00066C63">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tcPr>
          <w:p w14:paraId="669C593B" w14:textId="77777777" w:rsidR="00066C63" w:rsidRDefault="009656F6">
            <w:pPr>
              <w:jc w:val="center"/>
              <w:textAlignment w:val="top"/>
            </w:pPr>
            <w:r>
              <w:rPr>
                <w:rFonts w:ascii="Wingdings" w:eastAsia="宋体" w:hAnsi="Wingdings" w:cs="Wingdings"/>
                <w:color w:val="000000"/>
                <w:sz w:val="14"/>
                <w:szCs w:val="14"/>
              </w:rPr>
              <w:t>þ</w:t>
            </w:r>
          </w:p>
        </w:tc>
        <w:tc>
          <w:tcPr>
            <w:tcW w:w="0" w:type="auto"/>
            <w:gridSpan w:val="6"/>
            <w:tcBorders>
              <w:top w:val="single" w:sz="8" w:space="0" w:color="E87722"/>
              <w:bottom w:val="single" w:sz="8" w:space="0" w:color="808080"/>
            </w:tcBorders>
            <w:shd w:val="clear" w:color="auto" w:fill="auto"/>
            <w:tcMar>
              <w:top w:w="40" w:type="dxa"/>
              <w:left w:w="20" w:type="dxa"/>
              <w:bottom w:w="40" w:type="dxa"/>
              <w:right w:w="20" w:type="dxa"/>
            </w:tcMar>
          </w:tcPr>
          <w:p w14:paraId="669C593C" w14:textId="77777777" w:rsidR="00066C63" w:rsidRDefault="009656F6">
            <w:pPr>
              <w:jc w:val="center"/>
              <w:textAlignment w:val="top"/>
            </w:pPr>
            <w:r>
              <w:rPr>
                <w:rFonts w:ascii="Wingdings" w:eastAsia="宋体" w:hAnsi="Wingdings" w:cs="Wingdings"/>
                <w:color w:val="000000"/>
                <w:sz w:val="14"/>
                <w:szCs w:val="14"/>
              </w:rPr>
              <w:t>☐</w:t>
            </w:r>
          </w:p>
        </w:tc>
      </w:tr>
      <w:tr w:rsidR="00066C63" w14:paraId="669C5944" w14:textId="77777777">
        <w:tc>
          <w:tcPr>
            <w:tcW w:w="0" w:type="auto"/>
            <w:gridSpan w:val="3"/>
            <w:tcBorders>
              <w:top w:val="single" w:sz="8" w:space="0" w:color="808080"/>
            </w:tcBorders>
            <w:shd w:val="clear" w:color="auto" w:fill="auto"/>
            <w:tcMar>
              <w:top w:w="40" w:type="dxa"/>
              <w:left w:w="20" w:type="dxa"/>
              <w:bottom w:w="40" w:type="dxa"/>
              <w:right w:w="20" w:type="dxa"/>
            </w:tcMar>
          </w:tcPr>
          <w:p w14:paraId="669C593E" w14:textId="77777777" w:rsidR="00066C63" w:rsidRDefault="009656F6">
            <w:pPr>
              <w:jc w:val="center"/>
              <w:textAlignment w:val="top"/>
            </w:pPr>
            <w:r>
              <w:rPr>
                <w:rFonts w:ascii="Arial" w:eastAsia="宋体" w:hAnsi="Arial" w:cs="Arial"/>
                <w:color w:val="E87722"/>
                <w:sz w:val="16"/>
                <w:szCs w:val="16"/>
              </w:rPr>
              <w:t>•</w:t>
            </w:r>
          </w:p>
        </w:tc>
        <w:tc>
          <w:tcPr>
            <w:tcW w:w="0" w:type="auto"/>
            <w:shd w:val="clear" w:color="auto" w:fill="auto"/>
          </w:tcPr>
          <w:p w14:paraId="669C593F" w14:textId="77777777" w:rsidR="00066C63" w:rsidRDefault="00066C63">
            <w:pPr>
              <w:rPr>
                <w:rFonts w:ascii="宋体"/>
                <w:vanish/>
              </w:rPr>
            </w:pPr>
          </w:p>
        </w:tc>
        <w:tc>
          <w:tcPr>
            <w:tcW w:w="0" w:type="auto"/>
            <w:gridSpan w:val="21"/>
            <w:tcBorders>
              <w:top w:val="single" w:sz="8" w:space="0" w:color="808080"/>
              <w:bottom w:val="single" w:sz="8" w:space="0" w:color="808080"/>
            </w:tcBorders>
            <w:shd w:val="clear" w:color="auto" w:fill="auto"/>
            <w:tcMar>
              <w:top w:w="40" w:type="dxa"/>
              <w:left w:w="20" w:type="dxa"/>
              <w:bottom w:w="40" w:type="dxa"/>
              <w:right w:w="20" w:type="dxa"/>
            </w:tcMar>
          </w:tcPr>
          <w:p w14:paraId="669C5940" w14:textId="77777777" w:rsidR="00066C63" w:rsidRDefault="009656F6">
            <w:pPr>
              <w:textAlignment w:val="top"/>
            </w:pPr>
            <w:r>
              <w:rPr>
                <w:rFonts w:ascii="Arial" w:eastAsia="宋体" w:hAnsi="Arial" w:cs="Arial"/>
                <w:color w:val="000000"/>
                <w:sz w:val="14"/>
                <w:szCs w:val="14"/>
              </w:rPr>
              <w:t xml:space="preserve">whether the registrant has submitted electronically every Interactive Data File required to be submitted pursuant to Rule 405 of Regulation S-T (§232.405 of this chapter) during the preceding 12 months (or for such </w:t>
            </w:r>
            <w:r>
              <w:rPr>
                <w:rFonts w:ascii="Arial" w:eastAsia="宋体" w:hAnsi="Arial" w:cs="Arial"/>
                <w:color w:val="000000"/>
                <w:sz w:val="14"/>
                <w:szCs w:val="14"/>
              </w:rPr>
              <w:t>shorter period that the registrant was required to submit such files).</w:t>
            </w:r>
          </w:p>
        </w:tc>
        <w:tc>
          <w:tcPr>
            <w:tcW w:w="0" w:type="auto"/>
            <w:gridSpan w:val="3"/>
            <w:tcBorders>
              <w:top w:val="single" w:sz="8" w:space="0" w:color="808080"/>
              <w:bottom w:val="single" w:sz="8" w:space="0" w:color="808080"/>
            </w:tcBorders>
            <w:shd w:val="clear" w:color="auto" w:fill="auto"/>
            <w:tcMar>
              <w:top w:w="0" w:type="dxa"/>
              <w:left w:w="20" w:type="dxa"/>
              <w:bottom w:w="0" w:type="dxa"/>
              <w:right w:w="20" w:type="dxa"/>
            </w:tcMar>
          </w:tcPr>
          <w:p w14:paraId="669C5941" w14:textId="77777777" w:rsidR="00066C63" w:rsidRDefault="00066C63">
            <w:pPr>
              <w:rPr>
                <w:rFonts w:ascii="宋体"/>
              </w:rPr>
            </w:pPr>
          </w:p>
        </w:tc>
        <w:tc>
          <w:tcPr>
            <w:tcW w:w="0" w:type="auto"/>
            <w:gridSpan w:val="3"/>
            <w:tcBorders>
              <w:top w:val="single" w:sz="8" w:space="0" w:color="808080"/>
              <w:bottom w:val="single" w:sz="8" w:space="0" w:color="808080"/>
            </w:tcBorders>
            <w:shd w:val="clear" w:color="auto" w:fill="auto"/>
            <w:tcMar>
              <w:top w:w="40" w:type="dxa"/>
              <w:left w:w="20" w:type="dxa"/>
              <w:bottom w:w="40" w:type="dxa"/>
              <w:right w:w="20" w:type="dxa"/>
            </w:tcMar>
          </w:tcPr>
          <w:p w14:paraId="669C5942" w14:textId="77777777" w:rsidR="00066C63" w:rsidRDefault="009656F6">
            <w:pPr>
              <w:jc w:val="center"/>
              <w:textAlignment w:val="top"/>
            </w:pPr>
            <w:r>
              <w:rPr>
                <w:rFonts w:ascii="Wingdings" w:eastAsia="宋体" w:hAnsi="Wingdings" w:cs="Wingdings"/>
                <w:color w:val="000000"/>
                <w:sz w:val="14"/>
                <w:szCs w:val="14"/>
              </w:rPr>
              <w:t>þ</w:t>
            </w:r>
          </w:p>
        </w:tc>
        <w:tc>
          <w:tcPr>
            <w:tcW w:w="0" w:type="auto"/>
            <w:gridSpan w:val="6"/>
            <w:tcBorders>
              <w:top w:val="single" w:sz="8" w:space="0" w:color="808080"/>
              <w:bottom w:val="single" w:sz="8" w:space="0" w:color="808080"/>
            </w:tcBorders>
            <w:shd w:val="clear" w:color="auto" w:fill="auto"/>
            <w:tcMar>
              <w:top w:w="40" w:type="dxa"/>
              <w:left w:w="20" w:type="dxa"/>
              <w:bottom w:w="40" w:type="dxa"/>
              <w:right w:w="20" w:type="dxa"/>
            </w:tcMar>
          </w:tcPr>
          <w:p w14:paraId="669C5943" w14:textId="77777777" w:rsidR="00066C63" w:rsidRDefault="009656F6">
            <w:pPr>
              <w:jc w:val="center"/>
              <w:textAlignment w:val="top"/>
            </w:pPr>
            <w:r>
              <w:rPr>
                <w:rFonts w:ascii="Wingdings" w:eastAsia="宋体" w:hAnsi="Wingdings" w:cs="Wingdings"/>
                <w:color w:val="000000"/>
                <w:sz w:val="14"/>
                <w:szCs w:val="14"/>
              </w:rPr>
              <w:t>☐</w:t>
            </w:r>
          </w:p>
        </w:tc>
      </w:tr>
      <w:tr w:rsidR="00066C63" w14:paraId="669C5948" w14:textId="77777777">
        <w:tc>
          <w:tcPr>
            <w:tcW w:w="0" w:type="auto"/>
            <w:gridSpan w:val="3"/>
            <w:tcBorders>
              <w:top w:val="single" w:sz="8" w:space="0" w:color="808080"/>
            </w:tcBorders>
            <w:shd w:val="clear" w:color="auto" w:fill="auto"/>
            <w:tcMar>
              <w:top w:w="40" w:type="dxa"/>
              <w:left w:w="20" w:type="dxa"/>
              <w:bottom w:w="40" w:type="dxa"/>
              <w:right w:w="20" w:type="dxa"/>
            </w:tcMar>
          </w:tcPr>
          <w:p w14:paraId="669C5945" w14:textId="77777777" w:rsidR="00066C63" w:rsidRDefault="009656F6">
            <w:pPr>
              <w:jc w:val="center"/>
              <w:textAlignment w:val="top"/>
            </w:pPr>
            <w:r>
              <w:rPr>
                <w:rFonts w:ascii="Arial" w:eastAsia="宋体" w:hAnsi="Arial" w:cs="Arial"/>
                <w:color w:val="E87722"/>
                <w:sz w:val="16"/>
                <w:szCs w:val="16"/>
              </w:rPr>
              <w:t>•</w:t>
            </w:r>
          </w:p>
        </w:tc>
        <w:tc>
          <w:tcPr>
            <w:tcW w:w="0" w:type="auto"/>
            <w:shd w:val="clear" w:color="auto" w:fill="auto"/>
          </w:tcPr>
          <w:p w14:paraId="669C5946" w14:textId="77777777" w:rsidR="00066C63" w:rsidRDefault="00066C63">
            <w:pPr>
              <w:rPr>
                <w:rFonts w:ascii="宋体"/>
                <w:vanish/>
              </w:rPr>
            </w:pPr>
          </w:p>
        </w:tc>
        <w:tc>
          <w:tcPr>
            <w:tcW w:w="0" w:type="auto"/>
            <w:gridSpan w:val="33"/>
            <w:tcBorders>
              <w:top w:val="single" w:sz="8" w:space="0" w:color="808080"/>
            </w:tcBorders>
            <w:shd w:val="clear" w:color="auto" w:fill="auto"/>
            <w:tcMar>
              <w:top w:w="40" w:type="dxa"/>
              <w:left w:w="20" w:type="dxa"/>
              <w:bottom w:w="40" w:type="dxa"/>
              <w:right w:w="20" w:type="dxa"/>
            </w:tcMar>
          </w:tcPr>
          <w:p w14:paraId="669C5947" w14:textId="77777777" w:rsidR="00066C63" w:rsidRDefault="009656F6">
            <w:pPr>
              <w:textAlignment w:val="top"/>
            </w:pPr>
            <w:r>
              <w:rPr>
                <w:rFonts w:ascii="Arial" w:eastAsia="宋体" w:hAnsi="Arial" w:cs="Arial"/>
                <w:color w:val="000000"/>
                <w:sz w:val="14"/>
                <w:szCs w:val="14"/>
              </w:rPr>
              <w:t xml:space="preserve">whether the registrant is a large accelerated filer, an accelerated filer, a non-accelerated filer, a smaller reporting company, or an emerging growth company. See the </w:t>
            </w:r>
            <w:r>
              <w:rPr>
                <w:rFonts w:ascii="Arial" w:eastAsia="宋体" w:hAnsi="Arial" w:cs="Arial"/>
                <w:color w:val="000000"/>
                <w:sz w:val="14"/>
                <w:szCs w:val="14"/>
              </w:rPr>
              <w:t>definitions of “large accelerated filer,” “accelerated filer,” “smaller reporting company,” and “emerging growth company” in Rule 12b-2 of the Exchange Act.</w:t>
            </w:r>
          </w:p>
        </w:tc>
      </w:tr>
      <w:tr w:rsidR="00066C63" w14:paraId="669C5955" w14:textId="77777777">
        <w:tc>
          <w:tcPr>
            <w:tcW w:w="0" w:type="auto"/>
            <w:gridSpan w:val="3"/>
            <w:shd w:val="clear" w:color="auto" w:fill="auto"/>
            <w:tcMar>
              <w:top w:w="0" w:type="dxa"/>
              <w:left w:w="20" w:type="dxa"/>
              <w:bottom w:w="0" w:type="dxa"/>
              <w:right w:w="20" w:type="dxa"/>
            </w:tcMar>
          </w:tcPr>
          <w:p w14:paraId="669C5949" w14:textId="77777777" w:rsidR="00066C63" w:rsidRDefault="00066C63">
            <w:pPr>
              <w:rPr>
                <w:rFonts w:ascii="宋体"/>
              </w:rPr>
            </w:pPr>
          </w:p>
        </w:tc>
        <w:tc>
          <w:tcPr>
            <w:tcW w:w="0" w:type="auto"/>
            <w:shd w:val="clear" w:color="auto" w:fill="auto"/>
          </w:tcPr>
          <w:p w14:paraId="669C594A" w14:textId="77777777" w:rsidR="00066C63" w:rsidRDefault="00066C63">
            <w:pPr>
              <w:rPr>
                <w:rFonts w:ascii="宋体"/>
                <w:vanish/>
              </w:rPr>
            </w:pPr>
          </w:p>
        </w:tc>
        <w:tc>
          <w:tcPr>
            <w:tcW w:w="0" w:type="auto"/>
            <w:gridSpan w:val="3"/>
            <w:shd w:val="clear" w:color="auto" w:fill="auto"/>
            <w:tcMar>
              <w:top w:w="40" w:type="dxa"/>
              <w:left w:w="20" w:type="dxa"/>
              <w:bottom w:w="40" w:type="dxa"/>
              <w:right w:w="20" w:type="dxa"/>
            </w:tcMar>
            <w:vAlign w:val="bottom"/>
          </w:tcPr>
          <w:p w14:paraId="669C594B" w14:textId="77777777" w:rsidR="00066C63" w:rsidRDefault="009656F6">
            <w:pPr>
              <w:jc w:val="center"/>
              <w:textAlignment w:val="bottom"/>
            </w:pPr>
            <w:r>
              <w:rPr>
                <w:rFonts w:ascii="Arial" w:eastAsia="宋体" w:hAnsi="Arial" w:cs="Arial"/>
                <w:color w:val="000000"/>
                <w:sz w:val="14"/>
                <w:szCs w:val="14"/>
              </w:rPr>
              <w:t>Large accelerated filer</w:t>
            </w:r>
          </w:p>
        </w:tc>
        <w:tc>
          <w:tcPr>
            <w:tcW w:w="0" w:type="auto"/>
            <w:gridSpan w:val="3"/>
            <w:tcBorders>
              <w:bottom w:val="single" w:sz="8" w:space="0" w:color="808080"/>
            </w:tcBorders>
            <w:shd w:val="clear" w:color="auto" w:fill="auto"/>
            <w:tcMar>
              <w:top w:w="40" w:type="dxa"/>
              <w:left w:w="20" w:type="dxa"/>
              <w:bottom w:w="40" w:type="dxa"/>
              <w:right w:w="20" w:type="dxa"/>
            </w:tcMar>
            <w:vAlign w:val="bottom"/>
          </w:tcPr>
          <w:p w14:paraId="669C594C" w14:textId="77777777" w:rsidR="00066C63" w:rsidRDefault="009656F6">
            <w:pPr>
              <w:jc w:val="center"/>
              <w:textAlignment w:val="bottom"/>
            </w:pPr>
            <w:r>
              <w:rPr>
                <w:rFonts w:ascii="Wingdings" w:eastAsia="宋体" w:hAnsi="Wingdings" w:cs="Wingdings"/>
                <w:color w:val="000000"/>
                <w:sz w:val="14"/>
                <w:szCs w:val="14"/>
              </w:rPr>
              <w:t>þ</w:t>
            </w:r>
          </w:p>
        </w:tc>
        <w:tc>
          <w:tcPr>
            <w:tcW w:w="0" w:type="auto"/>
            <w:gridSpan w:val="3"/>
            <w:tcBorders>
              <w:bottom w:val="single" w:sz="8" w:space="0" w:color="808080"/>
            </w:tcBorders>
            <w:shd w:val="clear" w:color="auto" w:fill="auto"/>
            <w:tcMar>
              <w:top w:w="40" w:type="dxa"/>
              <w:left w:w="20" w:type="dxa"/>
              <w:bottom w:w="40" w:type="dxa"/>
              <w:right w:w="20" w:type="dxa"/>
            </w:tcMar>
            <w:vAlign w:val="bottom"/>
          </w:tcPr>
          <w:p w14:paraId="669C594D" w14:textId="77777777" w:rsidR="00066C63" w:rsidRDefault="009656F6">
            <w:pPr>
              <w:jc w:val="right"/>
              <w:textAlignment w:val="bottom"/>
            </w:pPr>
            <w:r>
              <w:rPr>
                <w:rFonts w:ascii="Arial" w:eastAsia="宋体" w:hAnsi="Arial" w:cs="Arial"/>
                <w:color w:val="000000"/>
                <w:sz w:val="14"/>
                <w:szCs w:val="14"/>
              </w:rPr>
              <w:t>Accelerated filer</w:t>
            </w:r>
          </w:p>
        </w:tc>
        <w:tc>
          <w:tcPr>
            <w:tcW w:w="0" w:type="auto"/>
            <w:gridSpan w:val="3"/>
            <w:tcBorders>
              <w:bottom w:val="single" w:sz="8" w:space="0" w:color="808080"/>
            </w:tcBorders>
            <w:shd w:val="clear" w:color="auto" w:fill="auto"/>
            <w:tcMar>
              <w:top w:w="40" w:type="dxa"/>
              <w:left w:w="20" w:type="dxa"/>
              <w:bottom w:w="40" w:type="dxa"/>
              <w:right w:w="20" w:type="dxa"/>
            </w:tcMar>
            <w:vAlign w:val="bottom"/>
          </w:tcPr>
          <w:p w14:paraId="669C594E" w14:textId="77777777" w:rsidR="00066C63" w:rsidRDefault="009656F6">
            <w:pPr>
              <w:jc w:val="center"/>
              <w:textAlignment w:val="bottom"/>
            </w:pPr>
            <w:r>
              <w:rPr>
                <w:rFonts w:ascii="Wingdings" w:eastAsia="宋体" w:hAnsi="Wingdings" w:cs="Wingdings"/>
                <w:color w:val="000000"/>
                <w:sz w:val="14"/>
                <w:szCs w:val="14"/>
              </w:rPr>
              <w:t>☐</w:t>
            </w:r>
          </w:p>
        </w:tc>
        <w:tc>
          <w:tcPr>
            <w:tcW w:w="0" w:type="auto"/>
            <w:gridSpan w:val="3"/>
            <w:tcBorders>
              <w:bottom w:val="single" w:sz="8" w:space="0" w:color="808080"/>
            </w:tcBorders>
            <w:shd w:val="clear" w:color="auto" w:fill="auto"/>
            <w:tcMar>
              <w:top w:w="40" w:type="dxa"/>
              <w:left w:w="20" w:type="dxa"/>
              <w:bottom w:w="40" w:type="dxa"/>
              <w:right w:w="20" w:type="dxa"/>
            </w:tcMar>
            <w:vAlign w:val="bottom"/>
          </w:tcPr>
          <w:p w14:paraId="669C594F" w14:textId="77777777" w:rsidR="00066C63" w:rsidRDefault="009656F6">
            <w:pPr>
              <w:jc w:val="right"/>
              <w:textAlignment w:val="bottom"/>
            </w:pPr>
            <w:r>
              <w:rPr>
                <w:rFonts w:ascii="Arial" w:eastAsia="宋体" w:hAnsi="Arial" w:cs="Arial"/>
                <w:color w:val="000000"/>
                <w:sz w:val="14"/>
                <w:szCs w:val="14"/>
              </w:rPr>
              <w:t>Non-accelerated filer</w:t>
            </w:r>
          </w:p>
        </w:tc>
        <w:tc>
          <w:tcPr>
            <w:tcW w:w="0" w:type="auto"/>
            <w:gridSpan w:val="3"/>
            <w:tcBorders>
              <w:bottom w:val="single" w:sz="8" w:space="0" w:color="808080"/>
            </w:tcBorders>
            <w:shd w:val="clear" w:color="auto" w:fill="auto"/>
            <w:tcMar>
              <w:top w:w="40" w:type="dxa"/>
              <w:left w:w="20" w:type="dxa"/>
              <w:bottom w:w="40" w:type="dxa"/>
              <w:right w:w="20" w:type="dxa"/>
            </w:tcMar>
            <w:vAlign w:val="bottom"/>
          </w:tcPr>
          <w:p w14:paraId="669C5950" w14:textId="77777777" w:rsidR="00066C63" w:rsidRDefault="009656F6">
            <w:pPr>
              <w:jc w:val="center"/>
              <w:textAlignment w:val="bottom"/>
            </w:pPr>
            <w:r>
              <w:rPr>
                <w:rFonts w:ascii="Wingdings" w:eastAsia="宋体" w:hAnsi="Wingdings" w:cs="Wingdings"/>
                <w:color w:val="000000"/>
                <w:sz w:val="14"/>
                <w:szCs w:val="14"/>
              </w:rPr>
              <w:t>☐</w:t>
            </w:r>
          </w:p>
        </w:tc>
        <w:tc>
          <w:tcPr>
            <w:tcW w:w="0" w:type="auto"/>
            <w:gridSpan w:val="3"/>
            <w:tcBorders>
              <w:bottom w:val="single" w:sz="8" w:space="0" w:color="808080"/>
            </w:tcBorders>
            <w:shd w:val="clear" w:color="auto" w:fill="auto"/>
            <w:tcMar>
              <w:top w:w="40" w:type="dxa"/>
              <w:left w:w="20" w:type="dxa"/>
              <w:bottom w:w="40" w:type="dxa"/>
              <w:right w:w="20" w:type="dxa"/>
            </w:tcMar>
            <w:vAlign w:val="bottom"/>
          </w:tcPr>
          <w:p w14:paraId="669C5951" w14:textId="77777777" w:rsidR="00066C63" w:rsidRDefault="009656F6">
            <w:pPr>
              <w:jc w:val="right"/>
              <w:textAlignment w:val="bottom"/>
            </w:pPr>
            <w:r>
              <w:rPr>
                <w:rFonts w:ascii="Arial" w:eastAsia="宋体" w:hAnsi="Arial" w:cs="Arial"/>
                <w:color w:val="000000"/>
                <w:sz w:val="14"/>
                <w:szCs w:val="14"/>
              </w:rPr>
              <w:t>Smaller reporting company</w:t>
            </w:r>
          </w:p>
        </w:tc>
        <w:tc>
          <w:tcPr>
            <w:tcW w:w="0" w:type="auto"/>
            <w:gridSpan w:val="3"/>
            <w:shd w:val="clear" w:color="auto" w:fill="auto"/>
            <w:tcMar>
              <w:top w:w="40" w:type="dxa"/>
              <w:left w:w="20" w:type="dxa"/>
              <w:bottom w:w="40" w:type="dxa"/>
              <w:right w:w="20" w:type="dxa"/>
            </w:tcMar>
            <w:vAlign w:val="bottom"/>
          </w:tcPr>
          <w:p w14:paraId="669C5952" w14:textId="77777777" w:rsidR="00066C63" w:rsidRDefault="009656F6">
            <w:pPr>
              <w:jc w:val="center"/>
              <w:textAlignment w:val="bottom"/>
            </w:pPr>
            <w:r>
              <w:rPr>
                <w:rFonts w:ascii="Wingdings" w:eastAsia="宋体" w:hAnsi="Wingdings" w:cs="Wingdings"/>
                <w:color w:val="000000"/>
                <w:sz w:val="14"/>
                <w:szCs w:val="14"/>
              </w:rPr>
              <w:t>☐</w:t>
            </w:r>
          </w:p>
        </w:tc>
        <w:tc>
          <w:tcPr>
            <w:tcW w:w="0" w:type="auto"/>
            <w:gridSpan w:val="6"/>
            <w:tcBorders>
              <w:bottom w:val="single" w:sz="8" w:space="0" w:color="808080"/>
            </w:tcBorders>
            <w:shd w:val="clear" w:color="auto" w:fill="auto"/>
            <w:tcMar>
              <w:top w:w="40" w:type="dxa"/>
              <w:left w:w="20" w:type="dxa"/>
              <w:bottom w:w="40" w:type="dxa"/>
              <w:right w:w="20" w:type="dxa"/>
            </w:tcMar>
            <w:vAlign w:val="bottom"/>
          </w:tcPr>
          <w:p w14:paraId="669C5953" w14:textId="77777777" w:rsidR="00066C63" w:rsidRDefault="009656F6">
            <w:pPr>
              <w:jc w:val="right"/>
              <w:textAlignment w:val="bottom"/>
            </w:pPr>
            <w:r>
              <w:rPr>
                <w:rFonts w:ascii="Arial" w:eastAsia="宋体" w:hAnsi="Arial" w:cs="Arial"/>
                <w:color w:val="000000"/>
                <w:sz w:val="14"/>
                <w:szCs w:val="14"/>
              </w:rPr>
              <w:t>Emerging growth company</w:t>
            </w:r>
          </w:p>
        </w:tc>
        <w:tc>
          <w:tcPr>
            <w:tcW w:w="0" w:type="auto"/>
            <w:gridSpan w:val="3"/>
            <w:tcBorders>
              <w:bottom w:val="single" w:sz="8" w:space="0" w:color="808080"/>
            </w:tcBorders>
            <w:shd w:val="clear" w:color="auto" w:fill="auto"/>
            <w:tcMar>
              <w:top w:w="40" w:type="dxa"/>
              <w:left w:w="20" w:type="dxa"/>
              <w:bottom w:w="40" w:type="dxa"/>
              <w:right w:w="20" w:type="dxa"/>
            </w:tcMar>
            <w:vAlign w:val="bottom"/>
          </w:tcPr>
          <w:p w14:paraId="669C5954" w14:textId="77777777" w:rsidR="00066C63" w:rsidRDefault="009656F6">
            <w:pPr>
              <w:jc w:val="center"/>
              <w:textAlignment w:val="bottom"/>
            </w:pPr>
            <w:r>
              <w:rPr>
                <w:rFonts w:ascii="Wingdings" w:eastAsia="宋体" w:hAnsi="Wingdings" w:cs="Wingdings"/>
                <w:color w:val="000000"/>
                <w:sz w:val="14"/>
                <w:szCs w:val="14"/>
              </w:rPr>
              <w:t>☐</w:t>
            </w:r>
          </w:p>
        </w:tc>
      </w:tr>
      <w:tr w:rsidR="00066C63" w14:paraId="669C595B" w14:textId="77777777">
        <w:tc>
          <w:tcPr>
            <w:tcW w:w="0" w:type="auto"/>
            <w:gridSpan w:val="3"/>
            <w:tcBorders>
              <w:top w:val="single" w:sz="8" w:space="0" w:color="808080"/>
            </w:tcBorders>
            <w:shd w:val="clear" w:color="auto" w:fill="auto"/>
            <w:tcMar>
              <w:top w:w="40" w:type="dxa"/>
              <w:left w:w="20" w:type="dxa"/>
              <w:bottom w:w="40" w:type="dxa"/>
              <w:right w:w="20" w:type="dxa"/>
            </w:tcMar>
          </w:tcPr>
          <w:p w14:paraId="669C5956" w14:textId="77777777" w:rsidR="00066C63" w:rsidRDefault="009656F6">
            <w:pPr>
              <w:jc w:val="center"/>
              <w:textAlignment w:val="top"/>
            </w:pPr>
            <w:r>
              <w:rPr>
                <w:rFonts w:ascii="Arial" w:eastAsia="宋体" w:hAnsi="Arial" w:cs="Arial"/>
                <w:color w:val="E87722"/>
                <w:sz w:val="16"/>
                <w:szCs w:val="16"/>
              </w:rPr>
              <w:t>•</w:t>
            </w:r>
          </w:p>
        </w:tc>
        <w:tc>
          <w:tcPr>
            <w:tcW w:w="0" w:type="auto"/>
            <w:shd w:val="clear" w:color="auto" w:fill="auto"/>
          </w:tcPr>
          <w:p w14:paraId="669C5957" w14:textId="77777777" w:rsidR="00066C63" w:rsidRDefault="00066C63">
            <w:pPr>
              <w:rPr>
                <w:rFonts w:ascii="宋体"/>
                <w:vanish/>
              </w:rPr>
            </w:pPr>
          </w:p>
        </w:tc>
        <w:tc>
          <w:tcPr>
            <w:tcW w:w="0" w:type="auto"/>
            <w:gridSpan w:val="21"/>
            <w:tcBorders>
              <w:top w:val="single" w:sz="8" w:space="0" w:color="808080"/>
              <w:bottom w:val="single" w:sz="8" w:space="0" w:color="808080"/>
            </w:tcBorders>
            <w:shd w:val="clear" w:color="auto" w:fill="auto"/>
            <w:tcMar>
              <w:top w:w="40" w:type="dxa"/>
              <w:left w:w="20" w:type="dxa"/>
              <w:bottom w:w="40" w:type="dxa"/>
              <w:right w:w="20" w:type="dxa"/>
            </w:tcMar>
          </w:tcPr>
          <w:p w14:paraId="669C5958" w14:textId="77777777" w:rsidR="00066C63" w:rsidRDefault="009656F6">
            <w:pPr>
              <w:textAlignment w:val="top"/>
            </w:pPr>
            <w:r>
              <w:rPr>
                <w:rFonts w:ascii="Arial" w:eastAsia="宋体" w:hAnsi="Arial" w:cs="Arial"/>
                <w:color w:val="000000"/>
                <w:sz w:val="14"/>
                <w:szCs w:val="14"/>
              </w:rPr>
              <w:t xml:space="preserve">if an emerging growth company, if the registrant has elected not to use the extended transition period for complying with any new or revised financial accounting standards provided pursuant to </w:t>
            </w:r>
            <w:r>
              <w:rPr>
                <w:rFonts w:ascii="Arial" w:eastAsia="宋体" w:hAnsi="Arial" w:cs="Arial"/>
                <w:color w:val="000000"/>
                <w:sz w:val="14"/>
                <w:szCs w:val="14"/>
              </w:rPr>
              <w:t>Section 13(a) of the Exchange Act.</w:t>
            </w:r>
          </w:p>
        </w:tc>
        <w:tc>
          <w:tcPr>
            <w:tcW w:w="0" w:type="auto"/>
            <w:gridSpan w:val="3"/>
            <w:tcBorders>
              <w:top w:val="single" w:sz="8" w:space="0" w:color="808080"/>
            </w:tcBorders>
            <w:shd w:val="clear" w:color="auto" w:fill="auto"/>
            <w:tcMar>
              <w:top w:w="0" w:type="dxa"/>
              <w:left w:w="20" w:type="dxa"/>
              <w:bottom w:w="0" w:type="dxa"/>
              <w:right w:w="20" w:type="dxa"/>
            </w:tcMar>
          </w:tcPr>
          <w:p w14:paraId="669C5959" w14:textId="77777777" w:rsidR="00066C63" w:rsidRDefault="00066C63">
            <w:pPr>
              <w:rPr>
                <w:rFonts w:ascii="宋体"/>
              </w:rPr>
            </w:pPr>
          </w:p>
        </w:tc>
        <w:tc>
          <w:tcPr>
            <w:tcW w:w="0" w:type="auto"/>
            <w:gridSpan w:val="9"/>
            <w:tcBorders>
              <w:top w:val="single" w:sz="8" w:space="0" w:color="808080"/>
              <w:bottom w:val="single" w:sz="8" w:space="0" w:color="808080"/>
            </w:tcBorders>
            <w:shd w:val="clear" w:color="auto" w:fill="auto"/>
            <w:tcMar>
              <w:top w:w="40" w:type="dxa"/>
              <w:left w:w="20" w:type="dxa"/>
              <w:bottom w:w="40" w:type="dxa"/>
              <w:right w:w="20" w:type="dxa"/>
            </w:tcMar>
          </w:tcPr>
          <w:p w14:paraId="669C595A" w14:textId="77777777" w:rsidR="00066C63" w:rsidRDefault="009656F6">
            <w:pPr>
              <w:jc w:val="center"/>
              <w:textAlignment w:val="top"/>
            </w:pPr>
            <w:r>
              <w:rPr>
                <w:rFonts w:ascii="Wingdings" w:eastAsia="宋体" w:hAnsi="Wingdings" w:cs="Wingdings"/>
                <w:color w:val="000000"/>
                <w:sz w:val="14"/>
                <w:szCs w:val="14"/>
              </w:rPr>
              <w:t>☐</w:t>
            </w:r>
          </w:p>
        </w:tc>
      </w:tr>
      <w:tr w:rsidR="00066C63" w14:paraId="669C5962" w14:textId="77777777">
        <w:tc>
          <w:tcPr>
            <w:tcW w:w="0" w:type="auto"/>
            <w:gridSpan w:val="3"/>
            <w:tcBorders>
              <w:top w:val="single" w:sz="8" w:space="0" w:color="808080"/>
              <w:bottom w:val="single" w:sz="8" w:space="0" w:color="E87722"/>
            </w:tcBorders>
            <w:shd w:val="clear" w:color="auto" w:fill="auto"/>
            <w:tcMar>
              <w:top w:w="40" w:type="dxa"/>
              <w:left w:w="20" w:type="dxa"/>
              <w:bottom w:w="40" w:type="dxa"/>
              <w:right w:w="20" w:type="dxa"/>
            </w:tcMar>
            <w:vAlign w:val="bottom"/>
          </w:tcPr>
          <w:p w14:paraId="669C595C" w14:textId="77777777" w:rsidR="00066C63" w:rsidRDefault="009656F6">
            <w:pPr>
              <w:jc w:val="center"/>
              <w:textAlignment w:val="bottom"/>
            </w:pPr>
            <w:r>
              <w:rPr>
                <w:rFonts w:ascii="Arial" w:eastAsia="宋体" w:hAnsi="Arial" w:cs="Arial"/>
                <w:color w:val="E87722"/>
                <w:sz w:val="16"/>
                <w:szCs w:val="16"/>
              </w:rPr>
              <w:t>•</w:t>
            </w:r>
          </w:p>
        </w:tc>
        <w:tc>
          <w:tcPr>
            <w:tcW w:w="0" w:type="auto"/>
            <w:shd w:val="clear" w:color="auto" w:fill="auto"/>
          </w:tcPr>
          <w:p w14:paraId="669C595D" w14:textId="77777777" w:rsidR="00066C63" w:rsidRDefault="00066C63">
            <w:pPr>
              <w:rPr>
                <w:rFonts w:ascii="宋体"/>
                <w:vanish/>
              </w:rPr>
            </w:pPr>
          </w:p>
        </w:tc>
        <w:tc>
          <w:tcPr>
            <w:tcW w:w="0" w:type="auto"/>
            <w:gridSpan w:val="21"/>
            <w:tcBorders>
              <w:top w:val="single" w:sz="8" w:space="0" w:color="808080"/>
              <w:bottom w:val="single" w:sz="8" w:space="0" w:color="E87722"/>
            </w:tcBorders>
            <w:shd w:val="clear" w:color="auto" w:fill="auto"/>
            <w:tcMar>
              <w:top w:w="40" w:type="dxa"/>
              <w:left w:w="20" w:type="dxa"/>
              <w:bottom w:w="40" w:type="dxa"/>
              <w:right w:w="20" w:type="dxa"/>
            </w:tcMar>
            <w:vAlign w:val="bottom"/>
          </w:tcPr>
          <w:p w14:paraId="669C595E" w14:textId="77777777" w:rsidR="00066C63" w:rsidRDefault="009656F6">
            <w:pPr>
              <w:textAlignment w:val="bottom"/>
            </w:pPr>
            <w:r>
              <w:rPr>
                <w:rFonts w:ascii="Arial" w:eastAsia="宋体" w:hAnsi="Arial" w:cs="Arial"/>
                <w:color w:val="000000"/>
                <w:sz w:val="14"/>
                <w:szCs w:val="14"/>
              </w:rPr>
              <w:t>whether the registrant is a shell company (as defined in Rule 12b-2 of the Act).</w:t>
            </w:r>
          </w:p>
        </w:tc>
        <w:tc>
          <w:tcPr>
            <w:tcW w:w="0" w:type="auto"/>
            <w:gridSpan w:val="3"/>
            <w:tcBorders>
              <w:top w:val="single" w:sz="8" w:space="0" w:color="808080"/>
              <w:bottom w:val="single" w:sz="8" w:space="0" w:color="E87722"/>
            </w:tcBorders>
            <w:shd w:val="clear" w:color="auto" w:fill="auto"/>
            <w:tcMar>
              <w:top w:w="0" w:type="dxa"/>
              <w:left w:w="20" w:type="dxa"/>
              <w:bottom w:w="0" w:type="dxa"/>
              <w:right w:w="20" w:type="dxa"/>
            </w:tcMar>
          </w:tcPr>
          <w:p w14:paraId="669C595F" w14:textId="77777777" w:rsidR="00066C63" w:rsidRDefault="00066C63">
            <w:pPr>
              <w:rPr>
                <w:rFonts w:ascii="宋体"/>
              </w:rPr>
            </w:pPr>
          </w:p>
        </w:tc>
        <w:tc>
          <w:tcPr>
            <w:tcW w:w="0" w:type="auto"/>
            <w:gridSpan w:val="3"/>
            <w:tcBorders>
              <w:top w:val="single" w:sz="8" w:space="0" w:color="808080"/>
              <w:bottom w:val="single" w:sz="8" w:space="0" w:color="E87722"/>
            </w:tcBorders>
            <w:shd w:val="clear" w:color="auto" w:fill="auto"/>
            <w:tcMar>
              <w:top w:w="40" w:type="dxa"/>
              <w:left w:w="20" w:type="dxa"/>
              <w:bottom w:w="40" w:type="dxa"/>
              <w:right w:w="20" w:type="dxa"/>
            </w:tcMar>
            <w:vAlign w:val="bottom"/>
          </w:tcPr>
          <w:p w14:paraId="669C5960" w14:textId="77777777" w:rsidR="00066C63" w:rsidRDefault="009656F6">
            <w:pPr>
              <w:jc w:val="center"/>
              <w:textAlignment w:val="bottom"/>
            </w:pPr>
            <w:r>
              <w:rPr>
                <w:rFonts w:ascii="Wingdings" w:eastAsia="宋体" w:hAnsi="Wingdings" w:cs="Wingdings"/>
                <w:color w:val="000000"/>
                <w:sz w:val="14"/>
                <w:szCs w:val="14"/>
              </w:rPr>
              <w:t>☐</w:t>
            </w:r>
          </w:p>
        </w:tc>
        <w:tc>
          <w:tcPr>
            <w:tcW w:w="0" w:type="auto"/>
            <w:gridSpan w:val="6"/>
            <w:tcBorders>
              <w:top w:val="single" w:sz="8" w:space="0" w:color="808080"/>
              <w:bottom w:val="single" w:sz="8" w:space="0" w:color="E87722"/>
            </w:tcBorders>
            <w:shd w:val="clear" w:color="auto" w:fill="auto"/>
            <w:tcMar>
              <w:top w:w="40" w:type="dxa"/>
              <w:left w:w="20" w:type="dxa"/>
              <w:bottom w:w="40" w:type="dxa"/>
              <w:right w:w="20" w:type="dxa"/>
            </w:tcMar>
            <w:vAlign w:val="bottom"/>
          </w:tcPr>
          <w:p w14:paraId="669C5961" w14:textId="77777777" w:rsidR="00066C63" w:rsidRDefault="009656F6">
            <w:pPr>
              <w:jc w:val="center"/>
              <w:textAlignment w:val="bottom"/>
            </w:pPr>
            <w:r>
              <w:rPr>
                <w:rFonts w:ascii="Wingdings" w:eastAsia="宋体" w:hAnsi="Wingdings" w:cs="Wingdings"/>
                <w:color w:val="000000"/>
                <w:sz w:val="14"/>
                <w:szCs w:val="14"/>
              </w:rPr>
              <w:t>þ</w:t>
            </w:r>
          </w:p>
        </w:tc>
      </w:tr>
    </w:tbl>
    <w:p w14:paraId="669C5963" w14:textId="77777777" w:rsidR="00066C63" w:rsidRDefault="00066C63">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6778"/>
        <w:gridCol w:w="37"/>
        <w:gridCol w:w="69"/>
        <w:gridCol w:w="1347"/>
        <w:gridCol w:w="36"/>
      </w:tblGrid>
      <w:tr w:rsidR="00066C63" w14:paraId="669C596A" w14:textId="77777777">
        <w:tc>
          <w:tcPr>
            <w:tcW w:w="50" w:type="pct"/>
            <w:shd w:val="clear" w:color="auto" w:fill="auto"/>
          </w:tcPr>
          <w:p w14:paraId="669C5964" w14:textId="77777777" w:rsidR="00066C63" w:rsidRDefault="00066C63">
            <w:pPr>
              <w:rPr>
                <w:rFonts w:ascii="宋体"/>
              </w:rPr>
            </w:pPr>
          </w:p>
        </w:tc>
        <w:tc>
          <w:tcPr>
            <w:tcW w:w="4073" w:type="pct"/>
            <w:shd w:val="clear" w:color="auto" w:fill="auto"/>
          </w:tcPr>
          <w:p w14:paraId="669C5965" w14:textId="77777777" w:rsidR="00066C63" w:rsidRDefault="00066C63">
            <w:pPr>
              <w:rPr>
                <w:rFonts w:ascii="宋体"/>
              </w:rPr>
            </w:pPr>
          </w:p>
        </w:tc>
        <w:tc>
          <w:tcPr>
            <w:tcW w:w="5" w:type="pct"/>
            <w:shd w:val="clear" w:color="auto" w:fill="auto"/>
          </w:tcPr>
          <w:p w14:paraId="669C5966" w14:textId="77777777" w:rsidR="00066C63" w:rsidRDefault="00066C63">
            <w:pPr>
              <w:rPr>
                <w:rFonts w:ascii="宋体"/>
              </w:rPr>
            </w:pPr>
          </w:p>
        </w:tc>
        <w:tc>
          <w:tcPr>
            <w:tcW w:w="50" w:type="pct"/>
            <w:shd w:val="clear" w:color="auto" w:fill="auto"/>
          </w:tcPr>
          <w:p w14:paraId="669C5967" w14:textId="77777777" w:rsidR="00066C63" w:rsidRDefault="00066C63">
            <w:pPr>
              <w:rPr>
                <w:rFonts w:ascii="宋体"/>
              </w:rPr>
            </w:pPr>
          </w:p>
        </w:tc>
        <w:tc>
          <w:tcPr>
            <w:tcW w:w="816" w:type="pct"/>
            <w:shd w:val="clear" w:color="auto" w:fill="auto"/>
          </w:tcPr>
          <w:p w14:paraId="669C5968" w14:textId="77777777" w:rsidR="00066C63" w:rsidRDefault="00066C63">
            <w:pPr>
              <w:rPr>
                <w:rFonts w:ascii="宋体"/>
              </w:rPr>
            </w:pPr>
          </w:p>
        </w:tc>
        <w:tc>
          <w:tcPr>
            <w:tcW w:w="5" w:type="pct"/>
            <w:shd w:val="clear" w:color="auto" w:fill="auto"/>
          </w:tcPr>
          <w:p w14:paraId="669C5969" w14:textId="77777777" w:rsidR="00066C63" w:rsidRDefault="00066C63">
            <w:pPr>
              <w:rPr>
                <w:rFonts w:ascii="宋体"/>
              </w:rPr>
            </w:pPr>
          </w:p>
        </w:tc>
      </w:tr>
      <w:tr w:rsidR="00066C63" w14:paraId="669C596C" w14:textId="77777777">
        <w:tc>
          <w:tcPr>
            <w:tcW w:w="0" w:type="auto"/>
            <w:gridSpan w:val="6"/>
            <w:shd w:val="clear" w:color="auto" w:fill="auto"/>
            <w:tcMar>
              <w:top w:w="40" w:type="dxa"/>
              <w:left w:w="20" w:type="dxa"/>
              <w:bottom w:w="40" w:type="dxa"/>
              <w:right w:w="20" w:type="dxa"/>
            </w:tcMar>
          </w:tcPr>
          <w:p w14:paraId="669C596B" w14:textId="77777777" w:rsidR="00066C63" w:rsidRDefault="009656F6">
            <w:pPr>
              <w:textAlignment w:val="top"/>
            </w:pPr>
            <w:r>
              <w:rPr>
                <w:rFonts w:ascii="Arial" w:eastAsia="宋体" w:hAnsi="Arial" w:cs="Arial"/>
                <w:color w:val="000000"/>
                <w:sz w:val="14"/>
                <w:szCs w:val="14"/>
              </w:rPr>
              <w:t>As of March 26, 2021, the number of shares of the Registrant's Common Stock outstanding were:</w:t>
            </w:r>
          </w:p>
        </w:tc>
      </w:tr>
      <w:tr w:rsidR="00066C63" w14:paraId="669C5970" w14:textId="77777777">
        <w:tc>
          <w:tcPr>
            <w:tcW w:w="0" w:type="auto"/>
            <w:gridSpan w:val="3"/>
            <w:tcBorders>
              <w:top w:val="single" w:sz="8" w:space="0" w:color="E87722"/>
            </w:tcBorders>
            <w:shd w:val="clear" w:color="auto" w:fill="auto"/>
            <w:tcMar>
              <w:top w:w="40" w:type="dxa"/>
              <w:left w:w="20" w:type="dxa"/>
              <w:bottom w:w="40" w:type="dxa"/>
              <w:right w:w="20" w:type="dxa"/>
            </w:tcMar>
          </w:tcPr>
          <w:p w14:paraId="669C596D" w14:textId="77777777" w:rsidR="00066C63" w:rsidRDefault="009656F6">
            <w:pPr>
              <w:textAlignment w:val="top"/>
            </w:pPr>
            <w:r>
              <w:rPr>
                <w:rFonts w:ascii="Arial" w:eastAsia="宋体" w:hAnsi="Arial" w:cs="Arial"/>
                <w:color w:val="000000"/>
                <w:sz w:val="14"/>
                <w:szCs w:val="14"/>
              </w:rPr>
              <w:t>Class A</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596E" w14:textId="77777777" w:rsidR="00066C63" w:rsidRDefault="009656F6">
            <w:pPr>
              <w:jc w:val="right"/>
              <w:textAlignment w:val="bottom"/>
            </w:pPr>
            <w:r>
              <w:rPr>
                <w:rFonts w:ascii="Arial" w:eastAsia="宋体" w:hAnsi="Arial" w:cs="Arial"/>
                <w:color w:val="000000"/>
                <w:sz w:val="14"/>
                <w:szCs w:val="14"/>
              </w:rPr>
              <w:t>305,011,252 </w:t>
            </w:r>
          </w:p>
        </w:tc>
        <w:tc>
          <w:tcPr>
            <w:tcW w:w="0" w:type="auto"/>
            <w:tcBorders>
              <w:top w:val="single" w:sz="8" w:space="0" w:color="E87722"/>
            </w:tcBorders>
            <w:shd w:val="clear" w:color="auto" w:fill="auto"/>
            <w:tcMar>
              <w:top w:w="40" w:type="dxa"/>
              <w:left w:w="0" w:type="dxa"/>
              <w:bottom w:w="40" w:type="dxa"/>
              <w:right w:w="20" w:type="dxa"/>
            </w:tcMar>
            <w:vAlign w:val="bottom"/>
          </w:tcPr>
          <w:p w14:paraId="669C596F" w14:textId="77777777" w:rsidR="00066C63" w:rsidRDefault="00066C63">
            <w:pPr>
              <w:jc w:val="right"/>
              <w:rPr>
                <w:rFonts w:ascii="宋体"/>
              </w:rPr>
            </w:pPr>
          </w:p>
        </w:tc>
      </w:tr>
      <w:tr w:rsidR="00066C63" w14:paraId="669C5974" w14:textId="77777777">
        <w:tc>
          <w:tcPr>
            <w:tcW w:w="0" w:type="auto"/>
            <w:gridSpan w:val="3"/>
            <w:tcBorders>
              <w:top w:val="single" w:sz="8" w:space="0" w:color="808080"/>
            </w:tcBorders>
            <w:shd w:val="clear" w:color="auto" w:fill="auto"/>
            <w:tcMar>
              <w:top w:w="40" w:type="dxa"/>
              <w:left w:w="20" w:type="dxa"/>
              <w:bottom w:w="40" w:type="dxa"/>
              <w:right w:w="20" w:type="dxa"/>
            </w:tcMar>
          </w:tcPr>
          <w:p w14:paraId="669C5971" w14:textId="77777777" w:rsidR="00066C63" w:rsidRDefault="009656F6">
            <w:pPr>
              <w:textAlignment w:val="top"/>
            </w:pPr>
            <w:r>
              <w:rPr>
                <w:rFonts w:ascii="Arial" w:eastAsia="宋体" w:hAnsi="Arial" w:cs="Arial"/>
                <w:color w:val="000000"/>
                <w:sz w:val="14"/>
                <w:szCs w:val="14"/>
              </w:rPr>
              <w:t>Class B</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5972" w14:textId="77777777" w:rsidR="00066C63" w:rsidRDefault="009656F6">
            <w:pPr>
              <w:jc w:val="right"/>
              <w:textAlignment w:val="bottom"/>
            </w:pPr>
            <w:r>
              <w:rPr>
                <w:rFonts w:ascii="Arial" w:eastAsia="宋体" w:hAnsi="Arial" w:cs="Arial"/>
                <w:color w:val="000000"/>
                <w:sz w:val="14"/>
                <w:szCs w:val="14"/>
              </w:rPr>
              <w:t>1,274,955,822 </w:t>
            </w:r>
          </w:p>
        </w:tc>
        <w:tc>
          <w:tcPr>
            <w:tcW w:w="0" w:type="auto"/>
            <w:tcBorders>
              <w:top w:val="single" w:sz="8" w:space="0" w:color="808080"/>
            </w:tcBorders>
            <w:shd w:val="clear" w:color="auto" w:fill="auto"/>
            <w:tcMar>
              <w:top w:w="40" w:type="dxa"/>
              <w:left w:w="0" w:type="dxa"/>
              <w:bottom w:w="40" w:type="dxa"/>
              <w:right w:w="20" w:type="dxa"/>
            </w:tcMar>
            <w:vAlign w:val="bottom"/>
          </w:tcPr>
          <w:p w14:paraId="669C5973" w14:textId="77777777" w:rsidR="00066C63" w:rsidRDefault="00066C63">
            <w:pPr>
              <w:jc w:val="right"/>
              <w:rPr>
                <w:rFonts w:ascii="宋体"/>
              </w:rPr>
            </w:pPr>
          </w:p>
        </w:tc>
      </w:tr>
      <w:tr w:rsidR="00066C63" w14:paraId="669C5978" w14:textId="77777777">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tcPr>
          <w:p w14:paraId="669C5975" w14:textId="77777777" w:rsidR="00066C63" w:rsidRDefault="00066C63">
            <w:pPr>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669C5976" w14:textId="77777777" w:rsidR="00066C63" w:rsidRDefault="009656F6">
            <w:pPr>
              <w:jc w:val="right"/>
              <w:textAlignment w:val="bottom"/>
            </w:pPr>
            <w:r>
              <w:rPr>
                <w:rFonts w:ascii="Arial" w:eastAsia="宋体" w:hAnsi="Arial" w:cs="Arial"/>
                <w:color w:val="000000"/>
                <w:sz w:val="14"/>
                <w:szCs w:val="14"/>
              </w:rPr>
              <w:t>1,579,967,074 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69C5977" w14:textId="77777777" w:rsidR="00066C63" w:rsidRDefault="00066C63">
            <w:pPr>
              <w:jc w:val="right"/>
              <w:rPr>
                <w:rFonts w:ascii="宋体"/>
              </w:rPr>
            </w:pPr>
          </w:p>
        </w:tc>
      </w:tr>
    </w:tbl>
    <w:p w14:paraId="669C5979" w14:textId="77777777" w:rsidR="00066C63" w:rsidRDefault="00066C63">
      <w:pPr>
        <w:spacing w:before="120" w:after="120"/>
      </w:pPr>
    </w:p>
    <w:p w14:paraId="669C597A" w14:textId="77777777" w:rsidR="00066C63" w:rsidRDefault="009656F6">
      <w:r>
        <w:pict w14:anchorId="669C7E2F">
          <v:rect id="_x0000_i1025" style="width:415.3pt;height:1.5pt" o:hralign="center" o:hrstd="t" o:hr="t" fillcolor="#a0a0a0" stroked="f"/>
        </w:pict>
      </w:r>
    </w:p>
    <w:p w14:paraId="669C597B" w14:textId="77777777" w:rsidR="00066C63" w:rsidRDefault="00066C63"/>
    <w:p w14:paraId="669C597C" w14:textId="77777777" w:rsidR="00066C63" w:rsidRDefault="009656F6">
      <w:hyperlink r:id="rId7" w:anchor="i1e99cb26debe49fe8b698d0f0eb1273a_7" w:history="1">
        <w:r>
          <w:rPr>
            <w:rStyle w:val="a5"/>
            <w:rFonts w:ascii="sans-serif" w:eastAsia="sans-serif" w:hAnsi="sans-serif" w:cs="sans-serif"/>
            <w:sz w:val="17"/>
            <w:szCs w:val="17"/>
          </w:rPr>
          <w:t>Table of Contents</w:t>
        </w:r>
      </w:hyperlink>
    </w:p>
    <w:p w14:paraId="669C597D" w14:textId="77777777" w:rsidR="00066C63" w:rsidRDefault="00066C63"/>
    <w:p w14:paraId="669C597E" w14:textId="77777777" w:rsidR="00066C63" w:rsidRDefault="009656F6">
      <w:r>
        <w:rPr>
          <w:rFonts w:ascii="sans-serif" w:eastAsia="sans-serif" w:hAnsi="sans-serif" w:cs="sans-serif"/>
          <w:color w:val="000000"/>
          <w:sz w:val="44"/>
          <w:szCs w:val="44"/>
        </w:rPr>
        <w:t>NIKE, INC.</w:t>
      </w:r>
    </w:p>
    <w:p w14:paraId="669C597F" w14:textId="77777777" w:rsidR="00066C63" w:rsidRDefault="009656F6">
      <w:r>
        <w:rPr>
          <w:rFonts w:ascii="sans-serif" w:eastAsia="sans-serif" w:hAnsi="sans-serif" w:cs="sans-serif"/>
          <w:color w:val="000000"/>
          <w:sz w:val="44"/>
          <w:szCs w:val="44"/>
        </w:rPr>
        <w:t>FORM 10-Q</w:t>
      </w:r>
    </w:p>
    <w:p w14:paraId="669C5980" w14:textId="77777777" w:rsidR="00066C63" w:rsidRDefault="009656F6">
      <w:r>
        <w:rPr>
          <w:rFonts w:ascii="sans-serif" w:eastAsia="sans-serif" w:hAnsi="sans-serif" w:cs="sans-serif"/>
          <w:color w:val="000000"/>
          <w:sz w:val="44"/>
          <w:szCs w:val="44"/>
        </w:rPr>
        <w:t>TABLE OF CONTENTS</w:t>
      </w:r>
    </w:p>
    <w:tbl>
      <w:tblPr>
        <w:tblW w:w="5000" w:type="pct"/>
        <w:tblCellMar>
          <w:top w:w="15" w:type="dxa"/>
          <w:left w:w="15" w:type="dxa"/>
          <w:bottom w:w="15" w:type="dxa"/>
          <w:right w:w="15" w:type="dxa"/>
        </w:tblCellMar>
        <w:tblLook w:val="04A0" w:firstRow="1" w:lastRow="0" w:firstColumn="1" w:lastColumn="0" w:noHBand="0" w:noVBand="1"/>
      </w:tblPr>
      <w:tblGrid>
        <w:gridCol w:w="72"/>
        <w:gridCol w:w="585"/>
        <w:gridCol w:w="37"/>
        <w:gridCol w:w="61"/>
        <w:gridCol w:w="7069"/>
        <w:gridCol w:w="36"/>
        <w:gridCol w:w="84"/>
        <w:gridCol w:w="356"/>
        <w:gridCol w:w="36"/>
      </w:tblGrid>
      <w:tr w:rsidR="00066C63" w14:paraId="669C598A" w14:textId="77777777">
        <w:tc>
          <w:tcPr>
            <w:tcW w:w="50" w:type="pct"/>
            <w:shd w:val="clear" w:color="auto" w:fill="auto"/>
          </w:tcPr>
          <w:p w14:paraId="669C5981" w14:textId="77777777" w:rsidR="00066C63" w:rsidRDefault="00066C63">
            <w:pPr>
              <w:rPr>
                <w:rFonts w:ascii="宋体"/>
              </w:rPr>
            </w:pPr>
          </w:p>
        </w:tc>
        <w:tc>
          <w:tcPr>
            <w:tcW w:w="368" w:type="pct"/>
            <w:shd w:val="clear" w:color="auto" w:fill="auto"/>
          </w:tcPr>
          <w:p w14:paraId="669C5982" w14:textId="77777777" w:rsidR="00066C63" w:rsidRDefault="00066C63">
            <w:pPr>
              <w:rPr>
                <w:rFonts w:ascii="宋体"/>
              </w:rPr>
            </w:pPr>
          </w:p>
        </w:tc>
        <w:tc>
          <w:tcPr>
            <w:tcW w:w="5" w:type="pct"/>
            <w:shd w:val="clear" w:color="auto" w:fill="auto"/>
          </w:tcPr>
          <w:p w14:paraId="669C5983" w14:textId="77777777" w:rsidR="00066C63" w:rsidRDefault="00066C63">
            <w:pPr>
              <w:rPr>
                <w:rFonts w:ascii="宋体"/>
              </w:rPr>
            </w:pPr>
          </w:p>
        </w:tc>
        <w:tc>
          <w:tcPr>
            <w:tcW w:w="50" w:type="pct"/>
            <w:shd w:val="clear" w:color="auto" w:fill="auto"/>
          </w:tcPr>
          <w:p w14:paraId="669C5984" w14:textId="77777777" w:rsidR="00066C63" w:rsidRDefault="00066C63">
            <w:pPr>
              <w:rPr>
                <w:rFonts w:ascii="宋体"/>
              </w:rPr>
            </w:pPr>
          </w:p>
        </w:tc>
        <w:tc>
          <w:tcPr>
            <w:tcW w:w="4251" w:type="pct"/>
            <w:shd w:val="clear" w:color="auto" w:fill="auto"/>
          </w:tcPr>
          <w:p w14:paraId="669C5985" w14:textId="77777777" w:rsidR="00066C63" w:rsidRDefault="00066C63">
            <w:pPr>
              <w:rPr>
                <w:rFonts w:ascii="宋体"/>
              </w:rPr>
            </w:pPr>
          </w:p>
        </w:tc>
        <w:tc>
          <w:tcPr>
            <w:tcW w:w="5" w:type="pct"/>
            <w:shd w:val="clear" w:color="auto" w:fill="auto"/>
          </w:tcPr>
          <w:p w14:paraId="669C5986" w14:textId="77777777" w:rsidR="00066C63" w:rsidRDefault="00066C63">
            <w:pPr>
              <w:rPr>
                <w:rFonts w:ascii="宋体"/>
              </w:rPr>
            </w:pPr>
          </w:p>
        </w:tc>
        <w:tc>
          <w:tcPr>
            <w:tcW w:w="50" w:type="pct"/>
            <w:shd w:val="clear" w:color="auto" w:fill="auto"/>
          </w:tcPr>
          <w:p w14:paraId="669C5987" w14:textId="77777777" w:rsidR="00066C63" w:rsidRDefault="00066C63">
            <w:pPr>
              <w:rPr>
                <w:rFonts w:ascii="宋体"/>
              </w:rPr>
            </w:pPr>
          </w:p>
        </w:tc>
        <w:tc>
          <w:tcPr>
            <w:tcW w:w="214" w:type="pct"/>
            <w:shd w:val="clear" w:color="auto" w:fill="auto"/>
          </w:tcPr>
          <w:p w14:paraId="669C5988" w14:textId="77777777" w:rsidR="00066C63" w:rsidRDefault="00066C63">
            <w:pPr>
              <w:rPr>
                <w:rFonts w:ascii="宋体"/>
              </w:rPr>
            </w:pPr>
          </w:p>
        </w:tc>
        <w:tc>
          <w:tcPr>
            <w:tcW w:w="5" w:type="pct"/>
            <w:shd w:val="clear" w:color="auto" w:fill="auto"/>
          </w:tcPr>
          <w:p w14:paraId="669C5989" w14:textId="77777777" w:rsidR="00066C63" w:rsidRDefault="00066C63">
            <w:pPr>
              <w:rPr>
                <w:rFonts w:ascii="宋体"/>
              </w:rPr>
            </w:pPr>
          </w:p>
        </w:tc>
      </w:tr>
      <w:tr w:rsidR="00066C63" w14:paraId="669C598E" w14:textId="77777777">
        <w:tc>
          <w:tcPr>
            <w:tcW w:w="0" w:type="auto"/>
            <w:gridSpan w:val="3"/>
            <w:shd w:val="clear" w:color="auto" w:fill="auto"/>
            <w:tcMar>
              <w:top w:w="0" w:type="dxa"/>
              <w:left w:w="20" w:type="dxa"/>
              <w:bottom w:w="0" w:type="dxa"/>
              <w:right w:w="20" w:type="dxa"/>
            </w:tcMar>
          </w:tcPr>
          <w:p w14:paraId="669C598B" w14:textId="77777777" w:rsidR="00066C63" w:rsidRDefault="00066C63">
            <w:pPr>
              <w:rPr>
                <w:rFonts w:ascii="宋体"/>
              </w:rPr>
            </w:pPr>
          </w:p>
        </w:tc>
        <w:tc>
          <w:tcPr>
            <w:tcW w:w="0" w:type="auto"/>
            <w:gridSpan w:val="3"/>
            <w:shd w:val="clear" w:color="auto" w:fill="auto"/>
            <w:tcMar>
              <w:top w:w="0" w:type="dxa"/>
              <w:left w:w="20" w:type="dxa"/>
              <w:bottom w:w="0" w:type="dxa"/>
              <w:right w:w="20" w:type="dxa"/>
            </w:tcMar>
          </w:tcPr>
          <w:p w14:paraId="669C598C" w14:textId="77777777" w:rsidR="00066C63" w:rsidRDefault="00066C63">
            <w:pPr>
              <w:rPr>
                <w:rFonts w:ascii="宋体"/>
              </w:rPr>
            </w:pPr>
          </w:p>
        </w:tc>
        <w:tc>
          <w:tcPr>
            <w:tcW w:w="0" w:type="auto"/>
            <w:gridSpan w:val="3"/>
            <w:shd w:val="clear" w:color="auto" w:fill="auto"/>
            <w:tcMar>
              <w:top w:w="40" w:type="dxa"/>
              <w:left w:w="20" w:type="dxa"/>
              <w:bottom w:w="40" w:type="dxa"/>
              <w:right w:w="20" w:type="dxa"/>
            </w:tcMar>
          </w:tcPr>
          <w:p w14:paraId="669C598D" w14:textId="77777777" w:rsidR="00066C63" w:rsidRDefault="009656F6">
            <w:pPr>
              <w:textAlignment w:val="top"/>
            </w:pPr>
            <w:r>
              <w:rPr>
                <w:rFonts w:ascii="sans-serif" w:eastAsia="sans-serif" w:hAnsi="sans-serif" w:cs="sans-serif"/>
                <w:b/>
                <w:bCs/>
                <w:color w:val="000000"/>
                <w:sz w:val="18"/>
                <w:szCs w:val="18"/>
              </w:rPr>
              <w:t>PAGE</w:t>
            </w:r>
          </w:p>
        </w:tc>
      </w:tr>
      <w:tr w:rsidR="00066C63" w14:paraId="669C5991" w14:textId="77777777">
        <w:tc>
          <w:tcPr>
            <w:tcW w:w="0" w:type="auto"/>
            <w:gridSpan w:val="6"/>
            <w:shd w:val="clear" w:color="auto" w:fill="auto"/>
            <w:tcMar>
              <w:top w:w="40" w:type="dxa"/>
              <w:left w:w="20" w:type="dxa"/>
              <w:bottom w:w="40" w:type="dxa"/>
              <w:right w:w="20" w:type="dxa"/>
            </w:tcMar>
            <w:vAlign w:val="bottom"/>
          </w:tcPr>
          <w:p w14:paraId="669C598F" w14:textId="77777777" w:rsidR="00066C63" w:rsidRDefault="009656F6">
            <w:pPr>
              <w:spacing w:before="120" w:after="120"/>
              <w:textAlignment w:val="bottom"/>
            </w:pPr>
            <w:hyperlink r:id="rId8" w:anchor="i1e99cb26debe49fe8b698d0f0eb1273a_10" w:history="1">
              <w:r>
                <w:rPr>
                  <w:rStyle w:val="a5"/>
                  <w:rFonts w:ascii="sans-serif" w:eastAsia="sans-serif" w:hAnsi="sans-serif" w:cs="sans-serif"/>
                  <w:color w:val="E87722"/>
                  <w:u w:val="none"/>
                </w:rPr>
                <w:t>PART I</w:t>
              </w:r>
            </w:hyperlink>
            <w:r>
              <w:rPr>
                <w:rFonts w:ascii="sans-serif" w:eastAsia="sans-serif" w:hAnsi="sans-serif" w:cs="sans-serif"/>
                <w:color w:val="E87722"/>
              </w:rPr>
              <w:t xml:space="preserve"> - FINANCIAL INFORMATION</w:t>
            </w:r>
          </w:p>
        </w:tc>
        <w:tc>
          <w:tcPr>
            <w:tcW w:w="0" w:type="auto"/>
            <w:gridSpan w:val="3"/>
            <w:shd w:val="clear" w:color="auto" w:fill="auto"/>
            <w:tcMar>
              <w:top w:w="40" w:type="dxa"/>
              <w:left w:w="20" w:type="dxa"/>
              <w:bottom w:w="40" w:type="dxa"/>
              <w:right w:w="20" w:type="dxa"/>
            </w:tcMar>
            <w:vAlign w:val="bottom"/>
          </w:tcPr>
          <w:p w14:paraId="669C5990" w14:textId="77777777" w:rsidR="00066C63" w:rsidRDefault="009656F6">
            <w:pPr>
              <w:spacing w:before="120" w:after="120"/>
              <w:textAlignment w:val="bottom"/>
            </w:pPr>
            <w:hyperlink r:id="rId9" w:anchor="i1e99cb26debe49fe8b698d0f0eb1273a_10" w:history="1">
              <w:r>
                <w:rPr>
                  <w:rStyle w:val="a5"/>
                  <w:rFonts w:ascii="sans-serif" w:eastAsia="sans-serif" w:hAnsi="sans-serif" w:cs="sans-serif"/>
                  <w:color w:val="E87722"/>
                  <w:u w:val="none"/>
                </w:rPr>
                <w:t>1</w:t>
              </w:r>
            </w:hyperlink>
          </w:p>
        </w:tc>
      </w:tr>
      <w:tr w:rsidR="00066C63" w14:paraId="669C5995"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5992" w14:textId="77777777" w:rsidR="00066C63" w:rsidRDefault="009656F6">
            <w:pPr>
              <w:textAlignment w:val="bottom"/>
            </w:pPr>
            <w:r>
              <w:rPr>
                <w:rFonts w:ascii="sans-serif" w:eastAsia="sans-serif" w:hAnsi="sans-serif" w:cs="sans-serif"/>
                <w:b/>
                <w:bCs/>
                <w:color w:val="000000"/>
                <w:sz w:val="18"/>
                <w:szCs w:val="18"/>
              </w:rPr>
              <w:t>ITEM 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5993" w14:textId="77777777" w:rsidR="00066C63" w:rsidRDefault="009656F6">
            <w:pPr>
              <w:textAlignment w:val="bottom"/>
            </w:pPr>
            <w:hyperlink r:id="rId10" w:anchor="i1e99cb26debe49fe8b698d0f0eb1273a_13" w:history="1">
              <w:r>
                <w:rPr>
                  <w:rStyle w:val="a5"/>
                  <w:rFonts w:ascii="sans-serif" w:eastAsia="sans-serif" w:hAnsi="sans-serif" w:cs="sans-serif"/>
                  <w:color w:val="000000"/>
                  <w:sz w:val="16"/>
                  <w:szCs w:val="16"/>
                  <w:u w:val="none"/>
                </w:rPr>
                <w:t>Financial Statements</w:t>
              </w:r>
            </w:hyperlink>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5994" w14:textId="77777777" w:rsidR="00066C63" w:rsidRDefault="009656F6">
            <w:pPr>
              <w:textAlignment w:val="bottom"/>
            </w:pPr>
            <w:hyperlink r:id="rId11" w:anchor="i1e99cb26debe49fe8b698d0f0eb1273a_13" w:history="1">
              <w:r>
                <w:rPr>
                  <w:rStyle w:val="a5"/>
                  <w:rFonts w:ascii="sans-serif" w:eastAsia="sans-serif" w:hAnsi="sans-serif" w:cs="sans-serif"/>
                  <w:color w:val="000000"/>
                  <w:sz w:val="16"/>
                  <w:szCs w:val="16"/>
                  <w:u w:val="none"/>
                </w:rPr>
                <w:t>1</w:t>
              </w:r>
            </w:hyperlink>
          </w:p>
        </w:tc>
      </w:tr>
      <w:tr w:rsidR="00066C63" w14:paraId="669C5999" w14:textId="77777777">
        <w:tc>
          <w:tcPr>
            <w:tcW w:w="0" w:type="auto"/>
            <w:gridSpan w:val="3"/>
            <w:shd w:val="clear" w:color="auto" w:fill="auto"/>
            <w:tcMar>
              <w:top w:w="0" w:type="dxa"/>
              <w:left w:w="20" w:type="dxa"/>
              <w:bottom w:w="0" w:type="dxa"/>
              <w:right w:w="20" w:type="dxa"/>
            </w:tcMar>
          </w:tcPr>
          <w:p w14:paraId="669C5996" w14:textId="77777777" w:rsidR="00066C63" w:rsidRDefault="00066C63">
            <w:pPr>
              <w:rPr>
                <w:rFonts w:ascii="宋体"/>
              </w:rPr>
            </w:pP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5997" w14:textId="77777777" w:rsidR="00066C63" w:rsidRDefault="009656F6">
            <w:pPr>
              <w:textAlignment w:val="bottom"/>
            </w:pPr>
            <w:hyperlink r:id="rId12" w:anchor="i1e99cb26debe49fe8b698d0f0eb1273a_16" w:history="1">
              <w:r>
                <w:rPr>
                  <w:rStyle w:val="a5"/>
                  <w:rFonts w:ascii="sans-serif" w:eastAsia="sans-serif" w:hAnsi="sans-serif" w:cs="sans-serif"/>
                  <w:color w:val="000000"/>
                  <w:sz w:val="16"/>
                  <w:szCs w:val="16"/>
                  <w:u w:val="none"/>
                </w:rPr>
                <w:t>Unaudited Condensed Consolidated Statements of Income</w:t>
              </w:r>
            </w:hyperlink>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5998" w14:textId="77777777" w:rsidR="00066C63" w:rsidRDefault="009656F6">
            <w:pPr>
              <w:textAlignment w:val="bottom"/>
            </w:pPr>
            <w:hyperlink r:id="rId13" w:anchor="i1e99cb26debe49fe8b698d0f0eb1273a_16" w:history="1">
              <w:r>
                <w:rPr>
                  <w:rStyle w:val="a5"/>
                  <w:rFonts w:ascii="sans-serif" w:eastAsia="sans-serif" w:hAnsi="sans-serif" w:cs="sans-serif"/>
                  <w:color w:val="000000"/>
                  <w:sz w:val="16"/>
                  <w:szCs w:val="16"/>
                  <w:u w:val="none"/>
                </w:rPr>
                <w:t>1</w:t>
              </w:r>
            </w:hyperlink>
          </w:p>
        </w:tc>
      </w:tr>
      <w:tr w:rsidR="00066C63" w14:paraId="669C599D" w14:textId="77777777">
        <w:tc>
          <w:tcPr>
            <w:tcW w:w="0" w:type="auto"/>
            <w:gridSpan w:val="3"/>
            <w:shd w:val="clear" w:color="auto" w:fill="auto"/>
            <w:tcMar>
              <w:top w:w="0" w:type="dxa"/>
              <w:left w:w="20" w:type="dxa"/>
              <w:bottom w:w="0" w:type="dxa"/>
              <w:right w:w="20" w:type="dxa"/>
            </w:tcMar>
          </w:tcPr>
          <w:p w14:paraId="669C599A" w14:textId="77777777" w:rsidR="00066C63" w:rsidRDefault="00066C63">
            <w:pPr>
              <w:rPr>
                <w:rFonts w:ascii="宋体"/>
              </w:rPr>
            </w:pP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599B" w14:textId="77777777" w:rsidR="00066C63" w:rsidRDefault="009656F6">
            <w:pPr>
              <w:textAlignment w:val="bottom"/>
            </w:pPr>
            <w:hyperlink r:id="rId14" w:anchor="i1e99cb26debe49fe8b698d0f0eb1273a_19" w:history="1">
              <w:r>
                <w:rPr>
                  <w:rStyle w:val="a5"/>
                  <w:rFonts w:ascii="sans-serif" w:eastAsia="sans-serif" w:hAnsi="sans-serif" w:cs="sans-serif"/>
                  <w:color w:val="000000"/>
                  <w:sz w:val="16"/>
                  <w:szCs w:val="16"/>
                  <w:u w:val="none"/>
                </w:rPr>
                <w:t>Unaudited Condensed Consolidated Statements of Comprehensive Income</w:t>
              </w:r>
            </w:hyperlink>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599C" w14:textId="77777777" w:rsidR="00066C63" w:rsidRDefault="009656F6">
            <w:pPr>
              <w:textAlignment w:val="bottom"/>
            </w:pPr>
            <w:hyperlink r:id="rId15" w:anchor="i1e99cb26debe49fe8b698d0f0eb1273a_19" w:history="1">
              <w:r>
                <w:rPr>
                  <w:rStyle w:val="a5"/>
                  <w:rFonts w:ascii="sans-serif" w:eastAsia="sans-serif" w:hAnsi="sans-serif" w:cs="sans-serif"/>
                  <w:color w:val="000000"/>
                  <w:sz w:val="16"/>
                  <w:szCs w:val="16"/>
                  <w:u w:val="none"/>
                </w:rPr>
                <w:t>2</w:t>
              </w:r>
            </w:hyperlink>
          </w:p>
        </w:tc>
      </w:tr>
      <w:tr w:rsidR="00066C63" w14:paraId="669C59A1" w14:textId="77777777">
        <w:tc>
          <w:tcPr>
            <w:tcW w:w="0" w:type="auto"/>
            <w:gridSpan w:val="3"/>
            <w:shd w:val="clear" w:color="auto" w:fill="auto"/>
            <w:tcMar>
              <w:top w:w="0" w:type="dxa"/>
              <w:left w:w="20" w:type="dxa"/>
              <w:bottom w:w="0" w:type="dxa"/>
              <w:right w:w="20" w:type="dxa"/>
            </w:tcMar>
          </w:tcPr>
          <w:p w14:paraId="669C599E" w14:textId="77777777" w:rsidR="00066C63" w:rsidRDefault="00066C63">
            <w:pPr>
              <w:rPr>
                <w:rFonts w:ascii="宋体"/>
              </w:rPr>
            </w:pP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599F" w14:textId="77777777" w:rsidR="00066C63" w:rsidRDefault="009656F6">
            <w:pPr>
              <w:textAlignment w:val="bottom"/>
            </w:pPr>
            <w:hyperlink r:id="rId16" w:anchor="i1e99cb26debe49fe8b698d0f0eb1273a_22" w:history="1">
              <w:r>
                <w:rPr>
                  <w:rStyle w:val="a5"/>
                  <w:rFonts w:ascii="sans-serif" w:eastAsia="sans-serif" w:hAnsi="sans-serif" w:cs="sans-serif"/>
                  <w:color w:val="000000"/>
                  <w:sz w:val="16"/>
                  <w:szCs w:val="16"/>
                  <w:u w:val="none"/>
                </w:rPr>
                <w:t>Unaudited Condensed Consolidated Balance Sheets</w:t>
              </w:r>
            </w:hyperlink>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59A0" w14:textId="77777777" w:rsidR="00066C63" w:rsidRDefault="009656F6">
            <w:pPr>
              <w:textAlignment w:val="bottom"/>
            </w:pPr>
            <w:hyperlink r:id="rId17" w:anchor="i1e99cb26debe49fe8b698d0f0eb1273a_22" w:history="1">
              <w:r>
                <w:rPr>
                  <w:rStyle w:val="a5"/>
                  <w:rFonts w:ascii="sans-serif" w:eastAsia="sans-serif" w:hAnsi="sans-serif" w:cs="sans-serif"/>
                  <w:color w:val="000000"/>
                  <w:sz w:val="16"/>
                  <w:szCs w:val="16"/>
                  <w:u w:val="none"/>
                </w:rPr>
                <w:t>3</w:t>
              </w:r>
            </w:hyperlink>
          </w:p>
        </w:tc>
      </w:tr>
      <w:tr w:rsidR="00066C63" w14:paraId="669C59A5" w14:textId="77777777">
        <w:tc>
          <w:tcPr>
            <w:tcW w:w="0" w:type="auto"/>
            <w:gridSpan w:val="3"/>
            <w:shd w:val="clear" w:color="auto" w:fill="auto"/>
            <w:tcMar>
              <w:top w:w="0" w:type="dxa"/>
              <w:left w:w="20" w:type="dxa"/>
              <w:bottom w:w="0" w:type="dxa"/>
              <w:right w:w="20" w:type="dxa"/>
            </w:tcMar>
          </w:tcPr>
          <w:p w14:paraId="669C59A2" w14:textId="77777777" w:rsidR="00066C63" w:rsidRDefault="00066C63">
            <w:pPr>
              <w:rPr>
                <w:rFonts w:ascii="宋体"/>
              </w:rPr>
            </w:pP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59A3" w14:textId="77777777" w:rsidR="00066C63" w:rsidRDefault="009656F6">
            <w:pPr>
              <w:textAlignment w:val="bottom"/>
            </w:pPr>
            <w:hyperlink r:id="rId18" w:anchor="i1e99cb26debe49fe8b698d0f0eb1273a_25" w:history="1">
              <w:r>
                <w:rPr>
                  <w:rStyle w:val="a5"/>
                  <w:rFonts w:ascii="sans-serif" w:eastAsia="sans-serif" w:hAnsi="sans-serif" w:cs="sans-serif"/>
                  <w:color w:val="000000"/>
                  <w:sz w:val="16"/>
                  <w:szCs w:val="16"/>
                  <w:u w:val="none"/>
                </w:rPr>
                <w:t>Unaudited Condensed Consolidated Statements of Cash Flows</w:t>
              </w:r>
            </w:hyperlink>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59A4" w14:textId="77777777" w:rsidR="00066C63" w:rsidRDefault="009656F6">
            <w:pPr>
              <w:textAlignment w:val="bottom"/>
            </w:pPr>
            <w:hyperlink r:id="rId19" w:anchor="i1e99cb26debe49fe8b698d0f0eb1273a_25" w:history="1">
              <w:r>
                <w:rPr>
                  <w:rStyle w:val="a5"/>
                  <w:rFonts w:ascii="sans-serif" w:eastAsia="sans-serif" w:hAnsi="sans-serif" w:cs="sans-serif"/>
                  <w:color w:val="000000"/>
                  <w:sz w:val="16"/>
                  <w:szCs w:val="16"/>
                  <w:u w:val="none"/>
                </w:rPr>
                <w:t>4</w:t>
              </w:r>
            </w:hyperlink>
          </w:p>
        </w:tc>
      </w:tr>
      <w:tr w:rsidR="00066C63" w14:paraId="669C59A9" w14:textId="77777777">
        <w:tc>
          <w:tcPr>
            <w:tcW w:w="0" w:type="auto"/>
            <w:gridSpan w:val="3"/>
            <w:shd w:val="clear" w:color="auto" w:fill="auto"/>
            <w:tcMar>
              <w:top w:w="0" w:type="dxa"/>
              <w:left w:w="20" w:type="dxa"/>
              <w:bottom w:w="0" w:type="dxa"/>
              <w:right w:w="20" w:type="dxa"/>
            </w:tcMar>
          </w:tcPr>
          <w:p w14:paraId="669C59A6" w14:textId="77777777" w:rsidR="00066C63" w:rsidRDefault="00066C63">
            <w:pPr>
              <w:rPr>
                <w:rFonts w:ascii="宋体"/>
              </w:rPr>
            </w:pP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59A7" w14:textId="77777777" w:rsidR="00066C63" w:rsidRDefault="009656F6">
            <w:pPr>
              <w:textAlignment w:val="bottom"/>
            </w:pPr>
            <w:hyperlink r:id="rId20" w:anchor="i1e99cb26debe49fe8b698d0f0eb1273a_28" w:history="1">
              <w:r>
                <w:rPr>
                  <w:rStyle w:val="a5"/>
                  <w:rFonts w:ascii="sans-serif" w:eastAsia="sans-serif" w:hAnsi="sans-serif" w:cs="sans-serif"/>
                  <w:color w:val="000000"/>
                  <w:sz w:val="16"/>
                  <w:szCs w:val="16"/>
                  <w:u w:val="none"/>
                </w:rPr>
                <w:t>Unaudited Condensed Consolidated Statements of Shareholders' Equity</w:t>
              </w:r>
            </w:hyperlink>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59A8" w14:textId="77777777" w:rsidR="00066C63" w:rsidRDefault="009656F6">
            <w:pPr>
              <w:textAlignment w:val="bottom"/>
            </w:pPr>
            <w:hyperlink r:id="rId21" w:anchor="i1e99cb26debe49fe8b698d0f0eb1273a_28" w:history="1">
              <w:r>
                <w:rPr>
                  <w:rStyle w:val="a5"/>
                  <w:rFonts w:ascii="sans-serif" w:eastAsia="sans-serif" w:hAnsi="sans-serif" w:cs="sans-serif"/>
                  <w:color w:val="000000"/>
                  <w:sz w:val="16"/>
                  <w:szCs w:val="16"/>
                  <w:u w:val="none"/>
                </w:rPr>
                <w:t>5</w:t>
              </w:r>
            </w:hyperlink>
          </w:p>
        </w:tc>
      </w:tr>
      <w:tr w:rsidR="00066C63" w14:paraId="669C59AD" w14:textId="77777777">
        <w:tc>
          <w:tcPr>
            <w:tcW w:w="0" w:type="auto"/>
            <w:gridSpan w:val="3"/>
            <w:shd w:val="clear" w:color="auto" w:fill="auto"/>
            <w:tcMar>
              <w:top w:w="0" w:type="dxa"/>
              <w:left w:w="20" w:type="dxa"/>
              <w:bottom w:w="0" w:type="dxa"/>
              <w:right w:w="20" w:type="dxa"/>
            </w:tcMar>
          </w:tcPr>
          <w:p w14:paraId="669C59AA" w14:textId="77777777" w:rsidR="00066C63" w:rsidRDefault="00066C63">
            <w:pPr>
              <w:rPr>
                <w:rFonts w:ascii="宋体"/>
              </w:rPr>
            </w:pP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59AB" w14:textId="77777777" w:rsidR="00066C63" w:rsidRDefault="009656F6">
            <w:pPr>
              <w:textAlignment w:val="bottom"/>
            </w:pPr>
            <w:hyperlink r:id="rId22" w:anchor="i1e99cb26debe49fe8b698d0f0eb1273a_31" w:history="1">
              <w:r>
                <w:rPr>
                  <w:rStyle w:val="a5"/>
                  <w:rFonts w:ascii="sans-serif" w:eastAsia="sans-serif" w:hAnsi="sans-serif" w:cs="sans-serif"/>
                  <w:color w:val="000000"/>
                  <w:sz w:val="16"/>
                  <w:szCs w:val="16"/>
                  <w:u w:val="none"/>
                </w:rPr>
                <w:t xml:space="preserve">Notes to the Unaudited Condensed Consolidated Financial Statements </w:t>
              </w:r>
            </w:hyperlink>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59AC" w14:textId="77777777" w:rsidR="00066C63" w:rsidRDefault="009656F6">
            <w:pPr>
              <w:textAlignment w:val="bottom"/>
            </w:pPr>
            <w:hyperlink r:id="rId23" w:anchor="i1e99cb26debe49fe8b698d0f0eb1273a_31" w:history="1">
              <w:r>
                <w:rPr>
                  <w:rStyle w:val="a5"/>
                  <w:rFonts w:ascii="sans-serif" w:eastAsia="sans-serif" w:hAnsi="sans-serif" w:cs="sans-serif"/>
                  <w:color w:val="000000"/>
                  <w:sz w:val="16"/>
                  <w:szCs w:val="16"/>
                  <w:u w:val="none"/>
                </w:rPr>
                <w:t>7</w:t>
              </w:r>
            </w:hyperlink>
          </w:p>
        </w:tc>
      </w:tr>
      <w:tr w:rsidR="00066C63" w14:paraId="669C59B1" w14:textId="77777777">
        <w:tc>
          <w:tcPr>
            <w:tcW w:w="0" w:type="auto"/>
            <w:gridSpan w:val="3"/>
            <w:shd w:val="clear" w:color="auto" w:fill="auto"/>
            <w:tcMar>
              <w:top w:w="40" w:type="dxa"/>
              <w:left w:w="20" w:type="dxa"/>
              <w:bottom w:w="40" w:type="dxa"/>
              <w:right w:w="20" w:type="dxa"/>
            </w:tcMar>
            <w:vAlign w:val="bottom"/>
          </w:tcPr>
          <w:p w14:paraId="669C59AE" w14:textId="77777777" w:rsidR="00066C63" w:rsidRDefault="009656F6">
            <w:pPr>
              <w:textAlignment w:val="bottom"/>
            </w:pPr>
            <w:hyperlink r:id="rId24" w:anchor="i1e99cb26debe49fe8b698d0f0eb1273a_139" w:history="1">
              <w:r>
                <w:rPr>
                  <w:rStyle w:val="a5"/>
                  <w:rFonts w:ascii="sans-serif" w:eastAsia="sans-serif" w:hAnsi="sans-serif" w:cs="sans-serif"/>
                  <w:b/>
                  <w:bCs/>
                  <w:color w:val="000000"/>
                  <w:sz w:val="18"/>
                  <w:szCs w:val="18"/>
                  <w:u w:val="none"/>
                </w:rPr>
                <w:t>ITEM </w:t>
              </w:r>
            </w:hyperlink>
            <w:r>
              <w:rPr>
                <w:rFonts w:ascii="sans-serif" w:eastAsia="sans-serif" w:hAnsi="sans-serif" w:cs="sans-serif"/>
                <w:b/>
                <w:bCs/>
                <w:color w:val="000000"/>
                <w:sz w:val="18"/>
                <w:szCs w:val="18"/>
              </w:rPr>
              <w:t>2.</w:t>
            </w: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59AF" w14:textId="77777777" w:rsidR="00066C63" w:rsidRDefault="009656F6">
            <w:pPr>
              <w:textAlignment w:val="bottom"/>
            </w:pPr>
            <w:hyperlink r:id="rId25" w:anchor="i1e99cb26debe49fe8b698d0f0eb1273a_79" w:history="1">
              <w:r>
                <w:rPr>
                  <w:rStyle w:val="a5"/>
                  <w:rFonts w:ascii="sans-serif" w:eastAsia="sans-serif" w:hAnsi="sans-serif" w:cs="sans-serif"/>
                  <w:color w:val="000000"/>
                  <w:sz w:val="16"/>
                  <w:szCs w:val="16"/>
                  <w:u w:val="none"/>
                </w:rPr>
                <w:t>Management's Discussion and Analysis of Financial Condition and Results of Operations</w:t>
              </w:r>
            </w:hyperlink>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59B0" w14:textId="77777777" w:rsidR="00066C63" w:rsidRDefault="009656F6">
            <w:pPr>
              <w:textAlignment w:val="bottom"/>
            </w:pPr>
            <w:hyperlink r:id="rId26" w:anchor="i1e99cb26debe49fe8b698d0f0eb1273a_79" w:history="1">
              <w:r>
                <w:rPr>
                  <w:rStyle w:val="a5"/>
                  <w:rFonts w:ascii="sans-serif" w:eastAsia="sans-serif" w:hAnsi="sans-serif" w:cs="sans-serif"/>
                  <w:color w:val="000000"/>
                  <w:sz w:val="16"/>
                  <w:szCs w:val="16"/>
                  <w:u w:val="none"/>
                </w:rPr>
                <w:t>25</w:t>
              </w:r>
            </w:hyperlink>
          </w:p>
        </w:tc>
      </w:tr>
      <w:tr w:rsidR="00066C63" w14:paraId="669C59B5"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59B2" w14:textId="77777777" w:rsidR="00066C63" w:rsidRDefault="009656F6">
            <w:pPr>
              <w:textAlignment w:val="bottom"/>
            </w:pPr>
            <w:r>
              <w:rPr>
                <w:rFonts w:ascii="sans-serif" w:eastAsia="sans-serif" w:hAnsi="sans-serif" w:cs="sans-serif"/>
                <w:b/>
                <w:bCs/>
                <w:color w:val="000000"/>
                <w:sz w:val="18"/>
                <w:szCs w:val="18"/>
              </w:rPr>
              <w:t>ITEM 3.</w:t>
            </w: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59B3" w14:textId="77777777" w:rsidR="00066C63" w:rsidRDefault="009656F6">
            <w:pPr>
              <w:textAlignment w:val="bottom"/>
            </w:pPr>
            <w:hyperlink r:id="rId27" w:anchor="i1e99cb26debe49fe8b698d0f0eb1273a_124" w:history="1">
              <w:r>
                <w:rPr>
                  <w:rStyle w:val="a5"/>
                  <w:rFonts w:ascii="sans-serif" w:eastAsia="sans-serif" w:hAnsi="sans-serif" w:cs="sans-serif"/>
                  <w:color w:val="000000"/>
                  <w:sz w:val="16"/>
                  <w:szCs w:val="16"/>
                  <w:u w:val="none"/>
                </w:rPr>
                <w:t>Quantitative and Qualitative Disclosures about Market Risk</w:t>
              </w:r>
            </w:hyperlink>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59B4" w14:textId="77777777" w:rsidR="00066C63" w:rsidRDefault="009656F6">
            <w:pPr>
              <w:textAlignment w:val="bottom"/>
            </w:pPr>
            <w:hyperlink r:id="rId28" w:anchor="i1e99cb26debe49fe8b698d0f0eb1273a_124" w:history="1">
              <w:r>
                <w:rPr>
                  <w:rStyle w:val="a5"/>
                  <w:rFonts w:ascii="sans-serif" w:eastAsia="sans-serif" w:hAnsi="sans-serif" w:cs="sans-serif"/>
                  <w:color w:val="000000"/>
                  <w:sz w:val="16"/>
                  <w:szCs w:val="16"/>
                  <w:u w:val="none"/>
                </w:rPr>
                <w:t>44</w:t>
              </w:r>
            </w:hyperlink>
          </w:p>
        </w:tc>
      </w:tr>
      <w:tr w:rsidR="00066C63" w14:paraId="669C59B9"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59B6" w14:textId="77777777" w:rsidR="00066C63" w:rsidRDefault="009656F6">
            <w:pPr>
              <w:textAlignment w:val="bottom"/>
            </w:pPr>
            <w:r>
              <w:rPr>
                <w:rFonts w:ascii="sans-serif" w:eastAsia="sans-serif" w:hAnsi="sans-serif" w:cs="sans-serif"/>
                <w:b/>
                <w:bCs/>
                <w:color w:val="000000"/>
                <w:sz w:val="18"/>
                <w:szCs w:val="18"/>
              </w:rPr>
              <w:t>ITEM 4.</w:t>
            </w:r>
          </w:p>
        </w:tc>
        <w:tc>
          <w:tcPr>
            <w:tcW w:w="0" w:type="auto"/>
            <w:gridSpan w:val="3"/>
            <w:tcBorders>
              <w:top w:val="single" w:sz="8" w:space="0" w:color="808080"/>
              <w:bottom w:val="single" w:sz="8" w:space="0" w:color="808080"/>
            </w:tcBorders>
            <w:shd w:val="clear" w:color="auto" w:fill="auto"/>
            <w:tcMar>
              <w:top w:w="40" w:type="dxa"/>
              <w:left w:w="20" w:type="dxa"/>
              <w:bottom w:w="40" w:type="dxa"/>
              <w:right w:w="20" w:type="dxa"/>
            </w:tcMar>
            <w:vAlign w:val="bottom"/>
          </w:tcPr>
          <w:p w14:paraId="669C59B7" w14:textId="77777777" w:rsidR="00066C63" w:rsidRDefault="009656F6">
            <w:pPr>
              <w:textAlignment w:val="bottom"/>
            </w:pPr>
            <w:hyperlink r:id="rId29" w:anchor="i1e99cb26debe49fe8b698d0f0eb1273a_127" w:history="1">
              <w:r>
                <w:rPr>
                  <w:rStyle w:val="a5"/>
                  <w:rFonts w:ascii="sans-serif" w:eastAsia="sans-serif" w:hAnsi="sans-serif" w:cs="sans-serif"/>
                  <w:color w:val="000000"/>
                  <w:sz w:val="16"/>
                  <w:szCs w:val="16"/>
                  <w:u w:val="none"/>
                </w:rPr>
                <w:t>Controls and Procedures</w:t>
              </w:r>
            </w:hyperlink>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59B8" w14:textId="77777777" w:rsidR="00066C63" w:rsidRDefault="009656F6">
            <w:pPr>
              <w:textAlignment w:val="bottom"/>
            </w:pPr>
            <w:hyperlink r:id="rId30" w:anchor="i1e99cb26debe49fe8b698d0f0eb1273a_127" w:history="1">
              <w:r>
                <w:rPr>
                  <w:rStyle w:val="a5"/>
                  <w:rFonts w:ascii="sans-serif" w:eastAsia="sans-serif" w:hAnsi="sans-serif" w:cs="sans-serif"/>
                  <w:color w:val="000000"/>
                  <w:sz w:val="16"/>
                  <w:szCs w:val="16"/>
                  <w:u w:val="none"/>
                </w:rPr>
                <w:t>44</w:t>
              </w:r>
            </w:hyperlink>
          </w:p>
        </w:tc>
      </w:tr>
      <w:tr w:rsidR="00066C63" w14:paraId="669C59BC" w14:textId="77777777">
        <w:tc>
          <w:tcPr>
            <w:tcW w:w="0" w:type="auto"/>
            <w:gridSpan w:val="6"/>
            <w:tcBorders>
              <w:top w:val="single" w:sz="8" w:space="0" w:color="808080"/>
            </w:tcBorders>
            <w:shd w:val="clear" w:color="auto" w:fill="auto"/>
            <w:tcMar>
              <w:top w:w="40" w:type="dxa"/>
              <w:left w:w="20" w:type="dxa"/>
              <w:bottom w:w="40" w:type="dxa"/>
              <w:right w:w="20" w:type="dxa"/>
            </w:tcMar>
            <w:vAlign w:val="bottom"/>
          </w:tcPr>
          <w:p w14:paraId="669C59BA" w14:textId="77777777" w:rsidR="00066C63" w:rsidRDefault="009656F6">
            <w:pPr>
              <w:spacing w:before="120" w:after="120"/>
              <w:textAlignment w:val="bottom"/>
            </w:pPr>
            <w:hyperlink r:id="rId31" w:anchor="i1e99cb26debe49fe8b698d0f0eb1273a_133" w:history="1">
              <w:r>
                <w:rPr>
                  <w:rStyle w:val="a5"/>
                  <w:rFonts w:ascii="sans-serif" w:eastAsia="sans-serif" w:hAnsi="sans-serif" w:cs="sans-serif"/>
                  <w:color w:val="E87722"/>
                  <w:u w:val="none"/>
                </w:rPr>
                <w:t>PART II</w:t>
              </w:r>
            </w:hyperlink>
            <w:r>
              <w:rPr>
                <w:rFonts w:ascii="sans-serif" w:eastAsia="sans-serif" w:hAnsi="sans-serif" w:cs="sans-serif"/>
                <w:color w:val="E87722"/>
              </w:rPr>
              <w:t xml:space="preserve"> - OTHER INFORMATION</w:t>
            </w: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59BB" w14:textId="77777777" w:rsidR="00066C63" w:rsidRDefault="009656F6">
            <w:pPr>
              <w:spacing w:before="120" w:after="120"/>
              <w:textAlignment w:val="bottom"/>
            </w:pPr>
            <w:hyperlink r:id="rId32" w:anchor="i1e99cb26debe49fe8b698d0f0eb1273a_133" w:history="1">
              <w:r>
                <w:rPr>
                  <w:rStyle w:val="a5"/>
                  <w:rFonts w:ascii="sans-serif" w:eastAsia="sans-serif" w:hAnsi="sans-serif" w:cs="sans-serif"/>
                  <w:color w:val="E87722"/>
                  <w:u w:val="none"/>
                </w:rPr>
                <w:t>46</w:t>
              </w:r>
            </w:hyperlink>
          </w:p>
        </w:tc>
      </w:tr>
      <w:tr w:rsidR="00066C63" w14:paraId="669C59C0"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59BD" w14:textId="77777777" w:rsidR="00066C63" w:rsidRDefault="009656F6">
            <w:pPr>
              <w:textAlignment w:val="bottom"/>
            </w:pPr>
            <w:r>
              <w:rPr>
                <w:rFonts w:ascii="sans-serif" w:eastAsia="sans-serif" w:hAnsi="sans-serif" w:cs="sans-serif"/>
                <w:b/>
                <w:bCs/>
                <w:color w:val="000000"/>
                <w:sz w:val="18"/>
                <w:szCs w:val="18"/>
              </w:rPr>
              <w:t>ITEM 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59BE" w14:textId="77777777" w:rsidR="00066C63" w:rsidRDefault="009656F6">
            <w:pPr>
              <w:textAlignment w:val="bottom"/>
            </w:pPr>
            <w:hyperlink r:id="rId33" w:anchor="i1e99cb26debe49fe8b698d0f0eb1273a_136" w:history="1">
              <w:r>
                <w:rPr>
                  <w:rStyle w:val="a5"/>
                  <w:rFonts w:ascii="sans-serif" w:eastAsia="sans-serif" w:hAnsi="sans-serif" w:cs="sans-serif"/>
                  <w:color w:val="000000"/>
                  <w:sz w:val="16"/>
                  <w:szCs w:val="16"/>
                  <w:u w:val="none"/>
                </w:rPr>
                <w:t>Legal Proceedings</w:t>
              </w:r>
            </w:hyperlink>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59BF" w14:textId="77777777" w:rsidR="00066C63" w:rsidRDefault="009656F6">
            <w:pPr>
              <w:textAlignment w:val="bottom"/>
            </w:pPr>
            <w:hyperlink r:id="rId34" w:anchor="i1e99cb26debe49fe8b698d0f0eb1273a_136" w:history="1">
              <w:r>
                <w:rPr>
                  <w:rStyle w:val="a5"/>
                  <w:rFonts w:ascii="sans-serif" w:eastAsia="sans-serif" w:hAnsi="sans-serif" w:cs="sans-serif"/>
                  <w:color w:val="000000"/>
                  <w:sz w:val="16"/>
                  <w:szCs w:val="16"/>
                  <w:u w:val="none"/>
                </w:rPr>
                <w:t>46</w:t>
              </w:r>
            </w:hyperlink>
          </w:p>
        </w:tc>
      </w:tr>
      <w:tr w:rsidR="00066C63" w14:paraId="669C59C4"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59C1" w14:textId="77777777" w:rsidR="00066C63" w:rsidRDefault="009656F6">
            <w:pPr>
              <w:textAlignment w:val="bottom"/>
            </w:pPr>
            <w:r>
              <w:rPr>
                <w:rFonts w:ascii="sans-serif" w:eastAsia="sans-serif" w:hAnsi="sans-serif" w:cs="sans-serif"/>
                <w:b/>
                <w:bCs/>
                <w:color w:val="000000"/>
                <w:sz w:val="18"/>
                <w:szCs w:val="18"/>
              </w:rPr>
              <w:t>ITEM 1A.</w:t>
            </w: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59C2" w14:textId="77777777" w:rsidR="00066C63" w:rsidRDefault="009656F6">
            <w:pPr>
              <w:textAlignment w:val="bottom"/>
            </w:pPr>
            <w:hyperlink r:id="rId35" w:anchor="i1e99cb26debe49fe8b698d0f0eb1273a_139" w:history="1">
              <w:r>
                <w:rPr>
                  <w:rStyle w:val="a5"/>
                  <w:rFonts w:ascii="sans-serif" w:eastAsia="sans-serif" w:hAnsi="sans-serif" w:cs="sans-serif"/>
                  <w:color w:val="000000"/>
                  <w:sz w:val="16"/>
                  <w:szCs w:val="16"/>
                  <w:u w:val="none"/>
                </w:rPr>
                <w:t>Risk Factors</w:t>
              </w:r>
            </w:hyperlink>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59C3" w14:textId="77777777" w:rsidR="00066C63" w:rsidRDefault="009656F6">
            <w:pPr>
              <w:textAlignment w:val="bottom"/>
            </w:pPr>
            <w:hyperlink r:id="rId36" w:anchor="i1e99cb26debe49fe8b698d0f0eb1273a_139" w:history="1">
              <w:r>
                <w:rPr>
                  <w:rStyle w:val="a5"/>
                  <w:rFonts w:ascii="sans-serif" w:eastAsia="sans-serif" w:hAnsi="sans-serif" w:cs="sans-serif"/>
                  <w:color w:val="000000"/>
                  <w:sz w:val="16"/>
                  <w:szCs w:val="16"/>
                  <w:u w:val="none"/>
                </w:rPr>
                <w:t>46</w:t>
              </w:r>
            </w:hyperlink>
          </w:p>
        </w:tc>
      </w:tr>
      <w:tr w:rsidR="00066C63" w14:paraId="669C59C8"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59C5" w14:textId="77777777" w:rsidR="00066C63" w:rsidRDefault="009656F6">
            <w:pPr>
              <w:textAlignment w:val="bottom"/>
            </w:pPr>
            <w:r>
              <w:rPr>
                <w:rFonts w:ascii="sans-serif" w:eastAsia="sans-serif" w:hAnsi="sans-serif" w:cs="sans-serif"/>
                <w:b/>
                <w:bCs/>
                <w:color w:val="000000"/>
                <w:sz w:val="18"/>
                <w:szCs w:val="18"/>
              </w:rPr>
              <w:t>ITEM 2.</w:t>
            </w: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59C6" w14:textId="77777777" w:rsidR="00066C63" w:rsidRDefault="009656F6">
            <w:pPr>
              <w:textAlignment w:val="bottom"/>
            </w:pPr>
            <w:hyperlink r:id="rId37" w:anchor="i1e99cb26debe49fe8b698d0f0eb1273a_142" w:history="1">
              <w:r>
                <w:rPr>
                  <w:rStyle w:val="a5"/>
                  <w:rFonts w:ascii="sans-serif" w:eastAsia="sans-serif" w:hAnsi="sans-serif" w:cs="sans-serif"/>
                  <w:color w:val="000000"/>
                  <w:sz w:val="16"/>
                  <w:szCs w:val="16"/>
                  <w:u w:val="none"/>
                </w:rPr>
                <w:t>Unregistered Sales of Equity Securities and Use of Proceeds</w:t>
              </w:r>
            </w:hyperlink>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59C7" w14:textId="77777777" w:rsidR="00066C63" w:rsidRDefault="009656F6">
            <w:pPr>
              <w:textAlignment w:val="bottom"/>
            </w:pPr>
            <w:hyperlink r:id="rId38" w:anchor="i1e99cb26debe49fe8b698d0f0eb1273a_142" w:history="1">
              <w:r>
                <w:rPr>
                  <w:rStyle w:val="a5"/>
                  <w:rFonts w:ascii="sans-serif" w:eastAsia="sans-serif" w:hAnsi="sans-serif" w:cs="sans-serif"/>
                  <w:color w:val="000000"/>
                  <w:sz w:val="16"/>
                  <w:szCs w:val="16"/>
                  <w:u w:val="none"/>
                </w:rPr>
                <w:t>47</w:t>
              </w:r>
            </w:hyperlink>
          </w:p>
        </w:tc>
      </w:tr>
      <w:tr w:rsidR="00066C63" w14:paraId="669C59CC"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59C9" w14:textId="77777777" w:rsidR="00066C63" w:rsidRDefault="009656F6">
            <w:pPr>
              <w:textAlignment w:val="bottom"/>
            </w:pPr>
            <w:r>
              <w:rPr>
                <w:rFonts w:ascii="sans-serif" w:eastAsia="sans-serif" w:hAnsi="sans-serif" w:cs="sans-serif"/>
                <w:b/>
                <w:bCs/>
                <w:color w:val="000000"/>
                <w:sz w:val="18"/>
                <w:szCs w:val="18"/>
              </w:rPr>
              <w:t>ITEM 6.</w:t>
            </w: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59CA" w14:textId="77777777" w:rsidR="00066C63" w:rsidRDefault="009656F6">
            <w:pPr>
              <w:textAlignment w:val="bottom"/>
            </w:pPr>
            <w:hyperlink r:id="rId39" w:anchor="i1e99cb26debe49fe8b698d0f0eb1273a_145" w:history="1">
              <w:r>
                <w:rPr>
                  <w:rStyle w:val="a5"/>
                  <w:rFonts w:ascii="sans-serif" w:eastAsia="sans-serif" w:hAnsi="sans-serif" w:cs="sans-serif"/>
                  <w:color w:val="000000"/>
                  <w:sz w:val="16"/>
                  <w:szCs w:val="16"/>
                  <w:u w:val="none"/>
                </w:rPr>
                <w:t>Exhibits</w:t>
              </w:r>
            </w:hyperlink>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59CB" w14:textId="77777777" w:rsidR="00066C63" w:rsidRDefault="009656F6">
            <w:pPr>
              <w:textAlignment w:val="bottom"/>
            </w:pPr>
            <w:hyperlink r:id="rId40" w:anchor="i1e99cb26debe49fe8b698d0f0eb1273a_145" w:history="1">
              <w:r>
                <w:rPr>
                  <w:rStyle w:val="a5"/>
                  <w:rFonts w:ascii="sans-serif" w:eastAsia="sans-serif" w:hAnsi="sans-serif" w:cs="sans-serif"/>
                  <w:color w:val="000000"/>
                  <w:sz w:val="16"/>
                  <w:szCs w:val="16"/>
                  <w:u w:val="none"/>
                </w:rPr>
                <w:t>48</w:t>
              </w:r>
            </w:hyperlink>
          </w:p>
        </w:tc>
      </w:tr>
      <w:tr w:rsidR="00066C63" w14:paraId="669C59D0" w14:textId="77777777">
        <w:tc>
          <w:tcPr>
            <w:tcW w:w="0" w:type="auto"/>
            <w:gridSpan w:val="3"/>
            <w:tcBorders>
              <w:top w:val="single" w:sz="8" w:space="0" w:color="808080"/>
              <w:bottom w:val="single" w:sz="8" w:space="0" w:color="808080"/>
            </w:tcBorders>
            <w:shd w:val="clear" w:color="auto" w:fill="auto"/>
            <w:tcMar>
              <w:top w:w="0" w:type="dxa"/>
              <w:left w:w="20" w:type="dxa"/>
              <w:bottom w:w="0" w:type="dxa"/>
              <w:right w:w="20" w:type="dxa"/>
            </w:tcMar>
          </w:tcPr>
          <w:p w14:paraId="669C59CD" w14:textId="77777777" w:rsidR="00066C63" w:rsidRDefault="00066C63">
            <w:pPr>
              <w:rPr>
                <w:rFonts w:ascii="宋体"/>
              </w:rPr>
            </w:pPr>
          </w:p>
        </w:tc>
        <w:tc>
          <w:tcPr>
            <w:tcW w:w="0" w:type="auto"/>
            <w:gridSpan w:val="3"/>
            <w:tcBorders>
              <w:top w:val="single" w:sz="8" w:space="0" w:color="808080"/>
              <w:bottom w:val="single" w:sz="8" w:space="0" w:color="808080"/>
            </w:tcBorders>
            <w:shd w:val="clear" w:color="auto" w:fill="auto"/>
            <w:tcMar>
              <w:top w:w="40" w:type="dxa"/>
              <w:left w:w="20" w:type="dxa"/>
              <w:bottom w:w="40" w:type="dxa"/>
              <w:right w:w="20" w:type="dxa"/>
            </w:tcMar>
            <w:vAlign w:val="bottom"/>
          </w:tcPr>
          <w:p w14:paraId="669C59CE" w14:textId="77777777" w:rsidR="00066C63" w:rsidRDefault="009656F6">
            <w:pPr>
              <w:textAlignment w:val="bottom"/>
            </w:pPr>
            <w:hyperlink r:id="rId41" w:anchor="i1e99cb26debe49fe8b698d0f0eb1273a_148" w:history="1">
              <w:r>
                <w:rPr>
                  <w:rStyle w:val="a5"/>
                  <w:rFonts w:ascii="sans-serif" w:eastAsia="sans-serif" w:hAnsi="sans-serif" w:cs="sans-serif"/>
                  <w:color w:val="000000"/>
                  <w:sz w:val="16"/>
                  <w:szCs w:val="16"/>
                  <w:u w:val="none"/>
                </w:rPr>
                <w:t>Signatures</w:t>
              </w:r>
            </w:hyperlink>
          </w:p>
        </w:tc>
        <w:tc>
          <w:tcPr>
            <w:tcW w:w="0" w:type="auto"/>
            <w:gridSpan w:val="3"/>
            <w:tcBorders>
              <w:top w:val="single" w:sz="8" w:space="0" w:color="808080"/>
              <w:bottom w:val="single" w:sz="8" w:space="0" w:color="808080"/>
            </w:tcBorders>
            <w:shd w:val="clear" w:color="auto" w:fill="auto"/>
            <w:tcMar>
              <w:top w:w="40" w:type="dxa"/>
              <w:left w:w="20" w:type="dxa"/>
              <w:bottom w:w="40" w:type="dxa"/>
              <w:right w:w="20" w:type="dxa"/>
            </w:tcMar>
            <w:vAlign w:val="bottom"/>
          </w:tcPr>
          <w:p w14:paraId="669C59CF" w14:textId="77777777" w:rsidR="00066C63" w:rsidRDefault="009656F6">
            <w:pPr>
              <w:textAlignment w:val="bottom"/>
            </w:pPr>
            <w:hyperlink r:id="rId42" w:anchor="i1e99cb26debe49fe8b698d0f0eb1273a_148" w:history="1">
              <w:r>
                <w:rPr>
                  <w:rStyle w:val="a5"/>
                  <w:rFonts w:ascii="sans-serif" w:eastAsia="sans-serif" w:hAnsi="sans-serif" w:cs="sans-serif"/>
                  <w:color w:val="000000"/>
                  <w:sz w:val="16"/>
                  <w:szCs w:val="16"/>
                  <w:u w:val="none"/>
                </w:rPr>
                <w:t>49</w:t>
              </w:r>
            </w:hyperlink>
          </w:p>
        </w:tc>
      </w:tr>
    </w:tbl>
    <w:p w14:paraId="669C59D1" w14:textId="77777777" w:rsidR="00066C63" w:rsidRDefault="00066C63">
      <w:pPr>
        <w:spacing w:before="120" w:after="120"/>
      </w:pPr>
    </w:p>
    <w:p w14:paraId="669C59D2" w14:textId="77777777" w:rsidR="00066C63" w:rsidRDefault="009656F6">
      <w:r>
        <w:pict w14:anchorId="669C7E30">
          <v:rect id="_x0000_i1026" style="width:415.3pt;height:1.5pt" o:hralign="center" o:hrstd="t" o:hr="t" fillcolor="#a0a0a0" stroked="f"/>
        </w:pict>
      </w:r>
    </w:p>
    <w:p w14:paraId="669C59D3" w14:textId="77777777" w:rsidR="00066C63" w:rsidRDefault="00066C63"/>
    <w:p w14:paraId="669C59D4" w14:textId="77777777" w:rsidR="00066C63" w:rsidRDefault="009656F6">
      <w:hyperlink r:id="rId43" w:anchor="i1e99cb26debe49fe8b698d0f0eb1273a_7" w:history="1">
        <w:r>
          <w:rPr>
            <w:rStyle w:val="a5"/>
            <w:rFonts w:ascii="sans-serif" w:eastAsia="sans-serif" w:hAnsi="sans-serif" w:cs="sans-serif"/>
            <w:sz w:val="17"/>
            <w:szCs w:val="17"/>
          </w:rPr>
          <w:t>Table of Contents</w:t>
        </w:r>
      </w:hyperlink>
    </w:p>
    <w:p w14:paraId="669C59D5" w14:textId="77777777" w:rsidR="00066C63" w:rsidRDefault="00066C63"/>
    <w:p w14:paraId="669C59D6" w14:textId="77777777" w:rsidR="00066C63" w:rsidRDefault="009656F6">
      <w:r>
        <w:rPr>
          <w:rFonts w:ascii="sans-serif" w:eastAsia="sans-serif" w:hAnsi="sans-serif" w:cs="sans-serif"/>
          <w:color w:val="E87722"/>
          <w:sz w:val="68"/>
          <w:szCs w:val="68"/>
        </w:rPr>
        <w:lastRenderedPageBreak/>
        <w:t>PART I - FINANCIAL INFORMATION</w:t>
      </w:r>
    </w:p>
    <w:p w14:paraId="669C59D7" w14:textId="77777777" w:rsidR="00066C63" w:rsidRDefault="009656F6">
      <w:pPr>
        <w:spacing w:before="120" w:after="300"/>
      </w:pPr>
      <w:r>
        <w:rPr>
          <w:rFonts w:ascii="sans-serif" w:eastAsia="sans-serif" w:hAnsi="sans-serif" w:cs="sans-serif"/>
          <w:color w:val="000000"/>
          <w:sz w:val="44"/>
          <w:szCs w:val="44"/>
        </w:rPr>
        <w:t>ITEM 1. FINANCIAL STATEMENTS</w:t>
      </w:r>
    </w:p>
    <w:p w14:paraId="669C59D8" w14:textId="77777777" w:rsidR="00066C63" w:rsidRDefault="009656F6">
      <w:pPr>
        <w:spacing w:before="300"/>
      </w:pPr>
      <w:r>
        <w:rPr>
          <w:rFonts w:ascii="sans-serif" w:eastAsia="sans-serif" w:hAnsi="sans-serif" w:cs="sans-serif"/>
          <w:b/>
          <w:bCs/>
          <w:color w:val="E87722"/>
          <w:sz w:val="36"/>
          <w:szCs w:val="36"/>
        </w:rPr>
        <w:t>NIKE, INC.</w:t>
      </w:r>
    </w:p>
    <w:p w14:paraId="669C59D9" w14:textId="77777777" w:rsidR="00066C63" w:rsidRDefault="009656F6">
      <w:pPr>
        <w:spacing w:before="120" w:after="120"/>
      </w:pPr>
      <w:r>
        <w:rPr>
          <w:rFonts w:ascii="sans-serif" w:eastAsia="sans-serif" w:hAnsi="sans-serif" w:cs="sans-serif"/>
          <w:b/>
          <w:bCs/>
          <w:color w:val="000000"/>
          <w:sz w:val="28"/>
          <w:szCs w:val="28"/>
        </w:rPr>
        <w:t>UNAUDITED CONDENSED CONSOLIDATED STATEMENTS OF INCOME</w:t>
      </w:r>
    </w:p>
    <w:tbl>
      <w:tblPr>
        <w:tblW w:w="5000" w:type="pct"/>
        <w:tblCellMar>
          <w:top w:w="15" w:type="dxa"/>
          <w:left w:w="15" w:type="dxa"/>
          <w:bottom w:w="15" w:type="dxa"/>
          <w:right w:w="15" w:type="dxa"/>
        </w:tblCellMar>
        <w:tblLook w:val="04A0" w:firstRow="1" w:lastRow="0" w:firstColumn="1" w:lastColumn="0" w:noHBand="0" w:noVBand="1"/>
      </w:tblPr>
      <w:tblGrid>
        <w:gridCol w:w="39"/>
        <w:gridCol w:w="3284"/>
        <w:gridCol w:w="38"/>
        <w:gridCol w:w="116"/>
        <w:gridCol w:w="1037"/>
        <w:gridCol w:w="37"/>
        <w:gridCol w:w="116"/>
        <w:gridCol w:w="1037"/>
        <w:gridCol w:w="37"/>
        <w:gridCol w:w="36"/>
        <w:gridCol w:w="36"/>
        <w:gridCol w:w="36"/>
        <w:gridCol w:w="116"/>
        <w:gridCol w:w="1000"/>
        <w:gridCol w:w="37"/>
        <w:gridCol w:w="116"/>
        <w:gridCol w:w="1037"/>
        <w:gridCol w:w="37"/>
        <w:gridCol w:w="36"/>
        <w:gridCol w:w="36"/>
        <w:gridCol w:w="36"/>
        <w:gridCol w:w="36"/>
      </w:tblGrid>
      <w:tr w:rsidR="00066C63" w14:paraId="669C59EE" w14:textId="77777777">
        <w:tc>
          <w:tcPr>
            <w:tcW w:w="50" w:type="pct"/>
            <w:shd w:val="clear" w:color="auto" w:fill="auto"/>
          </w:tcPr>
          <w:p w14:paraId="669C59DA" w14:textId="77777777" w:rsidR="00066C63" w:rsidRDefault="00066C63">
            <w:pPr>
              <w:rPr>
                <w:rFonts w:ascii="宋体"/>
              </w:rPr>
            </w:pPr>
          </w:p>
        </w:tc>
        <w:tc>
          <w:tcPr>
            <w:tcW w:w="2036" w:type="pct"/>
            <w:shd w:val="clear" w:color="auto" w:fill="auto"/>
          </w:tcPr>
          <w:p w14:paraId="669C59DB" w14:textId="77777777" w:rsidR="00066C63" w:rsidRDefault="00066C63">
            <w:pPr>
              <w:rPr>
                <w:rFonts w:ascii="宋体"/>
              </w:rPr>
            </w:pPr>
          </w:p>
        </w:tc>
        <w:tc>
          <w:tcPr>
            <w:tcW w:w="5" w:type="pct"/>
            <w:shd w:val="clear" w:color="auto" w:fill="auto"/>
          </w:tcPr>
          <w:p w14:paraId="669C59DC" w14:textId="77777777" w:rsidR="00066C63" w:rsidRDefault="00066C63">
            <w:pPr>
              <w:rPr>
                <w:rFonts w:ascii="宋体"/>
              </w:rPr>
            </w:pPr>
          </w:p>
        </w:tc>
        <w:tc>
          <w:tcPr>
            <w:tcW w:w="50" w:type="pct"/>
            <w:shd w:val="clear" w:color="auto" w:fill="auto"/>
          </w:tcPr>
          <w:p w14:paraId="669C59DD" w14:textId="77777777" w:rsidR="00066C63" w:rsidRDefault="00066C63">
            <w:pPr>
              <w:rPr>
                <w:rFonts w:ascii="宋体"/>
              </w:rPr>
            </w:pPr>
          </w:p>
        </w:tc>
        <w:tc>
          <w:tcPr>
            <w:tcW w:w="662" w:type="pct"/>
            <w:shd w:val="clear" w:color="auto" w:fill="auto"/>
          </w:tcPr>
          <w:p w14:paraId="669C59DE" w14:textId="77777777" w:rsidR="00066C63" w:rsidRDefault="00066C63">
            <w:pPr>
              <w:rPr>
                <w:rFonts w:ascii="宋体"/>
              </w:rPr>
            </w:pPr>
          </w:p>
        </w:tc>
        <w:tc>
          <w:tcPr>
            <w:tcW w:w="5" w:type="pct"/>
            <w:shd w:val="clear" w:color="auto" w:fill="auto"/>
          </w:tcPr>
          <w:p w14:paraId="669C59DF" w14:textId="77777777" w:rsidR="00066C63" w:rsidRDefault="00066C63">
            <w:pPr>
              <w:rPr>
                <w:rFonts w:ascii="宋体"/>
              </w:rPr>
            </w:pPr>
          </w:p>
        </w:tc>
        <w:tc>
          <w:tcPr>
            <w:tcW w:w="50" w:type="pct"/>
            <w:shd w:val="clear" w:color="auto" w:fill="auto"/>
          </w:tcPr>
          <w:p w14:paraId="669C59E0" w14:textId="77777777" w:rsidR="00066C63" w:rsidRDefault="00066C63">
            <w:pPr>
              <w:rPr>
                <w:rFonts w:ascii="宋体"/>
              </w:rPr>
            </w:pPr>
          </w:p>
        </w:tc>
        <w:tc>
          <w:tcPr>
            <w:tcW w:w="662" w:type="pct"/>
            <w:shd w:val="clear" w:color="auto" w:fill="auto"/>
          </w:tcPr>
          <w:p w14:paraId="669C59E1" w14:textId="77777777" w:rsidR="00066C63" w:rsidRDefault="00066C63">
            <w:pPr>
              <w:rPr>
                <w:rFonts w:ascii="宋体"/>
              </w:rPr>
            </w:pPr>
          </w:p>
        </w:tc>
        <w:tc>
          <w:tcPr>
            <w:tcW w:w="5" w:type="pct"/>
            <w:shd w:val="clear" w:color="auto" w:fill="auto"/>
          </w:tcPr>
          <w:p w14:paraId="669C59E2" w14:textId="77777777" w:rsidR="00066C63" w:rsidRDefault="00066C63">
            <w:pPr>
              <w:rPr>
                <w:rFonts w:ascii="宋体"/>
              </w:rPr>
            </w:pPr>
          </w:p>
        </w:tc>
        <w:tc>
          <w:tcPr>
            <w:tcW w:w="5" w:type="pct"/>
            <w:shd w:val="clear" w:color="auto" w:fill="auto"/>
          </w:tcPr>
          <w:p w14:paraId="669C59E3" w14:textId="77777777" w:rsidR="00066C63" w:rsidRDefault="00066C63">
            <w:pPr>
              <w:rPr>
                <w:rFonts w:ascii="宋体"/>
              </w:rPr>
            </w:pPr>
          </w:p>
        </w:tc>
        <w:tc>
          <w:tcPr>
            <w:tcW w:w="28" w:type="pct"/>
            <w:shd w:val="clear" w:color="auto" w:fill="auto"/>
          </w:tcPr>
          <w:p w14:paraId="669C59E4" w14:textId="77777777" w:rsidR="00066C63" w:rsidRDefault="00066C63">
            <w:pPr>
              <w:rPr>
                <w:rFonts w:ascii="宋体"/>
              </w:rPr>
            </w:pPr>
          </w:p>
        </w:tc>
        <w:tc>
          <w:tcPr>
            <w:tcW w:w="5" w:type="pct"/>
            <w:shd w:val="clear" w:color="auto" w:fill="auto"/>
          </w:tcPr>
          <w:p w14:paraId="669C59E5" w14:textId="77777777" w:rsidR="00066C63" w:rsidRDefault="00066C63">
            <w:pPr>
              <w:rPr>
                <w:rFonts w:ascii="宋体"/>
              </w:rPr>
            </w:pPr>
          </w:p>
        </w:tc>
        <w:tc>
          <w:tcPr>
            <w:tcW w:w="50" w:type="pct"/>
            <w:shd w:val="clear" w:color="auto" w:fill="auto"/>
          </w:tcPr>
          <w:p w14:paraId="669C59E6" w14:textId="77777777" w:rsidR="00066C63" w:rsidRDefault="00066C63">
            <w:pPr>
              <w:rPr>
                <w:rFonts w:ascii="宋体"/>
              </w:rPr>
            </w:pPr>
          </w:p>
        </w:tc>
        <w:tc>
          <w:tcPr>
            <w:tcW w:w="662" w:type="pct"/>
            <w:shd w:val="clear" w:color="auto" w:fill="auto"/>
          </w:tcPr>
          <w:p w14:paraId="669C59E7" w14:textId="77777777" w:rsidR="00066C63" w:rsidRDefault="00066C63">
            <w:pPr>
              <w:rPr>
                <w:rFonts w:ascii="宋体"/>
              </w:rPr>
            </w:pPr>
          </w:p>
        </w:tc>
        <w:tc>
          <w:tcPr>
            <w:tcW w:w="5" w:type="pct"/>
            <w:shd w:val="clear" w:color="auto" w:fill="auto"/>
          </w:tcPr>
          <w:p w14:paraId="669C59E8" w14:textId="77777777" w:rsidR="00066C63" w:rsidRDefault="00066C63">
            <w:pPr>
              <w:rPr>
                <w:rFonts w:ascii="宋体"/>
              </w:rPr>
            </w:pPr>
          </w:p>
        </w:tc>
        <w:tc>
          <w:tcPr>
            <w:tcW w:w="50" w:type="pct"/>
            <w:shd w:val="clear" w:color="auto" w:fill="auto"/>
          </w:tcPr>
          <w:p w14:paraId="669C59E9" w14:textId="77777777" w:rsidR="00066C63" w:rsidRDefault="00066C63">
            <w:pPr>
              <w:rPr>
                <w:rFonts w:ascii="宋体"/>
              </w:rPr>
            </w:pPr>
          </w:p>
        </w:tc>
        <w:tc>
          <w:tcPr>
            <w:tcW w:w="662" w:type="pct"/>
            <w:shd w:val="clear" w:color="auto" w:fill="auto"/>
          </w:tcPr>
          <w:p w14:paraId="669C59EA" w14:textId="77777777" w:rsidR="00066C63" w:rsidRDefault="00066C63">
            <w:pPr>
              <w:rPr>
                <w:rFonts w:ascii="宋体"/>
              </w:rPr>
            </w:pPr>
          </w:p>
        </w:tc>
        <w:tc>
          <w:tcPr>
            <w:tcW w:w="5" w:type="pct"/>
            <w:shd w:val="clear" w:color="auto" w:fill="auto"/>
          </w:tcPr>
          <w:p w14:paraId="669C59EB" w14:textId="77777777" w:rsidR="00066C63" w:rsidRDefault="00066C63">
            <w:pPr>
              <w:rPr>
                <w:rFonts w:ascii="宋体"/>
              </w:rPr>
            </w:pPr>
          </w:p>
        </w:tc>
        <w:tc>
          <w:tcPr>
            <w:tcW w:w="0" w:type="auto"/>
            <w:shd w:val="clear" w:color="auto" w:fill="auto"/>
          </w:tcPr>
          <w:p w14:paraId="669C59EC" w14:textId="77777777" w:rsidR="00066C63" w:rsidRDefault="00066C63">
            <w:pPr>
              <w:rPr>
                <w:rFonts w:ascii="宋体"/>
                <w:vanish/>
              </w:rPr>
            </w:pPr>
          </w:p>
        </w:tc>
        <w:tc>
          <w:tcPr>
            <w:tcW w:w="0" w:type="auto"/>
            <w:gridSpan w:val="3"/>
            <w:shd w:val="clear" w:color="auto" w:fill="auto"/>
          </w:tcPr>
          <w:p w14:paraId="669C59ED" w14:textId="77777777" w:rsidR="00066C63" w:rsidRDefault="00066C63">
            <w:pPr>
              <w:rPr>
                <w:rFonts w:ascii="宋体"/>
                <w:vanish/>
              </w:rPr>
            </w:pPr>
          </w:p>
        </w:tc>
      </w:tr>
      <w:tr w:rsidR="00066C63" w14:paraId="669C59F7" w14:textId="77777777">
        <w:tc>
          <w:tcPr>
            <w:tcW w:w="0" w:type="auto"/>
            <w:gridSpan w:val="3"/>
            <w:shd w:val="clear" w:color="auto" w:fill="auto"/>
            <w:tcMar>
              <w:top w:w="0" w:type="dxa"/>
              <w:left w:w="20" w:type="dxa"/>
              <w:bottom w:w="0" w:type="dxa"/>
              <w:right w:w="20" w:type="dxa"/>
            </w:tcMar>
          </w:tcPr>
          <w:p w14:paraId="669C59EF" w14:textId="77777777" w:rsidR="00066C63" w:rsidRDefault="00066C63">
            <w:pPr>
              <w:rPr>
                <w:rFonts w:ascii="宋体"/>
              </w:rPr>
            </w:pPr>
          </w:p>
        </w:tc>
        <w:tc>
          <w:tcPr>
            <w:tcW w:w="0" w:type="auto"/>
            <w:gridSpan w:val="6"/>
            <w:shd w:val="clear" w:color="auto" w:fill="auto"/>
            <w:tcMar>
              <w:top w:w="40" w:type="dxa"/>
              <w:left w:w="20" w:type="dxa"/>
              <w:bottom w:w="40" w:type="dxa"/>
              <w:right w:w="20" w:type="dxa"/>
            </w:tcMar>
            <w:vAlign w:val="bottom"/>
          </w:tcPr>
          <w:p w14:paraId="669C59F0" w14:textId="77777777" w:rsidR="00066C63" w:rsidRDefault="009656F6">
            <w:pPr>
              <w:jc w:val="center"/>
              <w:textAlignment w:val="bottom"/>
            </w:pPr>
            <w:r>
              <w:rPr>
                <w:rFonts w:ascii="sans-serif" w:eastAsia="sans-serif" w:hAnsi="sans-serif" w:cs="sans-serif"/>
                <w:b/>
                <w:bCs/>
                <w:color w:val="000000"/>
                <w:sz w:val="17"/>
                <w:szCs w:val="17"/>
              </w:rPr>
              <w:t>THREE</w:t>
            </w:r>
            <w:r>
              <w:rPr>
                <w:rFonts w:ascii="sans-serif" w:eastAsia="sans-serif" w:hAnsi="sans-serif" w:cs="sans-serif"/>
                <w:b/>
                <w:bCs/>
                <w:color w:val="000000"/>
                <w:sz w:val="17"/>
                <w:szCs w:val="17"/>
              </w:rPr>
              <w:t xml:space="preserve"> MONTHS ENDED </w:t>
            </w:r>
          </w:p>
        </w:tc>
        <w:tc>
          <w:tcPr>
            <w:tcW w:w="0" w:type="auto"/>
            <w:gridSpan w:val="3"/>
            <w:shd w:val="clear" w:color="auto" w:fill="auto"/>
            <w:tcMar>
              <w:top w:w="0" w:type="dxa"/>
              <w:left w:w="20" w:type="dxa"/>
              <w:bottom w:w="0" w:type="dxa"/>
              <w:right w:w="20" w:type="dxa"/>
            </w:tcMar>
          </w:tcPr>
          <w:p w14:paraId="669C59F1" w14:textId="77777777" w:rsidR="00066C63" w:rsidRDefault="00066C63">
            <w:pPr>
              <w:rPr>
                <w:rFonts w:ascii="宋体"/>
              </w:rPr>
            </w:pPr>
          </w:p>
        </w:tc>
        <w:tc>
          <w:tcPr>
            <w:tcW w:w="0" w:type="auto"/>
            <w:gridSpan w:val="6"/>
            <w:shd w:val="clear" w:color="auto" w:fill="auto"/>
            <w:tcMar>
              <w:top w:w="40" w:type="dxa"/>
              <w:left w:w="20" w:type="dxa"/>
              <w:bottom w:w="40" w:type="dxa"/>
              <w:right w:w="20" w:type="dxa"/>
            </w:tcMar>
            <w:vAlign w:val="bottom"/>
          </w:tcPr>
          <w:p w14:paraId="669C59F2" w14:textId="77777777" w:rsidR="00066C63" w:rsidRDefault="009656F6">
            <w:pPr>
              <w:jc w:val="center"/>
              <w:textAlignment w:val="bottom"/>
            </w:pPr>
            <w:r>
              <w:rPr>
                <w:rFonts w:ascii="sans-serif" w:eastAsia="sans-serif" w:hAnsi="sans-serif" w:cs="sans-serif"/>
                <w:b/>
                <w:bCs/>
                <w:color w:val="000000"/>
                <w:sz w:val="17"/>
                <w:szCs w:val="17"/>
              </w:rPr>
              <w:t xml:space="preserve">NINE MONTHS ENDED </w:t>
            </w:r>
          </w:p>
        </w:tc>
        <w:tc>
          <w:tcPr>
            <w:tcW w:w="0" w:type="auto"/>
            <w:shd w:val="clear" w:color="auto" w:fill="auto"/>
          </w:tcPr>
          <w:p w14:paraId="669C59F3" w14:textId="77777777" w:rsidR="00066C63" w:rsidRDefault="00066C63">
            <w:pPr>
              <w:rPr>
                <w:rFonts w:ascii="宋体"/>
                <w:vanish/>
              </w:rPr>
            </w:pPr>
          </w:p>
        </w:tc>
        <w:tc>
          <w:tcPr>
            <w:tcW w:w="0" w:type="auto"/>
            <w:shd w:val="clear" w:color="auto" w:fill="auto"/>
          </w:tcPr>
          <w:p w14:paraId="669C59F4" w14:textId="77777777" w:rsidR="00066C63" w:rsidRDefault="00066C63">
            <w:pPr>
              <w:rPr>
                <w:rFonts w:ascii="宋体"/>
              </w:rPr>
            </w:pPr>
          </w:p>
        </w:tc>
        <w:tc>
          <w:tcPr>
            <w:tcW w:w="0" w:type="auto"/>
            <w:shd w:val="clear" w:color="auto" w:fill="auto"/>
          </w:tcPr>
          <w:p w14:paraId="669C59F5" w14:textId="77777777" w:rsidR="00066C63" w:rsidRDefault="00066C63">
            <w:pPr>
              <w:rPr>
                <w:rFonts w:ascii="宋体"/>
              </w:rPr>
            </w:pPr>
          </w:p>
        </w:tc>
        <w:tc>
          <w:tcPr>
            <w:tcW w:w="0" w:type="auto"/>
            <w:shd w:val="clear" w:color="auto" w:fill="auto"/>
          </w:tcPr>
          <w:p w14:paraId="669C59F6" w14:textId="77777777" w:rsidR="00066C63" w:rsidRDefault="00066C63">
            <w:pPr>
              <w:rPr>
                <w:rFonts w:ascii="宋体"/>
              </w:rPr>
            </w:pPr>
          </w:p>
        </w:tc>
      </w:tr>
      <w:tr w:rsidR="00066C63" w14:paraId="669C5A00" w14:textId="77777777">
        <w:tc>
          <w:tcPr>
            <w:tcW w:w="0" w:type="auto"/>
            <w:gridSpan w:val="3"/>
            <w:shd w:val="clear" w:color="auto" w:fill="auto"/>
            <w:tcMar>
              <w:top w:w="40" w:type="dxa"/>
              <w:left w:w="20" w:type="dxa"/>
              <w:bottom w:w="40" w:type="dxa"/>
              <w:right w:w="20" w:type="dxa"/>
            </w:tcMar>
            <w:vAlign w:val="bottom"/>
          </w:tcPr>
          <w:p w14:paraId="669C59F8" w14:textId="77777777" w:rsidR="00066C63" w:rsidRDefault="009656F6">
            <w:pPr>
              <w:textAlignment w:val="bottom"/>
            </w:pPr>
            <w:r>
              <w:rPr>
                <w:rFonts w:ascii="Arial Narrow" w:eastAsia="Arial Narrow" w:hAnsi="Arial Narrow" w:cs="Arial Narrow"/>
                <w:i/>
                <w:iCs/>
                <w:color w:val="000000"/>
                <w:sz w:val="17"/>
                <w:szCs w:val="17"/>
              </w:rPr>
              <w:t>(In millions, except per share data)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59F9" w14:textId="77777777" w:rsidR="00066C63" w:rsidRDefault="009656F6">
            <w:pPr>
              <w:jc w:val="center"/>
              <w:textAlignment w:val="bottom"/>
            </w:pPr>
            <w:r>
              <w:rPr>
                <w:rFonts w:ascii="sans-serif" w:eastAsia="sans-serif" w:hAnsi="sans-serif" w:cs="sans-serif"/>
                <w:b/>
                <w:bCs/>
                <w:color w:val="000000"/>
                <w:sz w:val="17"/>
                <w:szCs w:val="17"/>
              </w:rPr>
              <w:t>FEBRUARY 28, 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59FA" w14:textId="77777777" w:rsidR="00066C63" w:rsidRDefault="009656F6">
            <w:pPr>
              <w:jc w:val="center"/>
              <w:textAlignment w:val="bottom"/>
            </w:pPr>
            <w:r>
              <w:rPr>
                <w:rFonts w:ascii="sans-serif" w:eastAsia="sans-serif" w:hAnsi="sans-serif" w:cs="sans-serif"/>
                <w:b/>
                <w:bCs/>
                <w:color w:val="000000"/>
                <w:sz w:val="17"/>
                <w:szCs w:val="17"/>
              </w:rPr>
              <w:t>FEBRUARY 29, 2020</w:t>
            </w:r>
          </w:p>
        </w:tc>
        <w:tc>
          <w:tcPr>
            <w:tcW w:w="0" w:type="auto"/>
            <w:gridSpan w:val="3"/>
            <w:shd w:val="clear" w:color="auto" w:fill="auto"/>
            <w:tcMar>
              <w:top w:w="0" w:type="dxa"/>
              <w:left w:w="20" w:type="dxa"/>
              <w:bottom w:w="0" w:type="dxa"/>
              <w:right w:w="20" w:type="dxa"/>
            </w:tcMar>
          </w:tcPr>
          <w:p w14:paraId="669C59FB" w14:textId="77777777" w:rsidR="00066C63" w:rsidRDefault="00066C63">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59FC" w14:textId="77777777" w:rsidR="00066C63" w:rsidRDefault="009656F6">
            <w:pPr>
              <w:jc w:val="center"/>
              <w:textAlignment w:val="bottom"/>
            </w:pPr>
            <w:r>
              <w:rPr>
                <w:rFonts w:ascii="sans-serif" w:eastAsia="sans-serif" w:hAnsi="sans-serif" w:cs="sans-serif"/>
                <w:b/>
                <w:bCs/>
                <w:color w:val="000000"/>
                <w:sz w:val="17"/>
                <w:szCs w:val="17"/>
              </w:rPr>
              <w:t>FEBRUARY 28, 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59FD" w14:textId="77777777" w:rsidR="00066C63" w:rsidRDefault="009656F6">
            <w:pPr>
              <w:jc w:val="center"/>
              <w:textAlignment w:val="bottom"/>
            </w:pPr>
            <w:r>
              <w:rPr>
                <w:rFonts w:ascii="sans-serif" w:eastAsia="sans-serif" w:hAnsi="sans-serif" w:cs="sans-serif"/>
                <w:b/>
                <w:bCs/>
                <w:color w:val="000000"/>
                <w:sz w:val="17"/>
                <w:szCs w:val="17"/>
              </w:rPr>
              <w:t>FEBRUARY 29, 2020</w:t>
            </w:r>
          </w:p>
        </w:tc>
        <w:tc>
          <w:tcPr>
            <w:tcW w:w="0" w:type="auto"/>
            <w:shd w:val="clear" w:color="auto" w:fill="auto"/>
          </w:tcPr>
          <w:p w14:paraId="669C59FE" w14:textId="77777777" w:rsidR="00066C63" w:rsidRDefault="00066C63">
            <w:pPr>
              <w:rPr>
                <w:rFonts w:ascii="宋体"/>
                <w:vanish/>
              </w:rPr>
            </w:pPr>
          </w:p>
        </w:tc>
        <w:tc>
          <w:tcPr>
            <w:tcW w:w="0" w:type="auto"/>
            <w:gridSpan w:val="3"/>
            <w:shd w:val="clear" w:color="auto" w:fill="auto"/>
          </w:tcPr>
          <w:p w14:paraId="669C59FF" w14:textId="77777777" w:rsidR="00066C63" w:rsidRDefault="00066C63">
            <w:pPr>
              <w:rPr>
                <w:rFonts w:ascii="宋体"/>
                <w:vanish/>
              </w:rPr>
            </w:pPr>
          </w:p>
        </w:tc>
      </w:tr>
      <w:tr w:rsidR="00066C63" w14:paraId="669C5A11"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5A01" w14:textId="77777777" w:rsidR="00066C63" w:rsidRDefault="009656F6">
            <w:pPr>
              <w:textAlignment w:val="bottom"/>
            </w:pPr>
            <w:r>
              <w:rPr>
                <w:rFonts w:ascii="Arial" w:eastAsia="宋体" w:hAnsi="Arial" w:cs="Arial"/>
                <w:color w:val="000000"/>
                <w:sz w:val="17"/>
                <w:szCs w:val="17"/>
              </w:rPr>
              <w:t>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669C5A02"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669C5A03" w14:textId="77777777" w:rsidR="00066C63" w:rsidRDefault="009656F6">
            <w:pPr>
              <w:jc w:val="right"/>
              <w:textAlignment w:val="bottom"/>
            </w:pPr>
            <w:r>
              <w:rPr>
                <w:rFonts w:ascii="Arial" w:eastAsia="宋体" w:hAnsi="Arial" w:cs="Arial"/>
                <w:color w:val="000000"/>
                <w:sz w:val="17"/>
                <w:szCs w:val="17"/>
              </w:rPr>
              <w:t>10,357 </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5A04" w14:textId="77777777" w:rsidR="00066C63" w:rsidRDefault="00066C63">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69C5A05"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69C5A06" w14:textId="77777777" w:rsidR="00066C63" w:rsidRDefault="009656F6">
            <w:pPr>
              <w:jc w:val="right"/>
              <w:textAlignment w:val="bottom"/>
            </w:pPr>
            <w:r>
              <w:rPr>
                <w:rFonts w:ascii="Arial" w:eastAsia="宋体" w:hAnsi="Arial" w:cs="Arial"/>
                <w:color w:val="000000"/>
                <w:sz w:val="17"/>
                <w:szCs w:val="17"/>
              </w:rPr>
              <w:t>10,104 </w:t>
            </w:r>
          </w:p>
        </w:tc>
        <w:tc>
          <w:tcPr>
            <w:tcW w:w="0" w:type="auto"/>
            <w:tcBorders>
              <w:top w:val="single" w:sz="8" w:space="0" w:color="E87722"/>
            </w:tcBorders>
            <w:shd w:val="clear" w:color="auto" w:fill="auto"/>
            <w:tcMar>
              <w:top w:w="40" w:type="dxa"/>
              <w:left w:w="0" w:type="dxa"/>
              <w:bottom w:w="40" w:type="dxa"/>
              <w:right w:w="20" w:type="dxa"/>
            </w:tcMar>
            <w:vAlign w:val="bottom"/>
          </w:tcPr>
          <w:p w14:paraId="669C5A07" w14:textId="77777777" w:rsidR="00066C63" w:rsidRDefault="00066C63">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5A08" w14:textId="77777777" w:rsidR="00066C63" w:rsidRDefault="00066C63">
            <w:pPr>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669C5A09"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669C5A0A" w14:textId="77777777" w:rsidR="00066C63" w:rsidRDefault="009656F6">
            <w:pPr>
              <w:jc w:val="right"/>
              <w:textAlignment w:val="bottom"/>
            </w:pPr>
            <w:r>
              <w:rPr>
                <w:rFonts w:ascii="Arial" w:eastAsia="宋体" w:hAnsi="Arial" w:cs="Arial"/>
                <w:color w:val="000000"/>
                <w:sz w:val="17"/>
                <w:szCs w:val="17"/>
              </w:rPr>
              <w:t>32,194 </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5A0B" w14:textId="77777777" w:rsidR="00066C63" w:rsidRDefault="00066C63">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69C5A0C"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69C5A0D" w14:textId="77777777" w:rsidR="00066C63" w:rsidRDefault="009656F6">
            <w:pPr>
              <w:jc w:val="right"/>
              <w:textAlignment w:val="bottom"/>
            </w:pPr>
            <w:r>
              <w:rPr>
                <w:rFonts w:ascii="Arial" w:eastAsia="宋体" w:hAnsi="Arial" w:cs="Arial"/>
                <w:color w:val="000000"/>
                <w:sz w:val="17"/>
                <w:szCs w:val="17"/>
              </w:rPr>
              <w:t>31,090 </w:t>
            </w:r>
          </w:p>
        </w:tc>
        <w:tc>
          <w:tcPr>
            <w:tcW w:w="0" w:type="auto"/>
            <w:tcBorders>
              <w:top w:val="single" w:sz="8" w:space="0" w:color="E87722"/>
            </w:tcBorders>
            <w:shd w:val="clear" w:color="auto" w:fill="auto"/>
            <w:tcMar>
              <w:top w:w="40" w:type="dxa"/>
              <w:left w:w="0" w:type="dxa"/>
              <w:bottom w:w="40" w:type="dxa"/>
              <w:right w:w="20" w:type="dxa"/>
            </w:tcMar>
            <w:vAlign w:val="bottom"/>
          </w:tcPr>
          <w:p w14:paraId="669C5A0E" w14:textId="77777777" w:rsidR="00066C63" w:rsidRDefault="00066C63">
            <w:pPr>
              <w:jc w:val="right"/>
              <w:rPr>
                <w:rFonts w:ascii="宋体"/>
              </w:rPr>
            </w:pPr>
          </w:p>
        </w:tc>
        <w:tc>
          <w:tcPr>
            <w:tcW w:w="0" w:type="auto"/>
            <w:shd w:val="clear" w:color="auto" w:fill="auto"/>
          </w:tcPr>
          <w:p w14:paraId="669C5A0F" w14:textId="77777777" w:rsidR="00066C63" w:rsidRDefault="00066C63">
            <w:pPr>
              <w:rPr>
                <w:rFonts w:ascii="宋体"/>
                <w:vanish/>
              </w:rPr>
            </w:pPr>
          </w:p>
        </w:tc>
        <w:tc>
          <w:tcPr>
            <w:tcW w:w="0" w:type="auto"/>
            <w:gridSpan w:val="3"/>
            <w:shd w:val="clear" w:color="auto" w:fill="auto"/>
          </w:tcPr>
          <w:p w14:paraId="669C5A10" w14:textId="77777777" w:rsidR="00066C63" w:rsidRDefault="00066C63">
            <w:pPr>
              <w:rPr>
                <w:rFonts w:ascii="宋体"/>
                <w:vanish/>
              </w:rPr>
            </w:pPr>
          </w:p>
        </w:tc>
      </w:tr>
      <w:tr w:rsidR="00066C63" w14:paraId="669C5A1E"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5A12" w14:textId="77777777" w:rsidR="00066C63" w:rsidRDefault="009656F6">
            <w:pPr>
              <w:textAlignment w:val="bottom"/>
            </w:pPr>
            <w:r>
              <w:rPr>
                <w:rFonts w:ascii="Arial" w:eastAsia="宋体" w:hAnsi="Arial" w:cs="Arial"/>
                <w:color w:val="000000"/>
                <w:sz w:val="17"/>
                <w:szCs w:val="17"/>
              </w:rPr>
              <w:t>Cost of sales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5A13" w14:textId="77777777" w:rsidR="00066C63" w:rsidRDefault="009656F6">
            <w:pPr>
              <w:jc w:val="right"/>
              <w:textAlignment w:val="bottom"/>
            </w:pPr>
            <w:r>
              <w:rPr>
                <w:rFonts w:ascii="Arial" w:eastAsia="宋体" w:hAnsi="Arial" w:cs="Arial"/>
                <w:color w:val="000000"/>
                <w:sz w:val="17"/>
                <w:szCs w:val="17"/>
              </w:rPr>
              <w:t>5,638 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5A14"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5A15" w14:textId="77777777" w:rsidR="00066C63" w:rsidRDefault="009656F6">
            <w:pPr>
              <w:jc w:val="right"/>
              <w:textAlignment w:val="bottom"/>
            </w:pPr>
            <w:r>
              <w:rPr>
                <w:rFonts w:ascii="Arial" w:eastAsia="宋体" w:hAnsi="Arial" w:cs="Arial"/>
                <w:color w:val="000000"/>
                <w:sz w:val="17"/>
                <w:szCs w:val="17"/>
              </w:rPr>
              <w:t>5,631 </w:t>
            </w:r>
          </w:p>
        </w:tc>
        <w:tc>
          <w:tcPr>
            <w:tcW w:w="0" w:type="auto"/>
            <w:tcBorders>
              <w:top w:val="single" w:sz="8" w:space="0" w:color="808080"/>
            </w:tcBorders>
            <w:shd w:val="clear" w:color="auto" w:fill="auto"/>
            <w:tcMar>
              <w:top w:w="40" w:type="dxa"/>
              <w:left w:w="0" w:type="dxa"/>
              <w:bottom w:w="40" w:type="dxa"/>
              <w:right w:w="20" w:type="dxa"/>
            </w:tcMar>
            <w:vAlign w:val="bottom"/>
          </w:tcPr>
          <w:p w14:paraId="669C5A16" w14:textId="77777777" w:rsidR="00066C63" w:rsidRDefault="00066C63">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5A17" w14:textId="77777777" w:rsidR="00066C63" w:rsidRDefault="00066C63">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5A18" w14:textId="77777777" w:rsidR="00066C63" w:rsidRDefault="009656F6">
            <w:pPr>
              <w:jc w:val="right"/>
              <w:textAlignment w:val="bottom"/>
            </w:pPr>
            <w:r>
              <w:rPr>
                <w:rFonts w:ascii="Arial" w:eastAsia="宋体" w:hAnsi="Arial" w:cs="Arial"/>
                <w:color w:val="000000"/>
                <w:sz w:val="17"/>
                <w:szCs w:val="17"/>
              </w:rPr>
              <w:t>17,887 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5A19"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5A1A" w14:textId="77777777" w:rsidR="00066C63" w:rsidRDefault="009656F6">
            <w:pPr>
              <w:jc w:val="right"/>
              <w:textAlignment w:val="bottom"/>
            </w:pPr>
            <w:r>
              <w:rPr>
                <w:rFonts w:ascii="Arial" w:eastAsia="宋体" w:hAnsi="Arial" w:cs="Arial"/>
                <w:color w:val="000000"/>
                <w:sz w:val="17"/>
                <w:szCs w:val="17"/>
              </w:rPr>
              <w:t>17,202 </w:t>
            </w:r>
          </w:p>
        </w:tc>
        <w:tc>
          <w:tcPr>
            <w:tcW w:w="0" w:type="auto"/>
            <w:tcBorders>
              <w:top w:val="single" w:sz="8" w:space="0" w:color="808080"/>
            </w:tcBorders>
            <w:shd w:val="clear" w:color="auto" w:fill="auto"/>
            <w:tcMar>
              <w:top w:w="40" w:type="dxa"/>
              <w:left w:w="0" w:type="dxa"/>
              <w:bottom w:w="40" w:type="dxa"/>
              <w:right w:w="20" w:type="dxa"/>
            </w:tcMar>
            <w:vAlign w:val="bottom"/>
          </w:tcPr>
          <w:p w14:paraId="669C5A1B" w14:textId="77777777" w:rsidR="00066C63" w:rsidRDefault="00066C63">
            <w:pPr>
              <w:jc w:val="right"/>
              <w:rPr>
                <w:rFonts w:ascii="宋体"/>
              </w:rPr>
            </w:pPr>
          </w:p>
        </w:tc>
        <w:tc>
          <w:tcPr>
            <w:tcW w:w="0" w:type="auto"/>
            <w:shd w:val="clear" w:color="auto" w:fill="auto"/>
          </w:tcPr>
          <w:p w14:paraId="669C5A1C" w14:textId="77777777" w:rsidR="00066C63" w:rsidRDefault="00066C63">
            <w:pPr>
              <w:rPr>
                <w:rFonts w:ascii="宋体"/>
                <w:vanish/>
              </w:rPr>
            </w:pPr>
          </w:p>
        </w:tc>
        <w:tc>
          <w:tcPr>
            <w:tcW w:w="0" w:type="auto"/>
            <w:gridSpan w:val="3"/>
            <w:shd w:val="clear" w:color="auto" w:fill="auto"/>
          </w:tcPr>
          <w:p w14:paraId="669C5A1D" w14:textId="77777777" w:rsidR="00066C63" w:rsidRDefault="00066C63">
            <w:pPr>
              <w:rPr>
                <w:rFonts w:ascii="宋体"/>
                <w:vanish/>
              </w:rPr>
            </w:pPr>
          </w:p>
        </w:tc>
      </w:tr>
      <w:tr w:rsidR="00066C63" w14:paraId="669C5A2B" w14:textId="77777777">
        <w:tc>
          <w:tcPr>
            <w:tcW w:w="0" w:type="auto"/>
            <w:gridSpan w:val="3"/>
            <w:tcBorders>
              <w:top w:val="single" w:sz="8" w:space="0" w:color="E87722"/>
            </w:tcBorders>
            <w:shd w:val="clear" w:color="auto" w:fill="auto"/>
            <w:tcMar>
              <w:top w:w="40" w:type="dxa"/>
              <w:left w:w="155" w:type="dxa"/>
              <w:bottom w:w="40" w:type="dxa"/>
              <w:right w:w="20" w:type="dxa"/>
            </w:tcMar>
            <w:vAlign w:val="bottom"/>
          </w:tcPr>
          <w:p w14:paraId="669C5A1F" w14:textId="77777777" w:rsidR="00066C63" w:rsidRDefault="009656F6">
            <w:pPr>
              <w:textAlignment w:val="bottom"/>
            </w:pPr>
            <w:r>
              <w:rPr>
                <w:rFonts w:ascii="Arial" w:eastAsia="宋体" w:hAnsi="Arial" w:cs="Arial"/>
                <w:color w:val="000000"/>
                <w:sz w:val="17"/>
                <w:szCs w:val="17"/>
              </w:rPr>
              <w:t>Gross profit</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669C5A20" w14:textId="77777777" w:rsidR="00066C63" w:rsidRDefault="009656F6">
            <w:pPr>
              <w:jc w:val="right"/>
              <w:textAlignment w:val="bottom"/>
            </w:pPr>
            <w:r>
              <w:rPr>
                <w:rFonts w:ascii="Arial" w:eastAsia="宋体" w:hAnsi="Arial" w:cs="Arial"/>
                <w:color w:val="000000"/>
                <w:sz w:val="17"/>
                <w:szCs w:val="17"/>
              </w:rPr>
              <w:t>4,719 </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5A21" w14:textId="77777777" w:rsidR="00066C63" w:rsidRDefault="00066C63">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5A22" w14:textId="77777777" w:rsidR="00066C63" w:rsidRDefault="009656F6">
            <w:pPr>
              <w:jc w:val="right"/>
              <w:textAlignment w:val="bottom"/>
            </w:pPr>
            <w:r>
              <w:rPr>
                <w:rFonts w:ascii="Arial" w:eastAsia="宋体" w:hAnsi="Arial" w:cs="Arial"/>
                <w:color w:val="000000"/>
                <w:sz w:val="17"/>
                <w:szCs w:val="17"/>
              </w:rPr>
              <w:t>4,473 </w:t>
            </w:r>
          </w:p>
        </w:tc>
        <w:tc>
          <w:tcPr>
            <w:tcW w:w="0" w:type="auto"/>
            <w:tcBorders>
              <w:top w:val="single" w:sz="8" w:space="0" w:color="E87722"/>
            </w:tcBorders>
            <w:shd w:val="clear" w:color="auto" w:fill="auto"/>
            <w:tcMar>
              <w:top w:w="40" w:type="dxa"/>
              <w:left w:w="0" w:type="dxa"/>
              <w:bottom w:w="40" w:type="dxa"/>
              <w:right w:w="20" w:type="dxa"/>
            </w:tcMar>
            <w:vAlign w:val="bottom"/>
          </w:tcPr>
          <w:p w14:paraId="669C5A23" w14:textId="77777777" w:rsidR="00066C63" w:rsidRDefault="00066C63">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5A24" w14:textId="77777777" w:rsidR="00066C63" w:rsidRDefault="00066C63">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669C5A25" w14:textId="77777777" w:rsidR="00066C63" w:rsidRDefault="009656F6">
            <w:pPr>
              <w:jc w:val="right"/>
              <w:textAlignment w:val="bottom"/>
            </w:pPr>
            <w:r>
              <w:rPr>
                <w:rFonts w:ascii="Arial" w:eastAsia="宋体" w:hAnsi="Arial" w:cs="Arial"/>
                <w:color w:val="000000"/>
                <w:sz w:val="17"/>
                <w:szCs w:val="17"/>
              </w:rPr>
              <w:t>14,307 </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5A26" w14:textId="77777777" w:rsidR="00066C63" w:rsidRDefault="00066C63">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5A27" w14:textId="77777777" w:rsidR="00066C63" w:rsidRDefault="009656F6">
            <w:pPr>
              <w:jc w:val="right"/>
              <w:textAlignment w:val="bottom"/>
            </w:pPr>
            <w:r>
              <w:rPr>
                <w:rFonts w:ascii="Arial" w:eastAsia="宋体" w:hAnsi="Arial" w:cs="Arial"/>
                <w:color w:val="000000"/>
                <w:sz w:val="17"/>
                <w:szCs w:val="17"/>
              </w:rPr>
              <w:t>13,888 </w:t>
            </w:r>
          </w:p>
        </w:tc>
        <w:tc>
          <w:tcPr>
            <w:tcW w:w="0" w:type="auto"/>
            <w:tcBorders>
              <w:top w:val="single" w:sz="8" w:space="0" w:color="E87722"/>
            </w:tcBorders>
            <w:shd w:val="clear" w:color="auto" w:fill="auto"/>
            <w:tcMar>
              <w:top w:w="40" w:type="dxa"/>
              <w:left w:w="0" w:type="dxa"/>
              <w:bottom w:w="40" w:type="dxa"/>
              <w:right w:w="20" w:type="dxa"/>
            </w:tcMar>
            <w:vAlign w:val="bottom"/>
          </w:tcPr>
          <w:p w14:paraId="669C5A28" w14:textId="77777777" w:rsidR="00066C63" w:rsidRDefault="00066C63">
            <w:pPr>
              <w:jc w:val="right"/>
              <w:rPr>
                <w:rFonts w:ascii="宋体"/>
              </w:rPr>
            </w:pPr>
          </w:p>
        </w:tc>
        <w:tc>
          <w:tcPr>
            <w:tcW w:w="0" w:type="auto"/>
            <w:shd w:val="clear" w:color="auto" w:fill="auto"/>
          </w:tcPr>
          <w:p w14:paraId="669C5A29" w14:textId="77777777" w:rsidR="00066C63" w:rsidRDefault="00066C63">
            <w:pPr>
              <w:rPr>
                <w:rFonts w:ascii="宋体"/>
                <w:vanish/>
              </w:rPr>
            </w:pPr>
          </w:p>
        </w:tc>
        <w:tc>
          <w:tcPr>
            <w:tcW w:w="0" w:type="auto"/>
            <w:gridSpan w:val="3"/>
            <w:shd w:val="clear" w:color="auto" w:fill="auto"/>
          </w:tcPr>
          <w:p w14:paraId="669C5A2A" w14:textId="77777777" w:rsidR="00066C63" w:rsidRDefault="00066C63">
            <w:pPr>
              <w:rPr>
                <w:rFonts w:ascii="宋体"/>
                <w:vanish/>
              </w:rPr>
            </w:pPr>
          </w:p>
        </w:tc>
      </w:tr>
      <w:tr w:rsidR="00066C63" w14:paraId="669C5A38"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5A2C" w14:textId="77777777" w:rsidR="00066C63" w:rsidRDefault="009656F6">
            <w:pPr>
              <w:textAlignment w:val="bottom"/>
            </w:pPr>
            <w:r>
              <w:rPr>
                <w:rFonts w:ascii="Arial" w:eastAsia="宋体" w:hAnsi="Arial" w:cs="Arial"/>
                <w:color w:val="000000"/>
                <w:sz w:val="17"/>
                <w:szCs w:val="17"/>
              </w:rPr>
              <w:t>Demand creation expense</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5A2D" w14:textId="77777777" w:rsidR="00066C63" w:rsidRDefault="009656F6">
            <w:pPr>
              <w:jc w:val="right"/>
              <w:textAlignment w:val="bottom"/>
            </w:pPr>
            <w:r>
              <w:rPr>
                <w:rFonts w:ascii="Arial" w:eastAsia="宋体" w:hAnsi="Arial" w:cs="Arial"/>
                <w:color w:val="000000"/>
                <w:sz w:val="17"/>
                <w:szCs w:val="17"/>
              </w:rPr>
              <w:t>711 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5A2E"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5A2F" w14:textId="77777777" w:rsidR="00066C63" w:rsidRDefault="009656F6">
            <w:pPr>
              <w:jc w:val="right"/>
              <w:textAlignment w:val="bottom"/>
            </w:pPr>
            <w:r>
              <w:rPr>
                <w:rFonts w:ascii="Arial" w:eastAsia="宋体" w:hAnsi="Arial" w:cs="Arial"/>
                <w:color w:val="000000"/>
                <w:sz w:val="17"/>
                <w:szCs w:val="17"/>
              </w:rPr>
              <w:t>870 </w:t>
            </w:r>
          </w:p>
        </w:tc>
        <w:tc>
          <w:tcPr>
            <w:tcW w:w="0" w:type="auto"/>
            <w:tcBorders>
              <w:top w:val="single" w:sz="8" w:space="0" w:color="808080"/>
            </w:tcBorders>
            <w:shd w:val="clear" w:color="auto" w:fill="auto"/>
            <w:tcMar>
              <w:top w:w="40" w:type="dxa"/>
              <w:left w:w="0" w:type="dxa"/>
              <w:bottom w:w="40" w:type="dxa"/>
              <w:right w:w="20" w:type="dxa"/>
            </w:tcMar>
            <w:vAlign w:val="bottom"/>
          </w:tcPr>
          <w:p w14:paraId="669C5A30" w14:textId="77777777" w:rsidR="00066C63" w:rsidRDefault="00066C63">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5A31" w14:textId="77777777" w:rsidR="00066C63" w:rsidRDefault="00066C63">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5A32" w14:textId="77777777" w:rsidR="00066C63" w:rsidRDefault="009656F6">
            <w:pPr>
              <w:jc w:val="right"/>
              <w:textAlignment w:val="bottom"/>
            </w:pPr>
            <w:r>
              <w:rPr>
                <w:rFonts w:ascii="Arial" w:eastAsia="宋体" w:hAnsi="Arial" w:cs="Arial"/>
                <w:color w:val="000000"/>
                <w:sz w:val="17"/>
                <w:szCs w:val="17"/>
              </w:rPr>
              <w:t>2,117 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5A33"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5A34" w14:textId="77777777" w:rsidR="00066C63" w:rsidRDefault="009656F6">
            <w:pPr>
              <w:jc w:val="right"/>
              <w:textAlignment w:val="bottom"/>
            </w:pPr>
            <w:r>
              <w:rPr>
                <w:rFonts w:ascii="Arial" w:eastAsia="宋体" w:hAnsi="Arial" w:cs="Arial"/>
                <w:color w:val="000000"/>
                <w:sz w:val="17"/>
                <w:szCs w:val="17"/>
              </w:rPr>
              <w:t>2,769 </w:t>
            </w:r>
          </w:p>
        </w:tc>
        <w:tc>
          <w:tcPr>
            <w:tcW w:w="0" w:type="auto"/>
            <w:tcBorders>
              <w:top w:val="single" w:sz="8" w:space="0" w:color="808080"/>
            </w:tcBorders>
            <w:shd w:val="clear" w:color="auto" w:fill="auto"/>
            <w:tcMar>
              <w:top w:w="40" w:type="dxa"/>
              <w:left w:w="0" w:type="dxa"/>
              <w:bottom w:w="40" w:type="dxa"/>
              <w:right w:w="20" w:type="dxa"/>
            </w:tcMar>
            <w:vAlign w:val="bottom"/>
          </w:tcPr>
          <w:p w14:paraId="669C5A35" w14:textId="77777777" w:rsidR="00066C63" w:rsidRDefault="00066C63">
            <w:pPr>
              <w:jc w:val="right"/>
              <w:rPr>
                <w:rFonts w:ascii="宋体"/>
              </w:rPr>
            </w:pPr>
          </w:p>
        </w:tc>
        <w:tc>
          <w:tcPr>
            <w:tcW w:w="0" w:type="auto"/>
            <w:shd w:val="clear" w:color="auto" w:fill="auto"/>
          </w:tcPr>
          <w:p w14:paraId="669C5A36" w14:textId="77777777" w:rsidR="00066C63" w:rsidRDefault="00066C63">
            <w:pPr>
              <w:rPr>
                <w:rFonts w:ascii="宋体"/>
                <w:vanish/>
              </w:rPr>
            </w:pPr>
          </w:p>
        </w:tc>
        <w:tc>
          <w:tcPr>
            <w:tcW w:w="0" w:type="auto"/>
            <w:gridSpan w:val="3"/>
            <w:shd w:val="clear" w:color="auto" w:fill="auto"/>
          </w:tcPr>
          <w:p w14:paraId="669C5A37" w14:textId="77777777" w:rsidR="00066C63" w:rsidRDefault="00066C63">
            <w:pPr>
              <w:rPr>
                <w:rFonts w:ascii="宋体"/>
                <w:vanish/>
              </w:rPr>
            </w:pPr>
          </w:p>
        </w:tc>
      </w:tr>
      <w:tr w:rsidR="00066C63" w14:paraId="669C5A45"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5A39" w14:textId="77777777" w:rsidR="00066C63" w:rsidRDefault="009656F6">
            <w:pPr>
              <w:textAlignment w:val="bottom"/>
            </w:pPr>
            <w:r>
              <w:rPr>
                <w:rFonts w:ascii="Arial" w:eastAsia="宋体" w:hAnsi="Arial" w:cs="Arial"/>
                <w:color w:val="000000"/>
                <w:sz w:val="17"/>
                <w:szCs w:val="17"/>
              </w:rPr>
              <w:t>Operating overhead expense</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5A3A" w14:textId="77777777" w:rsidR="00066C63" w:rsidRDefault="009656F6">
            <w:pPr>
              <w:jc w:val="right"/>
              <w:textAlignment w:val="bottom"/>
            </w:pPr>
            <w:r>
              <w:rPr>
                <w:rFonts w:ascii="Arial" w:eastAsia="宋体" w:hAnsi="Arial" w:cs="Arial"/>
                <w:color w:val="000000"/>
                <w:sz w:val="17"/>
                <w:szCs w:val="17"/>
              </w:rPr>
              <w:t>2,330 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5A3B"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5A3C" w14:textId="77777777" w:rsidR="00066C63" w:rsidRDefault="009656F6">
            <w:pPr>
              <w:jc w:val="right"/>
              <w:textAlignment w:val="bottom"/>
            </w:pPr>
            <w:r>
              <w:rPr>
                <w:rFonts w:ascii="Arial" w:eastAsia="宋体" w:hAnsi="Arial" w:cs="Arial"/>
                <w:color w:val="000000"/>
                <w:sz w:val="17"/>
                <w:szCs w:val="17"/>
              </w:rPr>
              <w:t>2,413 </w:t>
            </w:r>
          </w:p>
        </w:tc>
        <w:tc>
          <w:tcPr>
            <w:tcW w:w="0" w:type="auto"/>
            <w:tcBorders>
              <w:top w:val="single" w:sz="8" w:space="0" w:color="808080"/>
            </w:tcBorders>
            <w:shd w:val="clear" w:color="auto" w:fill="auto"/>
            <w:tcMar>
              <w:top w:w="40" w:type="dxa"/>
              <w:left w:w="0" w:type="dxa"/>
              <w:bottom w:w="40" w:type="dxa"/>
              <w:right w:w="20" w:type="dxa"/>
            </w:tcMar>
            <w:vAlign w:val="bottom"/>
          </w:tcPr>
          <w:p w14:paraId="669C5A3D" w14:textId="77777777" w:rsidR="00066C63" w:rsidRDefault="00066C63">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5A3E" w14:textId="77777777" w:rsidR="00066C63" w:rsidRDefault="00066C63">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5A3F" w14:textId="77777777" w:rsidR="00066C63" w:rsidRDefault="009656F6">
            <w:pPr>
              <w:jc w:val="right"/>
              <w:textAlignment w:val="bottom"/>
            </w:pPr>
            <w:r>
              <w:rPr>
                <w:rFonts w:ascii="Arial" w:eastAsia="宋体" w:hAnsi="Arial" w:cs="Arial"/>
                <w:color w:val="000000"/>
                <w:sz w:val="17"/>
                <w:szCs w:val="17"/>
              </w:rPr>
              <w:t>7,166 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5A40"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5A41" w14:textId="77777777" w:rsidR="00066C63" w:rsidRDefault="009656F6">
            <w:pPr>
              <w:jc w:val="right"/>
              <w:textAlignment w:val="bottom"/>
            </w:pPr>
            <w:r>
              <w:rPr>
                <w:rFonts w:ascii="Arial" w:eastAsia="宋体" w:hAnsi="Arial" w:cs="Arial"/>
                <w:color w:val="000000"/>
                <w:sz w:val="17"/>
                <w:szCs w:val="17"/>
              </w:rPr>
              <w:t>7,166 </w:t>
            </w:r>
          </w:p>
        </w:tc>
        <w:tc>
          <w:tcPr>
            <w:tcW w:w="0" w:type="auto"/>
            <w:tcBorders>
              <w:top w:val="single" w:sz="8" w:space="0" w:color="808080"/>
            </w:tcBorders>
            <w:shd w:val="clear" w:color="auto" w:fill="auto"/>
            <w:tcMar>
              <w:top w:w="40" w:type="dxa"/>
              <w:left w:w="0" w:type="dxa"/>
              <w:bottom w:w="40" w:type="dxa"/>
              <w:right w:w="20" w:type="dxa"/>
            </w:tcMar>
            <w:vAlign w:val="bottom"/>
          </w:tcPr>
          <w:p w14:paraId="669C5A42" w14:textId="77777777" w:rsidR="00066C63" w:rsidRDefault="00066C63">
            <w:pPr>
              <w:jc w:val="right"/>
              <w:rPr>
                <w:rFonts w:ascii="宋体"/>
              </w:rPr>
            </w:pPr>
          </w:p>
        </w:tc>
        <w:tc>
          <w:tcPr>
            <w:tcW w:w="0" w:type="auto"/>
            <w:shd w:val="clear" w:color="auto" w:fill="auto"/>
          </w:tcPr>
          <w:p w14:paraId="669C5A43" w14:textId="77777777" w:rsidR="00066C63" w:rsidRDefault="00066C63">
            <w:pPr>
              <w:rPr>
                <w:rFonts w:ascii="宋体"/>
                <w:vanish/>
              </w:rPr>
            </w:pPr>
          </w:p>
        </w:tc>
        <w:tc>
          <w:tcPr>
            <w:tcW w:w="0" w:type="auto"/>
            <w:gridSpan w:val="3"/>
            <w:shd w:val="clear" w:color="auto" w:fill="auto"/>
          </w:tcPr>
          <w:p w14:paraId="669C5A44" w14:textId="77777777" w:rsidR="00066C63" w:rsidRDefault="00066C63">
            <w:pPr>
              <w:rPr>
                <w:rFonts w:ascii="宋体"/>
                <w:vanish/>
              </w:rPr>
            </w:pPr>
          </w:p>
        </w:tc>
      </w:tr>
      <w:tr w:rsidR="00066C63" w14:paraId="669C5A52" w14:textId="77777777">
        <w:tc>
          <w:tcPr>
            <w:tcW w:w="0" w:type="auto"/>
            <w:gridSpan w:val="3"/>
            <w:tcBorders>
              <w:top w:val="single" w:sz="8" w:space="0" w:color="E87722"/>
            </w:tcBorders>
            <w:shd w:val="clear" w:color="auto" w:fill="auto"/>
            <w:tcMar>
              <w:top w:w="40" w:type="dxa"/>
              <w:left w:w="155" w:type="dxa"/>
              <w:bottom w:w="40" w:type="dxa"/>
              <w:right w:w="20" w:type="dxa"/>
            </w:tcMar>
            <w:vAlign w:val="bottom"/>
          </w:tcPr>
          <w:p w14:paraId="669C5A46" w14:textId="77777777" w:rsidR="00066C63" w:rsidRDefault="009656F6">
            <w:pPr>
              <w:textAlignment w:val="bottom"/>
            </w:pPr>
            <w:r>
              <w:rPr>
                <w:rFonts w:ascii="Arial" w:eastAsia="宋体" w:hAnsi="Arial" w:cs="Arial"/>
                <w:color w:val="000000"/>
                <w:sz w:val="17"/>
                <w:szCs w:val="17"/>
              </w:rPr>
              <w:t>Total selling and administrative expense</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669C5A47" w14:textId="77777777" w:rsidR="00066C63" w:rsidRDefault="009656F6">
            <w:pPr>
              <w:jc w:val="right"/>
              <w:textAlignment w:val="bottom"/>
            </w:pPr>
            <w:r>
              <w:rPr>
                <w:rFonts w:ascii="Arial" w:eastAsia="宋体" w:hAnsi="Arial" w:cs="Arial"/>
                <w:color w:val="000000"/>
                <w:sz w:val="17"/>
                <w:szCs w:val="17"/>
              </w:rPr>
              <w:t>3,041 </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5A48" w14:textId="77777777" w:rsidR="00066C63" w:rsidRDefault="00066C63">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5A49" w14:textId="77777777" w:rsidR="00066C63" w:rsidRDefault="009656F6">
            <w:pPr>
              <w:jc w:val="right"/>
              <w:textAlignment w:val="bottom"/>
            </w:pPr>
            <w:r>
              <w:rPr>
                <w:rFonts w:ascii="Arial" w:eastAsia="宋体" w:hAnsi="Arial" w:cs="Arial"/>
                <w:color w:val="000000"/>
                <w:sz w:val="17"/>
                <w:szCs w:val="17"/>
              </w:rPr>
              <w:t>3,283 </w:t>
            </w:r>
          </w:p>
        </w:tc>
        <w:tc>
          <w:tcPr>
            <w:tcW w:w="0" w:type="auto"/>
            <w:tcBorders>
              <w:top w:val="single" w:sz="8" w:space="0" w:color="E87722"/>
            </w:tcBorders>
            <w:shd w:val="clear" w:color="auto" w:fill="auto"/>
            <w:tcMar>
              <w:top w:w="40" w:type="dxa"/>
              <w:left w:w="0" w:type="dxa"/>
              <w:bottom w:w="40" w:type="dxa"/>
              <w:right w:w="20" w:type="dxa"/>
            </w:tcMar>
            <w:vAlign w:val="bottom"/>
          </w:tcPr>
          <w:p w14:paraId="669C5A4A" w14:textId="77777777" w:rsidR="00066C63" w:rsidRDefault="00066C63">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5A4B" w14:textId="77777777" w:rsidR="00066C63" w:rsidRDefault="00066C63">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669C5A4C" w14:textId="77777777" w:rsidR="00066C63" w:rsidRDefault="009656F6">
            <w:pPr>
              <w:jc w:val="right"/>
              <w:textAlignment w:val="bottom"/>
            </w:pPr>
            <w:r>
              <w:rPr>
                <w:rFonts w:ascii="Arial" w:eastAsia="宋体" w:hAnsi="Arial" w:cs="Arial"/>
                <w:color w:val="000000"/>
                <w:sz w:val="17"/>
                <w:szCs w:val="17"/>
              </w:rPr>
              <w:t>9,283 </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5A4D" w14:textId="77777777" w:rsidR="00066C63" w:rsidRDefault="00066C63">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5A4E" w14:textId="77777777" w:rsidR="00066C63" w:rsidRDefault="009656F6">
            <w:pPr>
              <w:jc w:val="right"/>
              <w:textAlignment w:val="bottom"/>
            </w:pPr>
            <w:r>
              <w:rPr>
                <w:rFonts w:ascii="Arial" w:eastAsia="宋体" w:hAnsi="Arial" w:cs="Arial"/>
                <w:color w:val="000000"/>
                <w:sz w:val="17"/>
                <w:szCs w:val="17"/>
              </w:rPr>
              <w:t>9,935 </w:t>
            </w:r>
          </w:p>
        </w:tc>
        <w:tc>
          <w:tcPr>
            <w:tcW w:w="0" w:type="auto"/>
            <w:tcBorders>
              <w:top w:val="single" w:sz="8" w:space="0" w:color="E87722"/>
            </w:tcBorders>
            <w:shd w:val="clear" w:color="auto" w:fill="auto"/>
            <w:tcMar>
              <w:top w:w="40" w:type="dxa"/>
              <w:left w:w="0" w:type="dxa"/>
              <w:bottom w:w="40" w:type="dxa"/>
              <w:right w:w="20" w:type="dxa"/>
            </w:tcMar>
            <w:vAlign w:val="bottom"/>
          </w:tcPr>
          <w:p w14:paraId="669C5A4F" w14:textId="77777777" w:rsidR="00066C63" w:rsidRDefault="00066C63">
            <w:pPr>
              <w:jc w:val="right"/>
              <w:rPr>
                <w:rFonts w:ascii="宋体"/>
              </w:rPr>
            </w:pPr>
          </w:p>
        </w:tc>
        <w:tc>
          <w:tcPr>
            <w:tcW w:w="0" w:type="auto"/>
            <w:shd w:val="clear" w:color="auto" w:fill="auto"/>
          </w:tcPr>
          <w:p w14:paraId="669C5A50" w14:textId="77777777" w:rsidR="00066C63" w:rsidRDefault="00066C63">
            <w:pPr>
              <w:rPr>
                <w:rFonts w:ascii="宋体"/>
                <w:vanish/>
              </w:rPr>
            </w:pPr>
          </w:p>
        </w:tc>
        <w:tc>
          <w:tcPr>
            <w:tcW w:w="0" w:type="auto"/>
            <w:gridSpan w:val="3"/>
            <w:shd w:val="clear" w:color="auto" w:fill="auto"/>
          </w:tcPr>
          <w:p w14:paraId="669C5A51" w14:textId="77777777" w:rsidR="00066C63" w:rsidRDefault="00066C63">
            <w:pPr>
              <w:rPr>
                <w:rFonts w:ascii="宋体"/>
                <w:vanish/>
              </w:rPr>
            </w:pPr>
          </w:p>
        </w:tc>
      </w:tr>
      <w:tr w:rsidR="00066C63" w14:paraId="669C5A5F"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5A53" w14:textId="77777777" w:rsidR="00066C63" w:rsidRDefault="009656F6">
            <w:pPr>
              <w:textAlignment w:val="bottom"/>
            </w:pPr>
            <w:r>
              <w:rPr>
                <w:rFonts w:ascii="Arial" w:eastAsia="宋体" w:hAnsi="Arial" w:cs="Arial"/>
                <w:color w:val="000000"/>
                <w:sz w:val="17"/>
                <w:szCs w:val="17"/>
              </w:rPr>
              <w:t>Interest expense (income), net</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5A54" w14:textId="77777777" w:rsidR="00066C63" w:rsidRDefault="009656F6">
            <w:pPr>
              <w:jc w:val="right"/>
              <w:textAlignment w:val="bottom"/>
            </w:pPr>
            <w:r>
              <w:rPr>
                <w:rFonts w:ascii="Arial" w:eastAsia="宋体" w:hAnsi="Arial" w:cs="Arial"/>
                <w:color w:val="000000"/>
                <w:sz w:val="17"/>
                <w:szCs w:val="17"/>
              </w:rPr>
              <w:t>64 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5A55"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5A56" w14:textId="77777777" w:rsidR="00066C63" w:rsidRDefault="009656F6">
            <w:pPr>
              <w:jc w:val="right"/>
              <w:textAlignment w:val="bottom"/>
            </w:pPr>
            <w:r>
              <w:rPr>
                <w:rFonts w:ascii="Arial" w:eastAsia="宋体" w:hAnsi="Arial" w:cs="Arial"/>
                <w:color w:val="000000"/>
                <w:sz w:val="17"/>
                <w:szCs w:val="17"/>
              </w:rPr>
              <w:t>12 </w:t>
            </w:r>
          </w:p>
        </w:tc>
        <w:tc>
          <w:tcPr>
            <w:tcW w:w="0" w:type="auto"/>
            <w:tcBorders>
              <w:top w:val="single" w:sz="8" w:space="0" w:color="808080"/>
            </w:tcBorders>
            <w:shd w:val="clear" w:color="auto" w:fill="auto"/>
            <w:tcMar>
              <w:top w:w="40" w:type="dxa"/>
              <w:left w:w="0" w:type="dxa"/>
              <w:bottom w:w="40" w:type="dxa"/>
              <w:right w:w="20" w:type="dxa"/>
            </w:tcMar>
            <w:vAlign w:val="bottom"/>
          </w:tcPr>
          <w:p w14:paraId="669C5A57" w14:textId="77777777" w:rsidR="00066C63" w:rsidRDefault="00066C63">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5A58" w14:textId="77777777" w:rsidR="00066C63" w:rsidRDefault="00066C63">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5A59" w14:textId="77777777" w:rsidR="00066C63" w:rsidRDefault="009656F6">
            <w:pPr>
              <w:jc w:val="right"/>
              <w:textAlignment w:val="bottom"/>
            </w:pPr>
            <w:r>
              <w:rPr>
                <w:rFonts w:ascii="Arial" w:eastAsia="宋体" w:hAnsi="Arial" w:cs="Arial"/>
                <w:color w:val="000000"/>
                <w:sz w:val="17"/>
                <w:szCs w:val="17"/>
              </w:rPr>
              <w:t>199 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5A5A"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5A5B" w14:textId="77777777" w:rsidR="00066C63" w:rsidRDefault="009656F6">
            <w:pPr>
              <w:jc w:val="right"/>
              <w:textAlignment w:val="bottom"/>
            </w:pPr>
            <w:r>
              <w:rPr>
                <w:rFonts w:ascii="Arial" w:eastAsia="宋体" w:hAnsi="Arial" w:cs="Arial"/>
                <w:color w:val="000000"/>
                <w:sz w:val="17"/>
                <w:szCs w:val="17"/>
              </w:rPr>
              <w:t>39 </w:t>
            </w:r>
          </w:p>
        </w:tc>
        <w:tc>
          <w:tcPr>
            <w:tcW w:w="0" w:type="auto"/>
            <w:tcBorders>
              <w:top w:val="single" w:sz="8" w:space="0" w:color="808080"/>
            </w:tcBorders>
            <w:shd w:val="clear" w:color="auto" w:fill="auto"/>
            <w:tcMar>
              <w:top w:w="40" w:type="dxa"/>
              <w:left w:w="0" w:type="dxa"/>
              <w:bottom w:w="40" w:type="dxa"/>
              <w:right w:w="20" w:type="dxa"/>
            </w:tcMar>
            <w:vAlign w:val="bottom"/>
          </w:tcPr>
          <w:p w14:paraId="669C5A5C" w14:textId="77777777" w:rsidR="00066C63" w:rsidRDefault="00066C63">
            <w:pPr>
              <w:jc w:val="right"/>
              <w:rPr>
                <w:rFonts w:ascii="宋体"/>
              </w:rPr>
            </w:pPr>
          </w:p>
        </w:tc>
        <w:tc>
          <w:tcPr>
            <w:tcW w:w="0" w:type="auto"/>
            <w:shd w:val="clear" w:color="auto" w:fill="auto"/>
          </w:tcPr>
          <w:p w14:paraId="669C5A5D" w14:textId="77777777" w:rsidR="00066C63" w:rsidRDefault="00066C63">
            <w:pPr>
              <w:rPr>
                <w:rFonts w:ascii="宋体"/>
                <w:vanish/>
              </w:rPr>
            </w:pPr>
          </w:p>
        </w:tc>
        <w:tc>
          <w:tcPr>
            <w:tcW w:w="0" w:type="auto"/>
            <w:gridSpan w:val="3"/>
            <w:shd w:val="clear" w:color="auto" w:fill="auto"/>
          </w:tcPr>
          <w:p w14:paraId="669C5A5E" w14:textId="77777777" w:rsidR="00066C63" w:rsidRDefault="00066C63">
            <w:pPr>
              <w:rPr>
                <w:rFonts w:ascii="宋体"/>
                <w:vanish/>
              </w:rPr>
            </w:pPr>
          </w:p>
        </w:tc>
      </w:tr>
      <w:tr w:rsidR="00066C63" w14:paraId="669C5A6C"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5A60" w14:textId="77777777" w:rsidR="00066C63" w:rsidRDefault="009656F6">
            <w:pPr>
              <w:textAlignment w:val="bottom"/>
            </w:pPr>
            <w:r>
              <w:rPr>
                <w:rFonts w:ascii="Arial" w:eastAsia="宋体" w:hAnsi="Arial" w:cs="Arial"/>
                <w:color w:val="000000"/>
                <w:sz w:val="17"/>
                <w:szCs w:val="17"/>
              </w:rPr>
              <w:t>Other (income) expense, net</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5A61" w14:textId="77777777" w:rsidR="00066C63" w:rsidRDefault="009656F6">
            <w:pPr>
              <w:jc w:val="right"/>
              <w:textAlignment w:val="bottom"/>
            </w:pPr>
            <w:r>
              <w:rPr>
                <w:rFonts w:ascii="Arial" w:eastAsia="宋体" w:hAnsi="Arial" w:cs="Arial"/>
                <w:color w:val="000000"/>
                <w:sz w:val="17"/>
                <w:szCs w:val="17"/>
              </w:rPr>
              <w:t>(22)</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5A62"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5A63" w14:textId="77777777" w:rsidR="00066C63" w:rsidRDefault="009656F6">
            <w:pPr>
              <w:jc w:val="right"/>
              <w:textAlignment w:val="bottom"/>
            </w:pPr>
            <w:r>
              <w:rPr>
                <w:rFonts w:ascii="Arial" w:eastAsia="宋体" w:hAnsi="Arial" w:cs="Arial"/>
                <w:color w:val="000000"/>
                <w:sz w:val="17"/>
                <w:szCs w:val="17"/>
              </w:rPr>
              <w:t>297 </w:t>
            </w:r>
          </w:p>
        </w:tc>
        <w:tc>
          <w:tcPr>
            <w:tcW w:w="0" w:type="auto"/>
            <w:tcBorders>
              <w:top w:val="single" w:sz="8" w:space="0" w:color="808080"/>
            </w:tcBorders>
            <w:shd w:val="clear" w:color="auto" w:fill="auto"/>
            <w:tcMar>
              <w:top w:w="40" w:type="dxa"/>
              <w:left w:w="0" w:type="dxa"/>
              <w:bottom w:w="40" w:type="dxa"/>
              <w:right w:w="20" w:type="dxa"/>
            </w:tcMar>
            <w:vAlign w:val="bottom"/>
          </w:tcPr>
          <w:p w14:paraId="669C5A64" w14:textId="77777777" w:rsidR="00066C63" w:rsidRDefault="00066C63">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5A65" w14:textId="77777777" w:rsidR="00066C63" w:rsidRDefault="00066C63">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5A66" w14:textId="77777777" w:rsidR="00066C63" w:rsidRDefault="009656F6">
            <w:pPr>
              <w:jc w:val="right"/>
              <w:textAlignment w:val="bottom"/>
            </w:pPr>
            <w:r>
              <w:rPr>
                <w:rFonts w:ascii="Arial" w:eastAsia="宋体" w:hAnsi="Arial" w:cs="Arial"/>
                <w:color w:val="000000"/>
                <w:sz w:val="17"/>
                <w:szCs w:val="17"/>
              </w:rPr>
              <w:t>18 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5A67"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5A68" w14:textId="77777777" w:rsidR="00066C63" w:rsidRDefault="009656F6">
            <w:pPr>
              <w:jc w:val="right"/>
              <w:textAlignment w:val="bottom"/>
            </w:pPr>
            <w:r>
              <w:rPr>
                <w:rFonts w:ascii="Arial" w:eastAsia="宋体" w:hAnsi="Arial" w:cs="Arial"/>
                <w:color w:val="000000"/>
                <w:sz w:val="17"/>
                <w:szCs w:val="17"/>
              </w:rPr>
              <w:t>223 </w:t>
            </w:r>
          </w:p>
        </w:tc>
        <w:tc>
          <w:tcPr>
            <w:tcW w:w="0" w:type="auto"/>
            <w:tcBorders>
              <w:top w:val="single" w:sz="8" w:space="0" w:color="808080"/>
            </w:tcBorders>
            <w:shd w:val="clear" w:color="auto" w:fill="auto"/>
            <w:tcMar>
              <w:top w:w="40" w:type="dxa"/>
              <w:left w:w="0" w:type="dxa"/>
              <w:bottom w:w="40" w:type="dxa"/>
              <w:right w:w="20" w:type="dxa"/>
            </w:tcMar>
            <w:vAlign w:val="bottom"/>
          </w:tcPr>
          <w:p w14:paraId="669C5A69" w14:textId="77777777" w:rsidR="00066C63" w:rsidRDefault="00066C63">
            <w:pPr>
              <w:jc w:val="right"/>
              <w:rPr>
                <w:rFonts w:ascii="宋体"/>
              </w:rPr>
            </w:pPr>
          </w:p>
        </w:tc>
        <w:tc>
          <w:tcPr>
            <w:tcW w:w="0" w:type="auto"/>
            <w:shd w:val="clear" w:color="auto" w:fill="auto"/>
          </w:tcPr>
          <w:p w14:paraId="669C5A6A" w14:textId="77777777" w:rsidR="00066C63" w:rsidRDefault="00066C63">
            <w:pPr>
              <w:rPr>
                <w:rFonts w:ascii="宋体"/>
                <w:vanish/>
              </w:rPr>
            </w:pPr>
          </w:p>
        </w:tc>
        <w:tc>
          <w:tcPr>
            <w:tcW w:w="0" w:type="auto"/>
            <w:gridSpan w:val="3"/>
            <w:shd w:val="clear" w:color="auto" w:fill="auto"/>
          </w:tcPr>
          <w:p w14:paraId="669C5A6B" w14:textId="77777777" w:rsidR="00066C63" w:rsidRDefault="00066C63">
            <w:pPr>
              <w:rPr>
                <w:rFonts w:ascii="宋体"/>
                <w:vanish/>
              </w:rPr>
            </w:pPr>
          </w:p>
        </w:tc>
      </w:tr>
      <w:tr w:rsidR="00066C63" w14:paraId="669C5A79"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5A6D" w14:textId="77777777" w:rsidR="00066C63" w:rsidRDefault="009656F6">
            <w:pPr>
              <w:textAlignment w:val="bottom"/>
            </w:pPr>
            <w:r>
              <w:rPr>
                <w:rFonts w:ascii="Arial" w:eastAsia="宋体" w:hAnsi="Arial" w:cs="Arial"/>
                <w:color w:val="000000"/>
                <w:sz w:val="17"/>
                <w:szCs w:val="17"/>
              </w:rPr>
              <w:t>Income before income taxes</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669C5A6E" w14:textId="77777777" w:rsidR="00066C63" w:rsidRDefault="009656F6">
            <w:pPr>
              <w:jc w:val="right"/>
              <w:textAlignment w:val="bottom"/>
            </w:pPr>
            <w:r>
              <w:rPr>
                <w:rFonts w:ascii="Arial" w:eastAsia="宋体" w:hAnsi="Arial" w:cs="Arial"/>
                <w:color w:val="000000"/>
                <w:sz w:val="17"/>
                <w:szCs w:val="17"/>
              </w:rPr>
              <w:t>1,636 </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5A6F" w14:textId="77777777" w:rsidR="00066C63" w:rsidRDefault="00066C63">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5A70" w14:textId="77777777" w:rsidR="00066C63" w:rsidRDefault="009656F6">
            <w:pPr>
              <w:jc w:val="right"/>
              <w:textAlignment w:val="bottom"/>
            </w:pPr>
            <w:r>
              <w:rPr>
                <w:rFonts w:ascii="Arial" w:eastAsia="宋体" w:hAnsi="Arial" w:cs="Arial"/>
                <w:color w:val="000000"/>
                <w:sz w:val="17"/>
                <w:szCs w:val="17"/>
              </w:rPr>
              <w:t>881 </w:t>
            </w:r>
          </w:p>
        </w:tc>
        <w:tc>
          <w:tcPr>
            <w:tcW w:w="0" w:type="auto"/>
            <w:tcBorders>
              <w:top w:val="single" w:sz="8" w:space="0" w:color="E87722"/>
            </w:tcBorders>
            <w:shd w:val="clear" w:color="auto" w:fill="auto"/>
            <w:tcMar>
              <w:top w:w="40" w:type="dxa"/>
              <w:left w:w="0" w:type="dxa"/>
              <w:bottom w:w="40" w:type="dxa"/>
              <w:right w:w="20" w:type="dxa"/>
            </w:tcMar>
            <w:vAlign w:val="bottom"/>
          </w:tcPr>
          <w:p w14:paraId="669C5A71" w14:textId="77777777" w:rsidR="00066C63" w:rsidRDefault="00066C63">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5A72" w14:textId="77777777" w:rsidR="00066C63" w:rsidRDefault="00066C63">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669C5A73" w14:textId="77777777" w:rsidR="00066C63" w:rsidRDefault="009656F6">
            <w:pPr>
              <w:jc w:val="right"/>
              <w:textAlignment w:val="bottom"/>
            </w:pPr>
            <w:r>
              <w:rPr>
                <w:rFonts w:ascii="Arial" w:eastAsia="宋体" w:hAnsi="Arial" w:cs="Arial"/>
                <w:color w:val="000000"/>
                <w:sz w:val="17"/>
                <w:szCs w:val="17"/>
              </w:rPr>
              <w:t>4,807 </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5A74" w14:textId="77777777" w:rsidR="00066C63" w:rsidRDefault="00066C63">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5A75" w14:textId="77777777" w:rsidR="00066C63" w:rsidRDefault="009656F6">
            <w:pPr>
              <w:jc w:val="right"/>
              <w:textAlignment w:val="bottom"/>
            </w:pPr>
            <w:r>
              <w:rPr>
                <w:rFonts w:ascii="Arial" w:eastAsia="宋体" w:hAnsi="Arial" w:cs="Arial"/>
                <w:color w:val="000000"/>
                <w:sz w:val="17"/>
                <w:szCs w:val="17"/>
              </w:rPr>
              <w:t>3,691 </w:t>
            </w:r>
          </w:p>
        </w:tc>
        <w:tc>
          <w:tcPr>
            <w:tcW w:w="0" w:type="auto"/>
            <w:tcBorders>
              <w:top w:val="single" w:sz="8" w:space="0" w:color="E87722"/>
            </w:tcBorders>
            <w:shd w:val="clear" w:color="auto" w:fill="auto"/>
            <w:tcMar>
              <w:top w:w="40" w:type="dxa"/>
              <w:left w:w="0" w:type="dxa"/>
              <w:bottom w:w="40" w:type="dxa"/>
              <w:right w:w="20" w:type="dxa"/>
            </w:tcMar>
            <w:vAlign w:val="bottom"/>
          </w:tcPr>
          <w:p w14:paraId="669C5A76" w14:textId="77777777" w:rsidR="00066C63" w:rsidRDefault="00066C63">
            <w:pPr>
              <w:jc w:val="right"/>
              <w:rPr>
                <w:rFonts w:ascii="宋体"/>
              </w:rPr>
            </w:pPr>
          </w:p>
        </w:tc>
        <w:tc>
          <w:tcPr>
            <w:tcW w:w="0" w:type="auto"/>
            <w:shd w:val="clear" w:color="auto" w:fill="auto"/>
          </w:tcPr>
          <w:p w14:paraId="669C5A77" w14:textId="77777777" w:rsidR="00066C63" w:rsidRDefault="00066C63">
            <w:pPr>
              <w:rPr>
                <w:rFonts w:ascii="宋体"/>
                <w:vanish/>
              </w:rPr>
            </w:pPr>
          </w:p>
        </w:tc>
        <w:tc>
          <w:tcPr>
            <w:tcW w:w="0" w:type="auto"/>
            <w:gridSpan w:val="3"/>
            <w:shd w:val="clear" w:color="auto" w:fill="auto"/>
          </w:tcPr>
          <w:p w14:paraId="669C5A78" w14:textId="77777777" w:rsidR="00066C63" w:rsidRDefault="00066C63">
            <w:pPr>
              <w:rPr>
                <w:rFonts w:ascii="宋体"/>
                <w:vanish/>
              </w:rPr>
            </w:pPr>
          </w:p>
        </w:tc>
      </w:tr>
      <w:tr w:rsidR="00066C63" w14:paraId="669C5A86"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5A7A" w14:textId="77777777" w:rsidR="00066C63" w:rsidRDefault="009656F6">
            <w:pPr>
              <w:textAlignment w:val="bottom"/>
            </w:pPr>
            <w:r>
              <w:rPr>
                <w:rFonts w:ascii="Arial" w:eastAsia="宋体" w:hAnsi="Arial" w:cs="Arial"/>
                <w:color w:val="000000"/>
                <w:sz w:val="17"/>
                <w:szCs w:val="17"/>
              </w:rPr>
              <w:t>Income tax expense</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5A7B" w14:textId="77777777" w:rsidR="00066C63" w:rsidRDefault="009656F6">
            <w:pPr>
              <w:jc w:val="right"/>
              <w:textAlignment w:val="bottom"/>
            </w:pPr>
            <w:r>
              <w:rPr>
                <w:rFonts w:ascii="Arial" w:eastAsia="宋体" w:hAnsi="Arial" w:cs="Arial"/>
                <w:color w:val="000000"/>
                <w:sz w:val="17"/>
                <w:szCs w:val="17"/>
              </w:rPr>
              <w:t>187 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5A7C"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5A7D" w14:textId="77777777" w:rsidR="00066C63" w:rsidRDefault="009656F6">
            <w:pPr>
              <w:jc w:val="right"/>
              <w:textAlignment w:val="bottom"/>
            </w:pPr>
            <w:r>
              <w:rPr>
                <w:rFonts w:ascii="Arial" w:eastAsia="宋体" w:hAnsi="Arial" w:cs="Arial"/>
                <w:color w:val="000000"/>
                <w:sz w:val="17"/>
                <w:szCs w:val="17"/>
              </w:rPr>
              <w:t>34 </w:t>
            </w:r>
          </w:p>
        </w:tc>
        <w:tc>
          <w:tcPr>
            <w:tcW w:w="0" w:type="auto"/>
            <w:tcBorders>
              <w:top w:val="single" w:sz="8" w:space="0" w:color="808080"/>
            </w:tcBorders>
            <w:shd w:val="clear" w:color="auto" w:fill="auto"/>
            <w:tcMar>
              <w:top w:w="40" w:type="dxa"/>
              <w:left w:w="0" w:type="dxa"/>
              <w:bottom w:w="40" w:type="dxa"/>
              <w:right w:w="20" w:type="dxa"/>
            </w:tcMar>
            <w:vAlign w:val="bottom"/>
          </w:tcPr>
          <w:p w14:paraId="669C5A7E" w14:textId="77777777" w:rsidR="00066C63" w:rsidRDefault="00066C63">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5A7F" w14:textId="77777777" w:rsidR="00066C63" w:rsidRDefault="00066C63">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5A80" w14:textId="77777777" w:rsidR="00066C63" w:rsidRDefault="009656F6">
            <w:pPr>
              <w:jc w:val="right"/>
              <w:textAlignment w:val="bottom"/>
            </w:pPr>
            <w:r>
              <w:rPr>
                <w:rFonts w:ascii="Arial" w:eastAsia="宋体" w:hAnsi="Arial" w:cs="Arial"/>
                <w:color w:val="000000"/>
                <w:sz w:val="17"/>
                <w:szCs w:val="17"/>
              </w:rPr>
              <w:t>589 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5A81"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5A82" w14:textId="77777777" w:rsidR="00066C63" w:rsidRDefault="009656F6">
            <w:pPr>
              <w:jc w:val="right"/>
              <w:textAlignment w:val="bottom"/>
            </w:pPr>
            <w:r>
              <w:rPr>
                <w:rFonts w:ascii="Arial" w:eastAsia="宋体" w:hAnsi="Arial" w:cs="Arial"/>
                <w:color w:val="000000"/>
                <w:sz w:val="17"/>
                <w:szCs w:val="17"/>
              </w:rPr>
              <w:t>362 </w:t>
            </w:r>
          </w:p>
        </w:tc>
        <w:tc>
          <w:tcPr>
            <w:tcW w:w="0" w:type="auto"/>
            <w:tcBorders>
              <w:top w:val="single" w:sz="8" w:space="0" w:color="808080"/>
            </w:tcBorders>
            <w:shd w:val="clear" w:color="auto" w:fill="auto"/>
            <w:tcMar>
              <w:top w:w="40" w:type="dxa"/>
              <w:left w:w="0" w:type="dxa"/>
              <w:bottom w:w="40" w:type="dxa"/>
              <w:right w:w="20" w:type="dxa"/>
            </w:tcMar>
            <w:vAlign w:val="bottom"/>
          </w:tcPr>
          <w:p w14:paraId="669C5A83" w14:textId="77777777" w:rsidR="00066C63" w:rsidRDefault="00066C63">
            <w:pPr>
              <w:jc w:val="right"/>
              <w:rPr>
                <w:rFonts w:ascii="宋体"/>
              </w:rPr>
            </w:pPr>
          </w:p>
        </w:tc>
        <w:tc>
          <w:tcPr>
            <w:tcW w:w="0" w:type="auto"/>
            <w:shd w:val="clear" w:color="auto" w:fill="auto"/>
          </w:tcPr>
          <w:p w14:paraId="669C5A84" w14:textId="77777777" w:rsidR="00066C63" w:rsidRDefault="00066C63">
            <w:pPr>
              <w:rPr>
                <w:rFonts w:ascii="宋体"/>
                <w:vanish/>
              </w:rPr>
            </w:pPr>
          </w:p>
        </w:tc>
        <w:tc>
          <w:tcPr>
            <w:tcW w:w="0" w:type="auto"/>
            <w:gridSpan w:val="3"/>
            <w:shd w:val="clear" w:color="auto" w:fill="auto"/>
          </w:tcPr>
          <w:p w14:paraId="669C5A85" w14:textId="77777777" w:rsidR="00066C63" w:rsidRDefault="00066C63">
            <w:pPr>
              <w:rPr>
                <w:rFonts w:ascii="宋体"/>
                <w:vanish/>
              </w:rPr>
            </w:pPr>
          </w:p>
        </w:tc>
      </w:tr>
      <w:tr w:rsidR="00066C63" w14:paraId="669C5A97"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5A87" w14:textId="77777777" w:rsidR="00066C63" w:rsidRDefault="009656F6">
            <w:pPr>
              <w:textAlignment w:val="bottom"/>
            </w:pPr>
            <w:r>
              <w:rPr>
                <w:rFonts w:ascii="Arial" w:eastAsia="宋体" w:hAnsi="Arial" w:cs="Arial"/>
                <w:b/>
                <w:bCs/>
                <w:color w:val="000000"/>
                <w:sz w:val="17"/>
                <w:szCs w:val="17"/>
              </w:rPr>
              <w:t>NET INCOME</w:t>
            </w:r>
          </w:p>
        </w:tc>
        <w:tc>
          <w:tcPr>
            <w:tcW w:w="0" w:type="auto"/>
            <w:tcBorders>
              <w:top w:val="single" w:sz="8" w:space="0" w:color="E87722"/>
            </w:tcBorders>
            <w:shd w:val="clear" w:color="auto" w:fill="FFF1E7"/>
            <w:tcMar>
              <w:top w:w="40" w:type="dxa"/>
              <w:left w:w="20" w:type="dxa"/>
              <w:bottom w:w="40" w:type="dxa"/>
              <w:right w:w="0" w:type="dxa"/>
            </w:tcMar>
            <w:vAlign w:val="bottom"/>
          </w:tcPr>
          <w:p w14:paraId="669C5A88"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669C5A89" w14:textId="77777777" w:rsidR="00066C63" w:rsidRDefault="009656F6">
            <w:pPr>
              <w:jc w:val="right"/>
              <w:textAlignment w:val="bottom"/>
            </w:pPr>
            <w:r>
              <w:rPr>
                <w:rFonts w:ascii="Arial" w:eastAsia="宋体" w:hAnsi="Arial" w:cs="Arial"/>
                <w:b/>
                <w:bCs/>
                <w:color w:val="000000"/>
                <w:sz w:val="17"/>
                <w:szCs w:val="17"/>
              </w:rPr>
              <w:t>1,449</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5A8A" w14:textId="77777777" w:rsidR="00066C63" w:rsidRDefault="00066C63">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69C5A8B"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69C5A8C" w14:textId="77777777" w:rsidR="00066C63" w:rsidRDefault="009656F6">
            <w:pPr>
              <w:jc w:val="right"/>
              <w:textAlignment w:val="bottom"/>
            </w:pPr>
            <w:r>
              <w:rPr>
                <w:rFonts w:ascii="Arial" w:eastAsia="宋体" w:hAnsi="Arial" w:cs="Arial"/>
                <w:b/>
                <w:bCs/>
                <w:color w:val="000000"/>
                <w:sz w:val="17"/>
                <w:szCs w:val="17"/>
              </w:rPr>
              <w:t>847</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5A8D" w14:textId="77777777" w:rsidR="00066C63" w:rsidRDefault="00066C63">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5A8E" w14:textId="77777777" w:rsidR="00066C63" w:rsidRDefault="00066C63">
            <w:pPr>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669C5A8F"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669C5A90" w14:textId="77777777" w:rsidR="00066C63" w:rsidRDefault="009656F6">
            <w:pPr>
              <w:jc w:val="right"/>
              <w:textAlignment w:val="bottom"/>
            </w:pPr>
            <w:r>
              <w:rPr>
                <w:rFonts w:ascii="Arial" w:eastAsia="宋体" w:hAnsi="Arial" w:cs="Arial"/>
                <w:b/>
                <w:bCs/>
                <w:color w:val="000000"/>
                <w:sz w:val="17"/>
                <w:szCs w:val="17"/>
              </w:rPr>
              <w:t>4,218</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5A91" w14:textId="77777777" w:rsidR="00066C63" w:rsidRDefault="00066C63">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69C5A92"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69C5A93" w14:textId="77777777" w:rsidR="00066C63" w:rsidRDefault="009656F6">
            <w:pPr>
              <w:jc w:val="right"/>
              <w:textAlignment w:val="bottom"/>
            </w:pPr>
            <w:r>
              <w:rPr>
                <w:rFonts w:ascii="Arial" w:eastAsia="宋体" w:hAnsi="Arial" w:cs="Arial"/>
                <w:b/>
                <w:bCs/>
                <w:color w:val="000000"/>
                <w:sz w:val="17"/>
                <w:szCs w:val="17"/>
              </w:rPr>
              <w:t>3,329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5A94" w14:textId="77777777" w:rsidR="00066C63" w:rsidRDefault="00066C63">
            <w:pPr>
              <w:jc w:val="right"/>
              <w:rPr>
                <w:rFonts w:ascii="宋体"/>
              </w:rPr>
            </w:pPr>
          </w:p>
        </w:tc>
        <w:tc>
          <w:tcPr>
            <w:tcW w:w="0" w:type="auto"/>
            <w:shd w:val="clear" w:color="auto" w:fill="auto"/>
          </w:tcPr>
          <w:p w14:paraId="669C5A95" w14:textId="77777777" w:rsidR="00066C63" w:rsidRDefault="00066C63">
            <w:pPr>
              <w:rPr>
                <w:rFonts w:ascii="宋体"/>
                <w:vanish/>
              </w:rPr>
            </w:pPr>
          </w:p>
        </w:tc>
        <w:tc>
          <w:tcPr>
            <w:tcW w:w="0" w:type="auto"/>
            <w:gridSpan w:val="3"/>
            <w:shd w:val="clear" w:color="auto" w:fill="auto"/>
          </w:tcPr>
          <w:p w14:paraId="669C5A96" w14:textId="77777777" w:rsidR="00066C63" w:rsidRDefault="00066C63">
            <w:pPr>
              <w:rPr>
                <w:rFonts w:ascii="宋体"/>
                <w:vanish/>
              </w:rPr>
            </w:pPr>
          </w:p>
        </w:tc>
      </w:tr>
      <w:tr w:rsidR="00066C63" w14:paraId="669C5AA0"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5A98" w14:textId="77777777" w:rsidR="00066C63" w:rsidRDefault="009656F6">
            <w:pPr>
              <w:textAlignment w:val="bottom"/>
            </w:pPr>
            <w:r>
              <w:rPr>
                <w:rFonts w:ascii="Arial" w:eastAsia="宋体" w:hAnsi="Arial" w:cs="Arial"/>
                <w:color w:val="000000"/>
                <w:sz w:val="17"/>
                <w:szCs w:val="17"/>
              </w:rPr>
              <w:t>Earnings per common share:</w:t>
            </w:r>
          </w:p>
        </w:tc>
        <w:tc>
          <w:tcPr>
            <w:tcW w:w="0" w:type="auto"/>
            <w:gridSpan w:val="3"/>
            <w:tcBorders>
              <w:top w:val="single" w:sz="8" w:space="0" w:color="E87722"/>
            </w:tcBorders>
            <w:shd w:val="clear" w:color="auto" w:fill="FFF1E7"/>
            <w:tcMar>
              <w:top w:w="0" w:type="dxa"/>
              <w:left w:w="20" w:type="dxa"/>
              <w:bottom w:w="0" w:type="dxa"/>
              <w:right w:w="20" w:type="dxa"/>
            </w:tcMar>
          </w:tcPr>
          <w:p w14:paraId="669C5A99"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5A9A"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5A9B" w14:textId="77777777" w:rsidR="00066C63" w:rsidRDefault="00066C63">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669C5A9C"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5A9D" w14:textId="77777777" w:rsidR="00066C63" w:rsidRDefault="00066C63">
            <w:pPr>
              <w:rPr>
                <w:rFonts w:ascii="宋体"/>
              </w:rPr>
            </w:pPr>
          </w:p>
        </w:tc>
        <w:tc>
          <w:tcPr>
            <w:tcW w:w="0" w:type="auto"/>
            <w:shd w:val="clear" w:color="auto" w:fill="auto"/>
          </w:tcPr>
          <w:p w14:paraId="669C5A9E" w14:textId="77777777" w:rsidR="00066C63" w:rsidRDefault="00066C63">
            <w:pPr>
              <w:rPr>
                <w:rFonts w:ascii="宋体"/>
                <w:vanish/>
              </w:rPr>
            </w:pPr>
          </w:p>
        </w:tc>
        <w:tc>
          <w:tcPr>
            <w:tcW w:w="0" w:type="auto"/>
            <w:gridSpan w:val="3"/>
            <w:shd w:val="clear" w:color="auto" w:fill="auto"/>
          </w:tcPr>
          <w:p w14:paraId="669C5A9F" w14:textId="77777777" w:rsidR="00066C63" w:rsidRDefault="00066C63">
            <w:pPr>
              <w:rPr>
                <w:rFonts w:ascii="宋体"/>
                <w:vanish/>
              </w:rPr>
            </w:pPr>
          </w:p>
        </w:tc>
      </w:tr>
      <w:tr w:rsidR="00066C63" w14:paraId="669C5AB1"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5AA1" w14:textId="77777777" w:rsidR="00066C63" w:rsidRDefault="009656F6">
            <w:pPr>
              <w:textAlignment w:val="bottom"/>
            </w:pPr>
            <w:r>
              <w:rPr>
                <w:rFonts w:ascii="Arial" w:eastAsia="宋体" w:hAnsi="Arial" w:cs="Arial"/>
                <w:color w:val="000000"/>
                <w:sz w:val="17"/>
                <w:szCs w:val="17"/>
              </w:rPr>
              <w:t>Basic</w:t>
            </w:r>
          </w:p>
        </w:tc>
        <w:tc>
          <w:tcPr>
            <w:tcW w:w="0" w:type="auto"/>
            <w:tcBorders>
              <w:top w:val="single" w:sz="8" w:space="0" w:color="808080"/>
            </w:tcBorders>
            <w:shd w:val="clear" w:color="auto" w:fill="FFF1E7"/>
            <w:tcMar>
              <w:top w:w="40" w:type="dxa"/>
              <w:left w:w="20" w:type="dxa"/>
              <w:bottom w:w="40" w:type="dxa"/>
              <w:right w:w="0" w:type="dxa"/>
            </w:tcMar>
            <w:vAlign w:val="bottom"/>
          </w:tcPr>
          <w:p w14:paraId="669C5AA2"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669C5AA3" w14:textId="77777777" w:rsidR="00066C63" w:rsidRDefault="009656F6">
            <w:pPr>
              <w:jc w:val="right"/>
              <w:textAlignment w:val="bottom"/>
            </w:pPr>
            <w:r>
              <w:rPr>
                <w:rFonts w:ascii="Arial" w:eastAsia="宋体" w:hAnsi="Arial" w:cs="Arial"/>
                <w:color w:val="000000"/>
                <w:sz w:val="17"/>
                <w:szCs w:val="17"/>
              </w:rPr>
              <w:t>0.92 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5AA4" w14:textId="77777777" w:rsidR="00066C63" w:rsidRDefault="00066C63">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669C5AA5"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669C5AA6" w14:textId="77777777" w:rsidR="00066C63" w:rsidRDefault="009656F6">
            <w:pPr>
              <w:jc w:val="right"/>
              <w:textAlignment w:val="bottom"/>
            </w:pPr>
            <w:r>
              <w:rPr>
                <w:rFonts w:ascii="Arial" w:eastAsia="宋体" w:hAnsi="Arial" w:cs="Arial"/>
                <w:color w:val="000000"/>
                <w:sz w:val="17"/>
                <w:szCs w:val="17"/>
              </w:rPr>
              <w:t>0.54 </w:t>
            </w:r>
          </w:p>
        </w:tc>
        <w:tc>
          <w:tcPr>
            <w:tcW w:w="0" w:type="auto"/>
            <w:tcBorders>
              <w:top w:val="single" w:sz="8" w:space="0" w:color="808080"/>
            </w:tcBorders>
            <w:shd w:val="clear" w:color="auto" w:fill="auto"/>
            <w:tcMar>
              <w:top w:w="40" w:type="dxa"/>
              <w:left w:w="0" w:type="dxa"/>
              <w:bottom w:w="40" w:type="dxa"/>
              <w:right w:w="20" w:type="dxa"/>
            </w:tcMar>
            <w:vAlign w:val="bottom"/>
          </w:tcPr>
          <w:p w14:paraId="669C5AA7" w14:textId="77777777" w:rsidR="00066C63" w:rsidRDefault="00066C63">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5AA8" w14:textId="77777777" w:rsidR="00066C63" w:rsidRDefault="00066C63">
            <w:pPr>
              <w:rPr>
                <w:rFonts w:ascii="宋体"/>
              </w:rPr>
            </w:pPr>
          </w:p>
        </w:tc>
        <w:tc>
          <w:tcPr>
            <w:tcW w:w="0" w:type="auto"/>
            <w:tcBorders>
              <w:top w:val="single" w:sz="8" w:space="0" w:color="808080"/>
            </w:tcBorders>
            <w:shd w:val="clear" w:color="auto" w:fill="FFF1E7"/>
            <w:tcMar>
              <w:top w:w="40" w:type="dxa"/>
              <w:left w:w="20" w:type="dxa"/>
              <w:bottom w:w="40" w:type="dxa"/>
              <w:right w:w="0" w:type="dxa"/>
            </w:tcMar>
            <w:vAlign w:val="bottom"/>
          </w:tcPr>
          <w:p w14:paraId="669C5AA9"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669C5AAA" w14:textId="77777777" w:rsidR="00066C63" w:rsidRDefault="009656F6">
            <w:pPr>
              <w:jc w:val="right"/>
              <w:textAlignment w:val="bottom"/>
            </w:pPr>
            <w:r>
              <w:rPr>
                <w:rFonts w:ascii="Arial" w:eastAsia="宋体" w:hAnsi="Arial" w:cs="Arial"/>
                <w:color w:val="000000"/>
                <w:sz w:val="17"/>
                <w:szCs w:val="17"/>
              </w:rPr>
              <w:t>2.68 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5AAB" w14:textId="77777777" w:rsidR="00066C63" w:rsidRDefault="00066C63">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669C5AAC"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669C5AAD" w14:textId="77777777" w:rsidR="00066C63" w:rsidRDefault="009656F6">
            <w:pPr>
              <w:jc w:val="right"/>
              <w:textAlignment w:val="bottom"/>
            </w:pPr>
            <w:r>
              <w:rPr>
                <w:rFonts w:ascii="Arial" w:eastAsia="宋体" w:hAnsi="Arial" w:cs="Arial"/>
                <w:color w:val="000000"/>
                <w:sz w:val="17"/>
                <w:szCs w:val="17"/>
              </w:rPr>
              <w:t>2.13 </w:t>
            </w:r>
          </w:p>
        </w:tc>
        <w:tc>
          <w:tcPr>
            <w:tcW w:w="0" w:type="auto"/>
            <w:tcBorders>
              <w:top w:val="single" w:sz="8" w:space="0" w:color="808080"/>
            </w:tcBorders>
            <w:shd w:val="clear" w:color="auto" w:fill="auto"/>
            <w:tcMar>
              <w:top w:w="40" w:type="dxa"/>
              <w:left w:w="0" w:type="dxa"/>
              <w:bottom w:w="40" w:type="dxa"/>
              <w:right w:w="20" w:type="dxa"/>
            </w:tcMar>
            <w:vAlign w:val="bottom"/>
          </w:tcPr>
          <w:p w14:paraId="669C5AAE" w14:textId="77777777" w:rsidR="00066C63" w:rsidRDefault="00066C63">
            <w:pPr>
              <w:jc w:val="right"/>
              <w:rPr>
                <w:rFonts w:ascii="宋体"/>
              </w:rPr>
            </w:pPr>
          </w:p>
        </w:tc>
        <w:tc>
          <w:tcPr>
            <w:tcW w:w="0" w:type="auto"/>
            <w:shd w:val="clear" w:color="auto" w:fill="auto"/>
          </w:tcPr>
          <w:p w14:paraId="669C5AAF" w14:textId="77777777" w:rsidR="00066C63" w:rsidRDefault="00066C63">
            <w:pPr>
              <w:rPr>
                <w:rFonts w:ascii="宋体"/>
                <w:vanish/>
              </w:rPr>
            </w:pPr>
          </w:p>
        </w:tc>
        <w:tc>
          <w:tcPr>
            <w:tcW w:w="0" w:type="auto"/>
            <w:gridSpan w:val="3"/>
            <w:shd w:val="clear" w:color="auto" w:fill="auto"/>
          </w:tcPr>
          <w:p w14:paraId="669C5AB0" w14:textId="77777777" w:rsidR="00066C63" w:rsidRDefault="00066C63">
            <w:pPr>
              <w:rPr>
                <w:rFonts w:ascii="宋体"/>
                <w:vanish/>
              </w:rPr>
            </w:pPr>
          </w:p>
        </w:tc>
      </w:tr>
      <w:tr w:rsidR="00066C63" w14:paraId="669C5AC2"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5AB2" w14:textId="77777777" w:rsidR="00066C63" w:rsidRDefault="009656F6">
            <w:pPr>
              <w:textAlignment w:val="bottom"/>
            </w:pPr>
            <w:r>
              <w:rPr>
                <w:rFonts w:ascii="Arial" w:eastAsia="宋体" w:hAnsi="Arial" w:cs="Arial"/>
                <w:color w:val="000000"/>
                <w:sz w:val="17"/>
                <w:szCs w:val="17"/>
              </w:rPr>
              <w:t>Diluted</w:t>
            </w:r>
          </w:p>
        </w:tc>
        <w:tc>
          <w:tcPr>
            <w:tcW w:w="0" w:type="auto"/>
            <w:tcBorders>
              <w:top w:val="single" w:sz="8" w:space="0" w:color="808080"/>
            </w:tcBorders>
            <w:shd w:val="clear" w:color="auto" w:fill="FFF1E7"/>
            <w:tcMar>
              <w:top w:w="40" w:type="dxa"/>
              <w:left w:w="20" w:type="dxa"/>
              <w:bottom w:w="40" w:type="dxa"/>
              <w:right w:w="0" w:type="dxa"/>
            </w:tcMar>
            <w:vAlign w:val="bottom"/>
          </w:tcPr>
          <w:p w14:paraId="669C5AB3"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669C5AB4" w14:textId="77777777" w:rsidR="00066C63" w:rsidRDefault="009656F6">
            <w:pPr>
              <w:jc w:val="right"/>
              <w:textAlignment w:val="bottom"/>
            </w:pPr>
            <w:r>
              <w:rPr>
                <w:rFonts w:ascii="Arial" w:eastAsia="宋体" w:hAnsi="Arial" w:cs="Arial"/>
                <w:color w:val="000000"/>
                <w:sz w:val="17"/>
                <w:szCs w:val="17"/>
              </w:rPr>
              <w:t>0.90 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5AB5" w14:textId="77777777" w:rsidR="00066C63" w:rsidRDefault="00066C63">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669C5AB6"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669C5AB7" w14:textId="77777777" w:rsidR="00066C63" w:rsidRDefault="009656F6">
            <w:pPr>
              <w:jc w:val="right"/>
              <w:textAlignment w:val="bottom"/>
            </w:pPr>
            <w:r>
              <w:rPr>
                <w:rFonts w:ascii="Arial" w:eastAsia="宋体" w:hAnsi="Arial" w:cs="Arial"/>
                <w:color w:val="000000"/>
                <w:sz w:val="17"/>
                <w:szCs w:val="17"/>
              </w:rPr>
              <w:t>0.53 </w:t>
            </w:r>
          </w:p>
        </w:tc>
        <w:tc>
          <w:tcPr>
            <w:tcW w:w="0" w:type="auto"/>
            <w:tcBorders>
              <w:top w:val="single" w:sz="8" w:space="0" w:color="808080"/>
            </w:tcBorders>
            <w:shd w:val="clear" w:color="auto" w:fill="auto"/>
            <w:tcMar>
              <w:top w:w="40" w:type="dxa"/>
              <w:left w:w="0" w:type="dxa"/>
              <w:bottom w:w="40" w:type="dxa"/>
              <w:right w:w="20" w:type="dxa"/>
            </w:tcMar>
            <w:vAlign w:val="bottom"/>
          </w:tcPr>
          <w:p w14:paraId="669C5AB8" w14:textId="77777777" w:rsidR="00066C63" w:rsidRDefault="00066C63">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5AB9" w14:textId="77777777" w:rsidR="00066C63" w:rsidRDefault="00066C63">
            <w:pPr>
              <w:rPr>
                <w:rFonts w:ascii="宋体"/>
              </w:rPr>
            </w:pPr>
          </w:p>
        </w:tc>
        <w:tc>
          <w:tcPr>
            <w:tcW w:w="0" w:type="auto"/>
            <w:tcBorders>
              <w:top w:val="single" w:sz="8" w:space="0" w:color="808080"/>
            </w:tcBorders>
            <w:shd w:val="clear" w:color="auto" w:fill="FFF1E7"/>
            <w:tcMar>
              <w:top w:w="40" w:type="dxa"/>
              <w:left w:w="20" w:type="dxa"/>
              <w:bottom w:w="40" w:type="dxa"/>
              <w:right w:w="0" w:type="dxa"/>
            </w:tcMar>
            <w:vAlign w:val="bottom"/>
          </w:tcPr>
          <w:p w14:paraId="669C5ABA"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669C5ABB" w14:textId="77777777" w:rsidR="00066C63" w:rsidRDefault="009656F6">
            <w:pPr>
              <w:jc w:val="right"/>
              <w:textAlignment w:val="bottom"/>
            </w:pPr>
            <w:r>
              <w:rPr>
                <w:rFonts w:ascii="Arial" w:eastAsia="宋体" w:hAnsi="Arial" w:cs="Arial"/>
                <w:color w:val="000000"/>
                <w:sz w:val="17"/>
                <w:szCs w:val="17"/>
              </w:rPr>
              <w:t>2.62 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5ABC" w14:textId="77777777" w:rsidR="00066C63" w:rsidRDefault="00066C63">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669C5ABD"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669C5ABE" w14:textId="77777777" w:rsidR="00066C63" w:rsidRDefault="009656F6">
            <w:pPr>
              <w:jc w:val="right"/>
              <w:textAlignment w:val="bottom"/>
            </w:pPr>
            <w:r>
              <w:rPr>
                <w:rFonts w:ascii="Arial" w:eastAsia="宋体" w:hAnsi="Arial" w:cs="Arial"/>
                <w:color w:val="000000"/>
                <w:sz w:val="17"/>
                <w:szCs w:val="17"/>
              </w:rPr>
              <w:t>2.09 </w:t>
            </w:r>
          </w:p>
        </w:tc>
        <w:tc>
          <w:tcPr>
            <w:tcW w:w="0" w:type="auto"/>
            <w:tcBorders>
              <w:top w:val="single" w:sz="8" w:space="0" w:color="808080"/>
            </w:tcBorders>
            <w:shd w:val="clear" w:color="auto" w:fill="auto"/>
            <w:tcMar>
              <w:top w:w="40" w:type="dxa"/>
              <w:left w:w="0" w:type="dxa"/>
              <w:bottom w:w="40" w:type="dxa"/>
              <w:right w:w="20" w:type="dxa"/>
            </w:tcMar>
            <w:vAlign w:val="bottom"/>
          </w:tcPr>
          <w:p w14:paraId="669C5ABF" w14:textId="77777777" w:rsidR="00066C63" w:rsidRDefault="00066C63">
            <w:pPr>
              <w:jc w:val="right"/>
              <w:rPr>
                <w:rFonts w:ascii="宋体"/>
              </w:rPr>
            </w:pPr>
          </w:p>
        </w:tc>
        <w:tc>
          <w:tcPr>
            <w:tcW w:w="0" w:type="auto"/>
            <w:shd w:val="clear" w:color="auto" w:fill="auto"/>
          </w:tcPr>
          <w:p w14:paraId="669C5AC0" w14:textId="77777777" w:rsidR="00066C63" w:rsidRDefault="00066C63">
            <w:pPr>
              <w:rPr>
                <w:rFonts w:ascii="宋体"/>
                <w:vanish/>
              </w:rPr>
            </w:pPr>
          </w:p>
        </w:tc>
        <w:tc>
          <w:tcPr>
            <w:tcW w:w="0" w:type="auto"/>
            <w:gridSpan w:val="3"/>
            <w:shd w:val="clear" w:color="auto" w:fill="auto"/>
          </w:tcPr>
          <w:p w14:paraId="669C5AC1" w14:textId="77777777" w:rsidR="00066C63" w:rsidRDefault="00066C63">
            <w:pPr>
              <w:rPr>
                <w:rFonts w:ascii="宋体"/>
                <w:vanish/>
              </w:rPr>
            </w:pPr>
          </w:p>
        </w:tc>
      </w:tr>
      <w:tr w:rsidR="00066C63" w14:paraId="669C5ACB"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5AC3" w14:textId="77777777" w:rsidR="00066C63" w:rsidRDefault="009656F6">
            <w:pPr>
              <w:textAlignment w:val="bottom"/>
            </w:pPr>
            <w:r>
              <w:rPr>
                <w:rFonts w:ascii="Arial" w:eastAsia="宋体" w:hAnsi="Arial" w:cs="Arial"/>
                <w:color w:val="000000"/>
                <w:sz w:val="17"/>
                <w:szCs w:val="17"/>
              </w:rPr>
              <w:t>Weighted average common shares outstanding:</w:t>
            </w:r>
          </w:p>
        </w:tc>
        <w:tc>
          <w:tcPr>
            <w:tcW w:w="0" w:type="auto"/>
            <w:gridSpan w:val="3"/>
            <w:tcBorders>
              <w:top w:val="single" w:sz="8" w:space="0" w:color="808080"/>
            </w:tcBorders>
            <w:shd w:val="clear" w:color="auto" w:fill="FFF1E7"/>
            <w:tcMar>
              <w:top w:w="0" w:type="dxa"/>
              <w:left w:w="20" w:type="dxa"/>
              <w:bottom w:w="0" w:type="dxa"/>
              <w:right w:w="20" w:type="dxa"/>
            </w:tcMar>
          </w:tcPr>
          <w:p w14:paraId="669C5AC4" w14:textId="77777777" w:rsidR="00066C63" w:rsidRDefault="00066C63">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5AC5" w14:textId="77777777" w:rsidR="00066C63" w:rsidRDefault="00066C63">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5AC6" w14:textId="77777777" w:rsidR="00066C63" w:rsidRDefault="00066C63">
            <w:pPr>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669C5AC7" w14:textId="77777777" w:rsidR="00066C63" w:rsidRDefault="00066C63">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5AC8" w14:textId="77777777" w:rsidR="00066C63" w:rsidRDefault="00066C63">
            <w:pPr>
              <w:rPr>
                <w:rFonts w:ascii="宋体"/>
              </w:rPr>
            </w:pPr>
          </w:p>
        </w:tc>
        <w:tc>
          <w:tcPr>
            <w:tcW w:w="0" w:type="auto"/>
            <w:shd w:val="clear" w:color="auto" w:fill="auto"/>
          </w:tcPr>
          <w:p w14:paraId="669C5AC9" w14:textId="77777777" w:rsidR="00066C63" w:rsidRDefault="00066C63">
            <w:pPr>
              <w:rPr>
                <w:rFonts w:ascii="宋体"/>
                <w:vanish/>
              </w:rPr>
            </w:pPr>
          </w:p>
        </w:tc>
        <w:tc>
          <w:tcPr>
            <w:tcW w:w="0" w:type="auto"/>
            <w:gridSpan w:val="3"/>
            <w:shd w:val="clear" w:color="auto" w:fill="auto"/>
          </w:tcPr>
          <w:p w14:paraId="669C5ACA" w14:textId="77777777" w:rsidR="00066C63" w:rsidRDefault="00066C63">
            <w:pPr>
              <w:rPr>
                <w:rFonts w:ascii="宋体"/>
                <w:vanish/>
              </w:rPr>
            </w:pPr>
          </w:p>
        </w:tc>
      </w:tr>
      <w:tr w:rsidR="00066C63" w14:paraId="669C5AD8"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5ACC" w14:textId="77777777" w:rsidR="00066C63" w:rsidRDefault="009656F6">
            <w:pPr>
              <w:textAlignment w:val="bottom"/>
            </w:pPr>
            <w:r>
              <w:rPr>
                <w:rFonts w:ascii="Arial" w:eastAsia="宋体" w:hAnsi="Arial" w:cs="Arial"/>
                <w:color w:val="000000"/>
                <w:sz w:val="17"/>
                <w:szCs w:val="17"/>
              </w:rPr>
              <w:t>Basic</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5ACD" w14:textId="77777777" w:rsidR="00066C63" w:rsidRDefault="009656F6">
            <w:pPr>
              <w:jc w:val="right"/>
              <w:textAlignment w:val="bottom"/>
            </w:pPr>
            <w:r>
              <w:rPr>
                <w:rFonts w:ascii="Arial" w:eastAsia="宋体" w:hAnsi="Arial" w:cs="Arial"/>
                <w:color w:val="000000"/>
                <w:sz w:val="17"/>
                <w:szCs w:val="17"/>
              </w:rPr>
              <w:t>1,578.0 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5ACE"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5ACF" w14:textId="77777777" w:rsidR="00066C63" w:rsidRDefault="009656F6">
            <w:pPr>
              <w:jc w:val="right"/>
              <w:textAlignment w:val="bottom"/>
            </w:pPr>
            <w:r>
              <w:rPr>
                <w:rFonts w:ascii="Arial" w:eastAsia="宋体" w:hAnsi="Arial" w:cs="Arial"/>
                <w:color w:val="000000"/>
                <w:sz w:val="17"/>
                <w:szCs w:val="17"/>
              </w:rPr>
              <w:t>1,556.3 </w:t>
            </w:r>
          </w:p>
        </w:tc>
        <w:tc>
          <w:tcPr>
            <w:tcW w:w="0" w:type="auto"/>
            <w:tcBorders>
              <w:top w:val="single" w:sz="8" w:space="0" w:color="808080"/>
            </w:tcBorders>
            <w:shd w:val="clear" w:color="auto" w:fill="auto"/>
            <w:tcMar>
              <w:top w:w="40" w:type="dxa"/>
              <w:left w:w="0" w:type="dxa"/>
              <w:bottom w:w="40" w:type="dxa"/>
              <w:right w:w="20" w:type="dxa"/>
            </w:tcMar>
            <w:vAlign w:val="bottom"/>
          </w:tcPr>
          <w:p w14:paraId="669C5AD0" w14:textId="77777777" w:rsidR="00066C63" w:rsidRDefault="00066C63">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5AD1" w14:textId="77777777" w:rsidR="00066C63" w:rsidRDefault="00066C63">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5AD2" w14:textId="77777777" w:rsidR="00066C63" w:rsidRDefault="009656F6">
            <w:pPr>
              <w:jc w:val="right"/>
              <w:textAlignment w:val="bottom"/>
            </w:pPr>
            <w:r>
              <w:rPr>
                <w:rFonts w:ascii="Arial" w:eastAsia="宋体" w:hAnsi="Arial" w:cs="Arial"/>
                <w:color w:val="000000"/>
                <w:sz w:val="17"/>
                <w:szCs w:val="17"/>
              </w:rPr>
              <w:t>1,570.9 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5AD3"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5AD4" w14:textId="77777777" w:rsidR="00066C63" w:rsidRDefault="009656F6">
            <w:pPr>
              <w:jc w:val="right"/>
              <w:textAlignment w:val="bottom"/>
            </w:pPr>
            <w:r>
              <w:rPr>
                <w:rFonts w:ascii="Arial" w:eastAsia="宋体" w:hAnsi="Arial" w:cs="Arial"/>
                <w:color w:val="000000"/>
                <w:sz w:val="17"/>
                <w:szCs w:val="17"/>
              </w:rPr>
              <w:t>1,559.8 </w:t>
            </w:r>
          </w:p>
        </w:tc>
        <w:tc>
          <w:tcPr>
            <w:tcW w:w="0" w:type="auto"/>
            <w:tcBorders>
              <w:top w:val="single" w:sz="8" w:space="0" w:color="808080"/>
            </w:tcBorders>
            <w:shd w:val="clear" w:color="auto" w:fill="auto"/>
            <w:tcMar>
              <w:top w:w="40" w:type="dxa"/>
              <w:left w:w="0" w:type="dxa"/>
              <w:bottom w:w="40" w:type="dxa"/>
              <w:right w:w="20" w:type="dxa"/>
            </w:tcMar>
            <w:vAlign w:val="bottom"/>
          </w:tcPr>
          <w:p w14:paraId="669C5AD5" w14:textId="77777777" w:rsidR="00066C63" w:rsidRDefault="00066C63">
            <w:pPr>
              <w:jc w:val="right"/>
              <w:rPr>
                <w:rFonts w:ascii="宋体"/>
              </w:rPr>
            </w:pPr>
          </w:p>
        </w:tc>
        <w:tc>
          <w:tcPr>
            <w:tcW w:w="0" w:type="auto"/>
            <w:shd w:val="clear" w:color="auto" w:fill="auto"/>
          </w:tcPr>
          <w:p w14:paraId="669C5AD6" w14:textId="77777777" w:rsidR="00066C63" w:rsidRDefault="00066C63">
            <w:pPr>
              <w:rPr>
                <w:rFonts w:ascii="宋体"/>
                <w:vanish/>
              </w:rPr>
            </w:pPr>
          </w:p>
        </w:tc>
        <w:tc>
          <w:tcPr>
            <w:tcW w:w="0" w:type="auto"/>
            <w:gridSpan w:val="3"/>
            <w:shd w:val="clear" w:color="auto" w:fill="auto"/>
          </w:tcPr>
          <w:p w14:paraId="669C5AD7" w14:textId="77777777" w:rsidR="00066C63" w:rsidRDefault="00066C63">
            <w:pPr>
              <w:rPr>
                <w:rFonts w:ascii="宋体"/>
                <w:vanish/>
              </w:rPr>
            </w:pPr>
          </w:p>
        </w:tc>
      </w:tr>
      <w:tr w:rsidR="00066C63" w14:paraId="669C5AE5" w14:textId="77777777">
        <w:tc>
          <w:tcPr>
            <w:tcW w:w="0" w:type="auto"/>
            <w:gridSpan w:val="3"/>
            <w:tcBorders>
              <w:top w:val="single" w:sz="8" w:space="0" w:color="808080"/>
              <w:bottom w:val="single" w:sz="8" w:space="0" w:color="E87722"/>
            </w:tcBorders>
            <w:shd w:val="clear" w:color="auto" w:fill="auto"/>
            <w:tcMar>
              <w:top w:w="40" w:type="dxa"/>
              <w:left w:w="155" w:type="dxa"/>
              <w:bottom w:w="40" w:type="dxa"/>
              <w:right w:w="20" w:type="dxa"/>
            </w:tcMar>
            <w:vAlign w:val="bottom"/>
          </w:tcPr>
          <w:p w14:paraId="669C5AD9" w14:textId="77777777" w:rsidR="00066C63" w:rsidRDefault="009656F6">
            <w:pPr>
              <w:textAlignment w:val="bottom"/>
            </w:pPr>
            <w:r>
              <w:rPr>
                <w:rFonts w:ascii="Arial" w:eastAsia="宋体" w:hAnsi="Arial" w:cs="Arial"/>
                <w:color w:val="000000"/>
                <w:sz w:val="17"/>
                <w:szCs w:val="17"/>
              </w:rPr>
              <w:t>Diluted</w:t>
            </w:r>
          </w:p>
        </w:tc>
        <w:tc>
          <w:tcPr>
            <w:tcW w:w="0" w:type="auto"/>
            <w:gridSpan w:val="2"/>
            <w:tcBorders>
              <w:top w:val="single" w:sz="8" w:space="0" w:color="808080"/>
              <w:bottom w:val="single" w:sz="8" w:space="0" w:color="E87722"/>
            </w:tcBorders>
            <w:shd w:val="clear" w:color="auto" w:fill="FFF1E7"/>
            <w:tcMar>
              <w:top w:w="40" w:type="dxa"/>
              <w:left w:w="20" w:type="dxa"/>
              <w:bottom w:w="40" w:type="dxa"/>
              <w:right w:w="0" w:type="dxa"/>
            </w:tcMar>
            <w:vAlign w:val="bottom"/>
          </w:tcPr>
          <w:p w14:paraId="669C5ADA" w14:textId="77777777" w:rsidR="00066C63" w:rsidRDefault="009656F6">
            <w:pPr>
              <w:jc w:val="right"/>
              <w:textAlignment w:val="bottom"/>
            </w:pPr>
            <w:r>
              <w:rPr>
                <w:rFonts w:ascii="Arial" w:eastAsia="宋体" w:hAnsi="Arial" w:cs="Arial"/>
                <w:color w:val="000000"/>
                <w:sz w:val="17"/>
                <w:szCs w:val="17"/>
              </w:rPr>
              <w:t>1,616.9 </w:t>
            </w:r>
          </w:p>
        </w:tc>
        <w:tc>
          <w:tcPr>
            <w:tcW w:w="0" w:type="auto"/>
            <w:tcBorders>
              <w:top w:val="single" w:sz="8" w:space="0" w:color="808080"/>
              <w:bottom w:val="single" w:sz="8" w:space="0" w:color="E87722"/>
            </w:tcBorders>
            <w:shd w:val="clear" w:color="auto" w:fill="FFF1E7"/>
            <w:tcMar>
              <w:top w:w="40" w:type="dxa"/>
              <w:left w:w="0" w:type="dxa"/>
              <w:bottom w:w="40" w:type="dxa"/>
              <w:right w:w="20" w:type="dxa"/>
            </w:tcMar>
            <w:vAlign w:val="bottom"/>
          </w:tcPr>
          <w:p w14:paraId="669C5ADB" w14:textId="77777777" w:rsidR="00066C63" w:rsidRDefault="00066C63">
            <w:pPr>
              <w:jc w:val="right"/>
              <w:rPr>
                <w:rFonts w:ascii="宋体"/>
              </w:rPr>
            </w:pPr>
          </w:p>
        </w:tc>
        <w:tc>
          <w:tcPr>
            <w:tcW w:w="0" w:type="auto"/>
            <w:gridSpan w:val="2"/>
            <w:tcBorders>
              <w:top w:val="single" w:sz="8" w:space="0" w:color="808080"/>
              <w:bottom w:val="single" w:sz="8" w:space="0" w:color="E87722"/>
            </w:tcBorders>
            <w:shd w:val="clear" w:color="auto" w:fill="auto"/>
            <w:tcMar>
              <w:top w:w="40" w:type="dxa"/>
              <w:left w:w="20" w:type="dxa"/>
              <w:bottom w:w="40" w:type="dxa"/>
              <w:right w:w="0" w:type="dxa"/>
            </w:tcMar>
            <w:vAlign w:val="bottom"/>
          </w:tcPr>
          <w:p w14:paraId="669C5ADC" w14:textId="77777777" w:rsidR="00066C63" w:rsidRDefault="009656F6">
            <w:pPr>
              <w:jc w:val="right"/>
              <w:textAlignment w:val="bottom"/>
            </w:pPr>
            <w:r>
              <w:rPr>
                <w:rFonts w:ascii="Arial" w:eastAsia="宋体" w:hAnsi="Arial" w:cs="Arial"/>
                <w:color w:val="000000"/>
                <w:sz w:val="17"/>
                <w:szCs w:val="17"/>
              </w:rPr>
              <w:t>1,591.6 </w:t>
            </w:r>
          </w:p>
        </w:tc>
        <w:tc>
          <w:tcPr>
            <w:tcW w:w="0" w:type="auto"/>
            <w:tcBorders>
              <w:top w:val="single" w:sz="8" w:space="0" w:color="808080"/>
              <w:bottom w:val="single" w:sz="8" w:space="0" w:color="E87722"/>
            </w:tcBorders>
            <w:shd w:val="clear" w:color="auto" w:fill="auto"/>
            <w:tcMar>
              <w:top w:w="40" w:type="dxa"/>
              <w:left w:w="0" w:type="dxa"/>
              <w:bottom w:w="40" w:type="dxa"/>
              <w:right w:w="20" w:type="dxa"/>
            </w:tcMar>
            <w:vAlign w:val="bottom"/>
          </w:tcPr>
          <w:p w14:paraId="669C5ADD" w14:textId="77777777" w:rsidR="00066C63" w:rsidRDefault="00066C63">
            <w:pPr>
              <w:jc w:val="right"/>
              <w:rPr>
                <w:rFonts w:ascii="宋体"/>
              </w:rPr>
            </w:pPr>
          </w:p>
        </w:tc>
        <w:tc>
          <w:tcPr>
            <w:tcW w:w="0" w:type="auto"/>
            <w:gridSpan w:val="3"/>
            <w:tcBorders>
              <w:top w:val="single" w:sz="8" w:space="0" w:color="808080"/>
              <w:bottom w:val="single" w:sz="8" w:space="0" w:color="E87722"/>
            </w:tcBorders>
            <w:shd w:val="clear" w:color="auto" w:fill="auto"/>
            <w:tcMar>
              <w:top w:w="0" w:type="dxa"/>
              <w:left w:w="20" w:type="dxa"/>
              <w:bottom w:w="0" w:type="dxa"/>
              <w:right w:w="20" w:type="dxa"/>
            </w:tcMar>
          </w:tcPr>
          <w:p w14:paraId="669C5ADE" w14:textId="77777777" w:rsidR="00066C63" w:rsidRDefault="00066C63">
            <w:pPr>
              <w:rPr>
                <w:rFonts w:ascii="宋体"/>
              </w:rPr>
            </w:pPr>
          </w:p>
        </w:tc>
        <w:tc>
          <w:tcPr>
            <w:tcW w:w="0" w:type="auto"/>
            <w:gridSpan w:val="2"/>
            <w:tcBorders>
              <w:top w:val="single" w:sz="8" w:space="0" w:color="808080"/>
              <w:bottom w:val="single" w:sz="8" w:space="0" w:color="E87722"/>
            </w:tcBorders>
            <w:shd w:val="clear" w:color="auto" w:fill="FFF1E7"/>
            <w:tcMar>
              <w:top w:w="40" w:type="dxa"/>
              <w:left w:w="20" w:type="dxa"/>
              <w:bottom w:w="40" w:type="dxa"/>
              <w:right w:w="0" w:type="dxa"/>
            </w:tcMar>
            <w:vAlign w:val="bottom"/>
          </w:tcPr>
          <w:p w14:paraId="669C5ADF" w14:textId="77777777" w:rsidR="00066C63" w:rsidRDefault="009656F6">
            <w:pPr>
              <w:jc w:val="right"/>
              <w:textAlignment w:val="bottom"/>
            </w:pPr>
            <w:r>
              <w:rPr>
                <w:rFonts w:ascii="Arial" w:eastAsia="宋体" w:hAnsi="Arial" w:cs="Arial"/>
                <w:color w:val="000000"/>
                <w:sz w:val="17"/>
                <w:szCs w:val="17"/>
              </w:rPr>
              <w:t>1,607.3 </w:t>
            </w:r>
          </w:p>
        </w:tc>
        <w:tc>
          <w:tcPr>
            <w:tcW w:w="0" w:type="auto"/>
            <w:tcBorders>
              <w:top w:val="single" w:sz="8" w:space="0" w:color="808080"/>
              <w:bottom w:val="single" w:sz="8" w:space="0" w:color="E87722"/>
            </w:tcBorders>
            <w:shd w:val="clear" w:color="auto" w:fill="FFF1E7"/>
            <w:tcMar>
              <w:top w:w="40" w:type="dxa"/>
              <w:left w:w="0" w:type="dxa"/>
              <w:bottom w:w="40" w:type="dxa"/>
              <w:right w:w="20" w:type="dxa"/>
            </w:tcMar>
            <w:vAlign w:val="bottom"/>
          </w:tcPr>
          <w:p w14:paraId="669C5AE0" w14:textId="77777777" w:rsidR="00066C63" w:rsidRDefault="00066C63">
            <w:pPr>
              <w:jc w:val="right"/>
              <w:rPr>
                <w:rFonts w:ascii="宋体"/>
              </w:rPr>
            </w:pPr>
          </w:p>
        </w:tc>
        <w:tc>
          <w:tcPr>
            <w:tcW w:w="0" w:type="auto"/>
            <w:gridSpan w:val="2"/>
            <w:tcBorders>
              <w:top w:val="single" w:sz="8" w:space="0" w:color="808080"/>
              <w:bottom w:val="single" w:sz="8" w:space="0" w:color="E87722"/>
            </w:tcBorders>
            <w:shd w:val="clear" w:color="auto" w:fill="auto"/>
            <w:tcMar>
              <w:top w:w="40" w:type="dxa"/>
              <w:left w:w="20" w:type="dxa"/>
              <w:bottom w:w="40" w:type="dxa"/>
              <w:right w:w="0" w:type="dxa"/>
            </w:tcMar>
            <w:vAlign w:val="bottom"/>
          </w:tcPr>
          <w:p w14:paraId="669C5AE1" w14:textId="77777777" w:rsidR="00066C63" w:rsidRDefault="009656F6">
            <w:pPr>
              <w:jc w:val="right"/>
              <w:textAlignment w:val="bottom"/>
            </w:pPr>
            <w:r>
              <w:rPr>
                <w:rFonts w:ascii="Arial" w:eastAsia="宋体" w:hAnsi="Arial" w:cs="Arial"/>
                <w:color w:val="000000"/>
                <w:sz w:val="17"/>
                <w:szCs w:val="17"/>
              </w:rPr>
              <w:t>1,594.6 </w:t>
            </w:r>
          </w:p>
        </w:tc>
        <w:tc>
          <w:tcPr>
            <w:tcW w:w="0" w:type="auto"/>
            <w:tcBorders>
              <w:top w:val="single" w:sz="8" w:space="0" w:color="808080"/>
              <w:bottom w:val="single" w:sz="8" w:space="0" w:color="E87722"/>
            </w:tcBorders>
            <w:shd w:val="clear" w:color="auto" w:fill="auto"/>
            <w:tcMar>
              <w:top w:w="40" w:type="dxa"/>
              <w:left w:w="0" w:type="dxa"/>
              <w:bottom w:w="40" w:type="dxa"/>
              <w:right w:w="20" w:type="dxa"/>
            </w:tcMar>
            <w:vAlign w:val="bottom"/>
          </w:tcPr>
          <w:p w14:paraId="669C5AE2" w14:textId="77777777" w:rsidR="00066C63" w:rsidRDefault="00066C63">
            <w:pPr>
              <w:jc w:val="right"/>
              <w:rPr>
                <w:rFonts w:ascii="宋体"/>
              </w:rPr>
            </w:pPr>
          </w:p>
        </w:tc>
        <w:tc>
          <w:tcPr>
            <w:tcW w:w="0" w:type="auto"/>
            <w:shd w:val="clear" w:color="auto" w:fill="auto"/>
          </w:tcPr>
          <w:p w14:paraId="669C5AE3" w14:textId="77777777" w:rsidR="00066C63" w:rsidRDefault="00066C63">
            <w:pPr>
              <w:rPr>
                <w:rFonts w:ascii="宋体"/>
                <w:vanish/>
              </w:rPr>
            </w:pPr>
          </w:p>
        </w:tc>
        <w:tc>
          <w:tcPr>
            <w:tcW w:w="0" w:type="auto"/>
            <w:gridSpan w:val="3"/>
            <w:shd w:val="clear" w:color="auto" w:fill="auto"/>
          </w:tcPr>
          <w:p w14:paraId="669C5AE4" w14:textId="77777777" w:rsidR="00066C63" w:rsidRDefault="00066C63">
            <w:pPr>
              <w:rPr>
                <w:rFonts w:ascii="宋体"/>
                <w:vanish/>
              </w:rPr>
            </w:pPr>
          </w:p>
        </w:tc>
      </w:tr>
    </w:tbl>
    <w:p w14:paraId="669C5AE6" w14:textId="77777777" w:rsidR="00066C63" w:rsidRDefault="009656F6">
      <w:pPr>
        <w:spacing w:before="120" w:after="120"/>
      </w:pPr>
      <w:r>
        <w:rPr>
          <w:rFonts w:ascii="Arial" w:eastAsia="宋体" w:hAnsi="Arial" w:cs="Arial"/>
          <w:i/>
          <w:iCs/>
          <w:color w:val="000000"/>
          <w:sz w:val="17"/>
          <w:szCs w:val="17"/>
        </w:rPr>
        <w:t>The accompanying Notes to the Unaudited Condensed Consolidated Financial Statements are an integral part of this statement.</w:t>
      </w:r>
    </w:p>
    <w:p w14:paraId="669C5AE7" w14:textId="77777777" w:rsidR="00066C63" w:rsidRDefault="009656F6">
      <w:pPr>
        <w:spacing w:before="120" w:after="120"/>
        <w:jc w:val="right"/>
      </w:pPr>
      <w:r>
        <w:rPr>
          <w:rFonts w:ascii="Arial" w:eastAsia="宋体" w:hAnsi="Arial" w:cs="Arial"/>
          <w:color w:val="E87722"/>
          <w:sz w:val="17"/>
          <w:szCs w:val="17"/>
        </w:rPr>
        <w:t>1</w:t>
      </w:r>
    </w:p>
    <w:p w14:paraId="669C5AE8" w14:textId="77777777" w:rsidR="00066C63" w:rsidRDefault="009656F6">
      <w:r>
        <w:pict w14:anchorId="669C7E31">
          <v:rect id="_x0000_i1027" style="width:415.3pt;height:1.5pt" o:hralign="center" o:hrstd="t" o:hr="t" fillcolor="#a0a0a0" stroked="f"/>
        </w:pict>
      </w:r>
    </w:p>
    <w:p w14:paraId="669C5AE9" w14:textId="77777777" w:rsidR="00066C63" w:rsidRDefault="00066C63"/>
    <w:p w14:paraId="669C5AEA" w14:textId="77777777" w:rsidR="00066C63" w:rsidRDefault="009656F6">
      <w:hyperlink r:id="rId44" w:anchor="i1e99cb26debe49fe8b698d0f0eb1273a_7" w:history="1">
        <w:r>
          <w:rPr>
            <w:rStyle w:val="a5"/>
            <w:rFonts w:ascii="sans-serif" w:eastAsia="sans-serif" w:hAnsi="sans-serif" w:cs="sans-serif"/>
            <w:sz w:val="17"/>
            <w:szCs w:val="17"/>
          </w:rPr>
          <w:t>Table of Contents</w:t>
        </w:r>
      </w:hyperlink>
    </w:p>
    <w:p w14:paraId="669C5AEB" w14:textId="77777777" w:rsidR="00066C63" w:rsidRDefault="00066C63"/>
    <w:p w14:paraId="669C5AEC" w14:textId="77777777" w:rsidR="00066C63" w:rsidRDefault="009656F6">
      <w:pPr>
        <w:spacing w:before="300"/>
      </w:pPr>
      <w:r>
        <w:rPr>
          <w:rFonts w:ascii="sans-serif" w:eastAsia="sans-serif" w:hAnsi="sans-serif" w:cs="sans-serif"/>
          <w:b/>
          <w:bCs/>
          <w:color w:val="E87722"/>
          <w:sz w:val="36"/>
          <w:szCs w:val="36"/>
        </w:rPr>
        <w:t>NIKE, INC.</w:t>
      </w:r>
    </w:p>
    <w:p w14:paraId="669C5AED" w14:textId="77777777" w:rsidR="00066C63" w:rsidRDefault="009656F6">
      <w:pPr>
        <w:spacing w:before="120" w:after="120"/>
      </w:pPr>
      <w:r>
        <w:rPr>
          <w:rFonts w:ascii="sans-serif" w:eastAsia="sans-serif" w:hAnsi="sans-serif" w:cs="sans-serif"/>
          <w:b/>
          <w:bCs/>
          <w:color w:val="000000"/>
          <w:sz w:val="28"/>
          <w:szCs w:val="28"/>
        </w:rPr>
        <w:t>UNAUDITED CONDENSED CONSOLIDATED STATEMENTS OF COMPREHENSIVE INCOME</w:t>
      </w:r>
    </w:p>
    <w:tbl>
      <w:tblPr>
        <w:tblW w:w="5000" w:type="pct"/>
        <w:tblCellMar>
          <w:top w:w="15" w:type="dxa"/>
          <w:left w:w="15" w:type="dxa"/>
          <w:bottom w:w="15" w:type="dxa"/>
          <w:right w:w="15" w:type="dxa"/>
        </w:tblCellMar>
        <w:tblLook w:val="04A0" w:firstRow="1" w:lastRow="0" w:firstColumn="1" w:lastColumn="0" w:noHBand="0" w:noVBand="1"/>
      </w:tblPr>
      <w:tblGrid>
        <w:gridCol w:w="39"/>
        <w:gridCol w:w="3285"/>
        <w:gridCol w:w="38"/>
        <w:gridCol w:w="116"/>
        <w:gridCol w:w="1037"/>
        <w:gridCol w:w="37"/>
        <w:gridCol w:w="116"/>
        <w:gridCol w:w="1037"/>
        <w:gridCol w:w="36"/>
        <w:gridCol w:w="36"/>
        <w:gridCol w:w="36"/>
        <w:gridCol w:w="36"/>
        <w:gridCol w:w="116"/>
        <w:gridCol w:w="1000"/>
        <w:gridCol w:w="37"/>
        <w:gridCol w:w="116"/>
        <w:gridCol w:w="1037"/>
        <w:gridCol w:w="37"/>
        <w:gridCol w:w="36"/>
        <w:gridCol w:w="36"/>
        <w:gridCol w:w="36"/>
        <w:gridCol w:w="36"/>
      </w:tblGrid>
      <w:tr w:rsidR="00066C63" w14:paraId="669C5B02" w14:textId="77777777">
        <w:tc>
          <w:tcPr>
            <w:tcW w:w="50" w:type="pct"/>
            <w:shd w:val="clear" w:color="auto" w:fill="auto"/>
          </w:tcPr>
          <w:p w14:paraId="669C5AEE" w14:textId="77777777" w:rsidR="00066C63" w:rsidRDefault="00066C63">
            <w:pPr>
              <w:rPr>
                <w:rFonts w:ascii="宋体"/>
              </w:rPr>
            </w:pPr>
          </w:p>
        </w:tc>
        <w:tc>
          <w:tcPr>
            <w:tcW w:w="2036" w:type="pct"/>
            <w:shd w:val="clear" w:color="auto" w:fill="auto"/>
          </w:tcPr>
          <w:p w14:paraId="669C5AEF" w14:textId="77777777" w:rsidR="00066C63" w:rsidRDefault="00066C63">
            <w:pPr>
              <w:rPr>
                <w:rFonts w:ascii="宋体"/>
              </w:rPr>
            </w:pPr>
          </w:p>
        </w:tc>
        <w:tc>
          <w:tcPr>
            <w:tcW w:w="5" w:type="pct"/>
            <w:shd w:val="clear" w:color="auto" w:fill="auto"/>
          </w:tcPr>
          <w:p w14:paraId="669C5AF0" w14:textId="77777777" w:rsidR="00066C63" w:rsidRDefault="00066C63">
            <w:pPr>
              <w:rPr>
                <w:rFonts w:ascii="宋体"/>
              </w:rPr>
            </w:pPr>
          </w:p>
        </w:tc>
        <w:tc>
          <w:tcPr>
            <w:tcW w:w="50" w:type="pct"/>
            <w:shd w:val="clear" w:color="auto" w:fill="auto"/>
          </w:tcPr>
          <w:p w14:paraId="669C5AF1" w14:textId="77777777" w:rsidR="00066C63" w:rsidRDefault="00066C63">
            <w:pPr>
              <w:rPr>
                <w:rFonts w:ascii="宋体"/>
              </w:rPr>
            </w:pPr>
          </w:p>
        </w:tc>
        <w:tc>
          <w:tcPr>
            <w:tcW w:w="662" w:type="pct"/>
            <w:shd w:val="clear" w:color="auto" w:fill="auto"/>
          </w:tcPr>
          <w:p w14:paraId="669C5AF2" w14:textId="77777777" w:rsidR="00066C63" w:rsidRDefault="00066C63">
            <w:pPr>
              <w:rPr>
                <w:rFonts w:ascii="宋体"/>
              </w:rPr>
            </w:pPr>
          </w:p>
        </w:tc>
        <w:tc>
          <w:tcPr>
            <w:tcW w:w="5" w:type="pct"/>
            <w:shd w:val="clear" w:color="auto" w:fill="auto"/>
          </w:tcPr>
          <w:p w14:paraId="669C5AF3" w14:textId="77777777" w:rsidR="00066C63" w:rsidRDefault="00066C63">
            <w:pPr>
              <w:rPr>
                <w:rFonts w:ascii="宋体"/>
              </w:rPr>
            </w:pPr>
          </w:p>
        </w:tc>
        <w:tc>
          <w:tcPr>
            <w:tcW w:w="50" w:type="pct"/>
            <w:shd w:val="clear" w:color="auto" w:fill="auto"/>
          </w:tcPr>
          <w:p w14:paraId="669C5AF4" w14:textId="77777777" w:rsidR="00066C63" w:rsidRDefault="00066C63">
            <w:pPr>
              <w:rPr>
                <w:rFonts w:ascii="宋体"/>
              </w:rPr>
            </w:pPr>
          </w:p>
        </w:tc>
        <w:tc>
          <w:tcPr>
            <w:tcW w:w="662" w:type="pct"/>
            <w:shd w:val="clear" w:color="auto" w:fill="auto"/>
          </w:tcPr>
          <w:p w14:paraId="669C5AF5" w14:textId="77777777" w:rsidR="00066C63" w:rsidRDefault="00066C63">
            <w:pPr>
              <w:rPr>
                <w:rFonts w:ascii="宋体"/>
              </w:rPr>
            </w:pPr>
          </w:p>
        </w:tc>
        <w:tc>
          <w:tcPr>
            <w:tcW w:w="5" w:type="pct"/>
            <w:shd w:val="clear" w:color="auto" w:fill="auto"/>
          </w:tcPr>
          <w:p w14:paraId="669C5AF6" w14:textId="77777777" w:rsidR="00066C63" w:rsidRDefault="00066C63">
            <w:pPr>
              <w:rPr>
                <w:rFonts w:ascii="宋体"/>
              </w:rPr>
            </w:pPr>
          </w:p>
        </w:tc>
        <w:tc>
          <w:tcPr>
            <w:tcW w:w="5" w:type="pct"/>
            <w:shd w:val="clear" w:color="auto" w:fill="auto"/>
          </w:tcPr>
          <w:p w14:paraId="669C5AF7" w14:textId="77777777" w:rsidR="00066C63" w:rsidRDefault="00066C63">
            <w:pPr>
              <w:rPr>
                <w:rFonts w:ascii="宋体"/>
              </w:rPr>
            </w:pPr>
          </w:p>
        </w:tc>
        <w:tc>
          <w:tcPr>
            <w:tcW w:w="28" w:type="pct"/>
            <w:shd w:val="clear" w:color="auto" w:fill="auto"/>
          </w:tcPr>
          <w:p w14:paraId="669C5AF8" w14:textId="77777777" w:rsidR="00066C63" w:rsidRDefault="00066C63">
            <w:pPr>
              <w:rPr>
                <w:rFonts w:ascii="宋体"/>
              </w:rPr>
            </w:pPr>
          </w:p>
        </w:tc>
        <w:tc>
          <w:tcPr>
            <w:tcW w:w="5" w:type="pct"/>
            <w:shd w:val="clear" w:color="auto" w:fill="auto"/>
          </w:tcPr>
          <w:p w14:paraId="669C5AF9" w14:textId="77777777" w:rsidR="00066C63" w:rsidRDefault="00066C63">
            <w:pPr>
              <w:rPr>
                <w:rFonts w:ascii="宋体"/>
              </w:rPr>
            </w:pPr>
          </w:p>
        </w:tc>
        <w:tc>
          <w:tcPr>
            <w:tcW w:w="50" w:type="pct"/>
            <w:shd w:val="clear" w:color="auto" w:fill="auto"/>
          </w:tcPr>
          <w:p w14:paraId="669C5AFA" w14:textId="77777777" w:rsidR="00066C63" w:rsidRDefault="00066C63">
            <w:pPr>
              <w:rPr>
                <w:rFonts w:ascii="宋体"/>
              </w:rPr>
            </w:pPr>
          </w:p>
        </w:tc>
        <w:tc>
          <w:tcPr>
            <w:tcW w:w="662" w:type="pct"/>
            <w:shd w:val="clear" w:color="auto" w:fill="auto"/>
          </w:tcPr>
          <w:p w14:paraId="669C5AFB" w14:textId="77777777" w:rsidR="00066C63" w:rsidRDefault="00066C63">
            <w:pPr>
              <w:rPr>
                <w:rFonts w:ascii="宋体"/>
              </w:rPr>
            </w:pPr>
          </w:p>
        </w:tc>
        <w:tc>
          <w:tcPr>
            <w:tcW w:w="5" w:type="pct"/>
            <w:shd w:val="clear" w:color="auto" w:fill="auto"/>
          </w:tcPr>
          <w:p w14:paraId="669C5AFC" w14:textId="77777777" w:rsidR="00066C63" w:rsidRDefault="00066C63">
            <w:pPr>
              <w:rPr>
                <w:rFonts w:ascii="宋体"/>
              </w:rPr>
            </w:pPr>
          </w:p>
        </w:tc>
        <w:tc>
          <w:tcPr>
            <w:tcW w:w="50" w:type="pct"/>
            <w:shd w:val="clear" w:color="auto" w:fill="auto"/>
          </w:tcPr>
          <w:p w14:paraId="669C5AFD" w14:textId="77777777" w:rsidR="00066C63" w:rsidRDefault="00066C63">
            <w:pPr>
              <w:rPr>
                <w:rFonts w:ascii="宋体"/>
              </w:rPr>
            </w:pPr>
          </w:p>
        </w:tc>
        <w:tc>
          <w:tcPr>
            <w:tcW w:w="662" w:type="pct"/>
            <w:shd w:val="clear" w:color="auto" w:fill="auto"/>
          </w:tcPr>
          <w:p w14:paraId="669C5AFE" w14:textId="77777777" w:rsidR="00066C63" w:rsidRDefault="00066C63">
            <w:pPr>
              <w:rPr>
                <w:rFonts w:ascii="宋体"/>
              </w:rPr>
            </w:pPr>
          </w:p>
        </w:tc>
        <w:tc>
          <w:tcPr>
            <w:tcW w:w="5" w:type="pct"/>
            <w:shd w:val="clear" w:color="auto" w:fill="auto"/>
          </w:tcPr>
          <w:p w14:paraId="669C5AFF" w14:textId="77777777" w:rsidR="00066C63" w:rsidRDefault="00066C63">
            <w:pPr>
              <w:rPr>
                <w:rFonts w:ascii="宋体"/>
              </w:rPr>
            </w:pPr>
          </w:p>
        </w:tc>
        <w:tc>
          <w:tcPr>
            <w:tcW w:w="0" w:type="auto"/>
            <w:shd w:val="clear" w:color="auto" w:fill="auto"/>
          </w:tcPr>
          <w:p w14:paraId="669C5B00" w14:textId="77777777" w:rsidR="00066C63" w:rsidRDefault="00066C63">
            <w:pPr>
              <w:rPr>
                <w:rFonts w:ascii="宋体"/>
                <w:vanish/>
              </w:rPr>
            </w:pPr>
          </w:p>
        </w:tc>
        <w:tc>
          <w:tcPr>
            <w:tcW w:w="0" w:type="auto"/>
            <w:gridSpan w:val="3"/>
            <w:shd w:val="clear" w:color="auto" w:fill="auto"/>
          </w:tcPr>
          <w:p w14:paraId="669C5B01" w14:textId="77777777" w:rsidR="00066C63" w:rsidRDefault="00066C63">
            <w:pPr>
              <w:rPr>
                <w:rFonts w:ascii="宋体"/>
                <w:vanish/>
              </w:rPr>
            </w:pPr>
          </w:p>
        </w:tc>
      </w:tr>
      <w:tr w:rsidR="00066C63" w14:paraId="669C5B0B" w14:textId="77777777">
        <w:tc>
          <w:tcPr>
            <w:tcW w:w="0" w:type="auto"/>
            <w:gridSpan w:val="3"/>
            <w:shd w:val="clear" w:color="auto" w:fill="auto"/>
            <w:tcMar>
              <w:top w:w="0" w:type="dxa"/>
              <w:left w:w="20" w:type="dxa"/>
              <w:bottom w:w="0" w:type="dxa"/>
              <w:right w:w="20" w:type="dxa"/>
            </w:tcMar>
          </w:tcPr>
          <w:p w14:paraId="669C5B03" w14:textId="77777777" w:rsidR="00066C63" w:rsidRDefault="00066C63">
            <w:pPr>
              <w:rPr>
                <w:rFonts w:ascii="宋体"/>
              </w:rPr>
            </w:pPr>
          </w:p>
        </w:tc>
        <w:tc>
          <w:tcPr>
            <w:tcW w:w="0" w:type="auto"/>
            <w:gridSpan w:val="6"/>
            <w:shd w:val="clear" w:color="auto" w:fill="auto"/>
            <w:tcMar>
              <w:top w:w="40" w:type="dxa"/>
              <w:left w:w="20" w:type="dxa"/>
              <w:bottom w:w="40" w:type="dxa"/>
              <w:right w:w="20" w:type="dxa"/>
            </w:tcMar>
            <w:vAlign w:val="bottom"/>
          </w:tcPr>
          <w:p w14:paraId="669C5B04" w14:textId="77777777" w:rsidR="00066C63" w:rsidRDefault="009656F6">
            <w:pPr>
              <w:jc w:val="center"/>
              <w:textAlignment w:val="bottom"/>
            </w:pPr>
            <w:r>
              <w:rPr>
                <w:rFonts w:ascii="sans-serif" w:eastAsia="sans-serif" w:hAnsi="sans-serif" w:cs="sans-serif"/>
                <w:b/>
                <w:bCs/>
                <w:color w:val="000000"/>
                <w:sz w:val="17"/>
                <w:szCs w:val="17"/>
              </w:rPr>
              <w:t>THREE</w:t>
            </w:r>
            <w:r>
              <w:rPr>
                <w:rFonts w:ascii="sans-serif" w:eastAsia="sans-serif" w:hAnsi="sans-serif" w:cs="sans-serif"/>
                <w:b/>
                <w:bCs/>
                <w:color w:val="000000"/>
                <w:sz w:val="17"/>
                <w:szCs w:val="17"/>
              </w:rPr>
              <w:t xml:space="preserve"> MONTHS ENDED </w:t>
            </w:r>
          </w:p>
        </w:tc>
        <w:tc>
          <w:tcPr>
            <w:tcW w:w="0" w:type="auto"/>
            <w:gridSpan w:val="3"/>
            <w:shd w:val="clear" w:color="auto" w:fill="auto"/>
            <w:tcMar>
              <w:top w:w="0" w:type="dxa"/>
              <w:left w:w="20" w:type="dxa"/>
              <w:bottom w:w="0" w:type="dxa"/>
              <w:right w:w="20" w:type="dxa"/>
            </w:tcMar>
          </w:tcPr>
          <w:p w14:paraId="669C5B05" w14:textId="77777777" w:rsidR="00066C63" w:rsidRDefault="00066C63">
            <w:pPr>
              <w:rPr>
                <w:rFonts w:ascii="宋体"/>
              </w:rPr>
            </w:pPr>
          </w:p>
        </w:tc>
        <w:tc>
          <w:tcPr>
            <w:tcW w:w="0" w:type="auto"/>
            <w:gridSpan w:val="6"/>
            <w:shd w:val="clear" w:color="auto" w:fill="auto"/>
            <w:tcMar>
              <w:top w:w="40" w:type="dxa"/>
              <w:left w:w="20" w:type="dxa"/>
              <w:bottom w:w="40" w:type="dxa"/>
              <w:right w:w="20" w:type="dxa"/>
            </w:tcMar>
            <w:vAlign w:val="bottom"/>
          </w:tcPr>
          <w:p w14:paraId="669C5B06" w14:textId="77777777" w:rsidR="00066C63" w:rsidRDefault="009656F6">
            <w:pPr>
              <w:jc w:val="center"/>
              <w:textAlignment w:val="bottom"/>
            </w:pPr>
            <w:r>
              <w:rPr>
                <w:rFonts w:ascii="sans-serif" w:eastAsia="sans-serif" w:hAnsi="sans-serif" w:cs="sans-serif"/>
                <w:b/>
                <w:bCs/>
                <w:color w:val="000000"/>
                <w:sz w:val="17"/>
                <w:szCs w:val="17"/>
              </w:rPr>
              <w:t xml:space="preserve">NINE MONTHS ENDED </w:t>
            </w:r>
          </w:p>
        </w:tc>
        <w:tc>
          <w:tcPr>
            <w:tcW w:w="0" w:type="auto"/>
            <w:shd w:val="clear" w:color="auto" w:fill="auto"/>
          </w:tcPr>
          <w:p w14:paraId="669C5B07" w14:textId="77777777" w:rsidR="00066C63" w:rsidRDefault="00066C63">
            <w:pPr>
              <w:rPr>
                <w:rFonts w:ascii="宋体"/>
                <w:vanish/>
              </w:rPr>
            </w:pPr>
          </w:p>
        </w:tc>
        <w:tc>
          <w:tcPr>
            <w:tcW w:w="0" w:type="auto"/>
            <w:shd w:val="clear" w:color="auto" w:fill="auto"/>
          </w:tcPr>
          <w:p w14:paraId="669C5B08" w14:textId="77777777" w:rsidR="00066C63" w:rsidRDefault="00066C63">
            <w:pPr>
              <w:rPr>
                <w:rFonts w:ascii="宋体"/>
              </w:rPr>
            </w:pPr>
          </w:p>
        </w:tc>
        <w:tc>
          <w:tcPr>
            <w:tcW w:w="0" w:type="auto"/>
            <w:shd w:val="clear" w:color="auto" w:fill="auto"/>
          </w:tcPr>
          <w:p w14:paraId="669C5B09" w14:textId="77777777" w:rsidR="00066C63" w:rsidRDefault="00066C63">
            <w:pPr>
              <w:rPr>
                <w:rFonts w:ascii="宋体"/>
              </w:rPr>
            </w:pPr>
          </w:p>
        </w:tc>
        <w:tc>
          <w:tcPr>
            <w:tcW w:w="0" w:type="auto"/>
            <w:shd w:val="clear" w:color="auto" w:fill="auto"/>
          </w:tcPr>
          <w:p w14:paraId="669C5B0A" w14:textId="77777777" w:rsidR="00066C63" w:rsidRDefault="00066C63">
            <w:pPr>
              <w:rPr>
                <w:rFonts w:ascii="宋体"/>
              </w:rPr>
            </w:pPr>
          </w:p>
        </w:tc>
      </w:tr>
      <w:tr w:rsidR="00066C63" w14:paraId="669C5B14" w14:textId="77777777">
        <w:tc>
          <w:tcPr>
            <w:tcW w:w="0" w:type="auto"/>
            <w:gridSpan w:val="3"/>
            <w:shd w:val="clear" w:color="auto" w:fill="auto"/>
            <w:tcMar>
              <w:top w:w="40" w:type="dxa"/>
              <w:left w:w="20" w:type="dxa"/>
              <w:bottom w:w="40" w:type="dxa"/>
              <w:right w:w="20" w:type="dxa"/>
            </w:tcMar>
            <w:vAlign w:val="bottom"/>
          </w:tcPr>
          <w:p w14:paraId="669C5B0C" w14:textId="77777777" w:rsidR="00066C63" w:rsidRDefault="009656F6">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5B0D" w14:textId="77777777" w:rsidR="00066C63" w:rsidRDefault="009656F6">
            <w:pPr>
              <w:jc w:val="center"/>
              <w:textAlignment w:val="bottom"/>
            </w:pPr>
            <w:r>
              <w:rPr>
                <w:rFonts w:ascii="sans-serif" w:eastAsia="sans-serif" w:hAnsi="sans-serif" w:cs="sans-serif"/>
                <w:b/>
                <w:bCs/>
                <w:color w:val="000000"/>
                <w:sz w:val="17"/>
                <w:szCs w:val="17"/>
              </w:rPr>
              <w:t>FEBRUARY 28, 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5B0E" w14:textId="77777777" w:rsidR="00066C63" w:rsidRDefault="009656F6">
            <w:pPr>
              <w:jc w:val="center"/>
              <w:textAlignment w:val="bottom"/>
            </w:pPr>
            <w:r>
              <w:rPr>
                <w:rFonts w:ascii="sans-serif" w:eastAsia="sans-serif" w:hAnsi="sans-serif" w:cs="sans-serif"/>
                <w:b/>
                <w:bCs/>
                <w:color w:val="000000"/>
                <w:sz w:val="17"/>
                <w:szCs w:val="17"/>
              </w:rPr>
              <w:t>FEBRUARY 29, 2020</w:t>
            </w:r>
          </w:p>
        </w:tc>
        <w:tc>
          <w:tcPr>
            <w:tcW w:w="0" w:type="auto"/>
            <w:gridSpan w:val="3"/>
            <w:shd w:val="clear" w:color="auto" w:fill="auto"/>
            <w:tcMar>
              <w:top w:w="0" w:type="dxa"/>
              <w:left w:w="20" w:type="dxa"/>
              <w:bottom w:w="0" w:type="dxa"/>
              <w:right w:w="20" w:type="dxa"/>
            </w:tcMar>
          </w:tcPr>
          <w:p w14:paraId="669C5B0F" w14:textId="77777777" w:rsidR="00066C63" w:rsidRDefault="00066C63">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5B10" w14:textId="77777777" w:rsidR="00066C63" w:rsidRDefault="009656F6">
            <w:pPr>
              <w:jc w:val="center"/>
              <w:textAlignment w:val="bottom"/>
            </w:pPr>
            <w:r>
              <w:rPr>
                <w:rFonts w:ascii="sans-serif" w:eastAsia="sans-serif" w:hAnsi="sans-serif" w:cs="sans-serif"/>
                <w:b/>
                <w:bCs/>
                <w:color w:val="000000"/>
                <w:sz w:val="17"/>
                <w:szCs w:val="17"/>
              </w:rPr>
              <w:t>FEBRUARY 28, 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5B11" w14:textId="77777777" w:rsidR="00066C63" w:rsidRDefault="009656F6">
            <w:pPr>
              <w:jc w:val="center"/>
              <w:textAlignment w:val="bottom"/>
            </w:pPr>
            <w:r>
              <w:rPr>
                <w:rFonts w:ascii="sans-serif" w:eastAsia="sans-serif" w:hAnsi="sans-serif" w:cs="sans-serif"/>
                <w:b/>
                <w:bCs/>
                <w:color w:val="000000"/>
                <w:sz w:val="17"/>
                <w:szCs w:val="17"/>
              </w:rPr>
              <w:t>FEBRUARY 29, 2020</w:t>
            </w:r>
          </w:p>
        </w:tc>
        <w:tc>
          <w:tcPr>
            <w:tcW w:w="0" w:type="auto"/>
            <w:shd w:val="clear" w:color="auto" w:fill="auto"/>
          </w:tcPr>
          <w:p w14:paraId="669C5B12" w14:textId="77777777" w:rsidR="00066C63" w:rsidRDefault="00066C63">
            <w:pPr>
              <w:rPr>
                <w:rFonts w:ascii="宋体"/>
                <w:vanish/>
              </w:rPr>
            </w:pPr>
          </w:p>
        </w:tc>
        <w:tc>
          <w:tcPr>
            <w:tcW w:w="0" w:type="auto"/>
            <w:gridSpan w:val="3"/>
            <w:shd w:val="clear" w:color="auto" w:fill="auto"/>
          </w:tcPr>
          <w:p w14:paraId="669C5B13" w14:textId="77777777" w:rsidR="00066C63" w:rsidRDefault="00066C63">
            <w:pPr>
              <w:rPr>
                <w:rFonts w:ascii="宋体"/>
                <w:vanish/>
              </w:rPr>
            </w:pPr>
          </w:p>
        </w:tc>
      </w:tr>
      <w:tr w:rsidR="00066C63" w14:paraId="669C5B25"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5B15" w14:textId="77777777" w:rsidR="00066C63" w:rsidRDefault="009656F6">
            <w:pPr>
              <w:textAlignment w:val="bottom"/>
            </w:pPr>
            <w:r>
              <w:rPr>
                <w:rFonts w:ascii="Arial" w:eastAsia="宋体" w:hAnsi="Arial" w:cs="Arial"/>
                <w:color w:val="000000"/>
                <w:sz w:val="17"/>
                <w:szCs w:val="17"/>
              </w:rPr>
              <w:t>Net income</w:t>
            </w:r>
          </w:p>
        </w:tc>
        <w:tc>
          <w:tcPr>
            <w:tcW w:w="0" w:type="auto"/>
            <w:tcBorders>
              <w:top w:val="single" w:sz="8" w:space="0" w:color="E87722"/>
            </w:tcBorders>
            <w:shd w:val="clear" w:color="auto" w:fill="FFF1E7"/>
            <w:tcMar>
              <w:top w:w="40" w:type="dxa"/>
              <w:left w:w="20" w:type="dxa"/>
              <w:bottom w:w="40" w:type="dxa"/>
              <w:right w:w="0" w:type="dxa"/>
            </w:tcMar>
            <w:vAlign w:val="bottom"/>
          </w:tcPr>
          <w:p w14:paraId="669C5B16"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669C5B17" w14:textId="77777777" w:rsidR="00066C63" w:rsidRDefault="009656F6">
            <w:pPr>
              <w:jc w:val="right"/>
              <w:textAlignment w:val="bottom"/>
            </w:pPr>
            <w:r>
              <w:rPr>
                <w:rFonts w:ascii="Arial" w:eastAsia="宋体" w:hAnsi="Arial" w:cs="Arial"/>
                <w:color w:val="000000"/>
                <w:sz w:val="17"/>
                <w:szCs w:val="17"/>
              </w:rPr>
              <w:t>1,449 </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5B18" w14:textId="77777777" w:rsidR="00066C63" w:rsidRDefault="00066C63">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69C5B19"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69C5B1A" w14:textId="77777777" w:rsidR="00066C63" w:rsidRDefault="009656F6">
            <w:pPr>
              <w:jc w:val="right"/>
              <w:textAlignment w:val="bottom"/>
            </w:pPr>
            <w:r>
              <w:rPr>
                <w:rFonts w:ascii="Arial" w:eastAsia="宋体" w:hAnsi="Arial" w:cs="Arial"/>
                <w:color w:val="000000"/>
                <w:sz w:val="17"/>
                <w:szCs w:val="17"/>
              </w:rPr>
              <w:t>847 </w:t>
            </w:r>
          </w:p>
        </w:tc>
        <w:tc>
          <w:tcPr>
            <w:tcW w:w="0" w:type="auto"/>
            <w:tcBorders>
              <w:top w:val="single" w:sz="8" w:space="0" w:color="E87722"/>
            </w:tcBorders>
            <w:shd w:val="clear" w:color="auto" w:fill="auto"/>
            <w:tcMar>
              <w:top w:w="40" w:type="dxa"/>
              <w:left w:w="0" w:type="dxa"/>
              <w:bottom w:w="40" w:type="dxa"/>
              <w:right w:w="20" w:type="dxa"/>
            </w:tcMar>
            <w:vAlign w:val="bottom"/>
          </w:tcPr>
          <w:p w14:paraId="669C5B1B" w14:textId="77777777" w:rsidR="00066C63" w:rsidRDefault="00066C63">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5B1C" w14:textId="77777777" w:rsidR="00066C63" w:rsidRDefault="00066C63">
            <w:pPr>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669C5B1D"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669C5B1E" w14:textId="77777777" w:rsidR="00066C63" w:rsidRDefault="009656F6">
            <w:pPr>
              <w:jc w:val="right"/>
              <w:textAlignment w:val="bottom"/>
            </w:pPr>
            <w:r>
              <w:rPr>
                <w:rFonts w:ascii="Arial" w:eastAsia="宋体" w:hAnsi="Arial" w:cs="Arial"/>
                <w:color w:val="000000"/>
                <w:sz w:val="17"/>
                <w:szCs w:val="17"/>
              </w:rPr>
              <w:t>4,218 </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5B1F" w14:textId="77777777" w:rsidR="00066C63" w:rsidRDefault="00066C63">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69C5B20"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69C5B21" w14:textId="77777777" w:rsidR="00066C63" w:rsidRDefault="009656F6">
            <w:pPr>
              <w:jc w:val="right"/>
              <w:textAlignment w:val="bottom"/>
            </w:pPr>
            <w:r>
              <w:rPr>
                <w:rFonts w:ascii="Arial" w:eastAsia="宋体" w:hAnsi="Arial" w:cs="Arial"/>
                <w:color w:val="000000"/>
                <w:sz w:val="17"/>
                <w:szCs w:val="17"/>
              </w:rPr>
              <w:t>3,329 </w:t>
            </w:r>
          </w:p>
        </w:tc>
        <w:tc>
          <w:tcPr>
            <w:tcW w:w="0" w:type="auto"/>
            <w:tcBorders>
              <w:top w:val="single" w:sz="8" w:space="0" w:color="E87722"/>
            </w:tcBorders>
            <w:shd w:val="clear" w:color="auto" w:fill="auto"/>
            <w:tcMar>
              <w:top w:w="40" w:type="dxa"/>
              <w:left w:w="0" w:type="dxa"/>
              <w:bottom w:w="40" w:type="dxa"/>
              <w:right w:w="20" w:type="dxa"/>
            </w:tcMar>
            <w:vAlign w:val="bottom"/>
          </w:tcPr>
          <w:p w14:paraId="669C5B22" w14:textId="77777777" w:rsidR="00066C63" w:rsidRDefault="00066C63">
            <w:pPr>
              <w:jc w:val="right"/>
              <w:rPr>
                <w:rFonts w:ascii="宋体"/>
              </w:rPr>
            </w:pPr>
          </w:p>
        </w:tc>
        <w:tc>
          <w:tcPr>
            <w:tcW w:w="0" w:type="auto"/>
            <w:shd w:val="clear" w:color="auto" w:fill="auto"/>
          </w:tcPr>
          <w:p w14:paraId="669C5B23" w14:textId="77777777" w:rsidR="00066C63" w:rsidRDefault="00066C63">
            <w:pPr>
              <w:rPr>
                <w:rFonts w:ascii="宋体"/>
                <w:vanish/>
              </w:rPr>
            </w:pPr>
          </w:p>
        </w:tc>
        <w:tc>
          <w:tcPr>
            <w:tcW w:w="0" w:type="auto"/>
            <w:gridSpan w:val="3"/>
            <w:shd w:val="clear" w:color="auto" w:fill="auto"/>
          </w:tcPr>
          <w:p w14:paraId="669C5B24" w14:textId="77777777" w:rsidR="00066C63" w:rsidRDefault="00066C63">
            <w:pPr>
              <w:rPr>
                <w:rFonts w:ascii="宋体"/>
                <w:vanish/>
              </w:rPr>
            </w:pPr>
          </w:p>
        </w:tc>
      </w:tr>
      <w:tr w:rsidR="00066C63" w14:paraId="669C5B2E"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5B26" w14:textId="77777777" w:rsidR="00066C63" w:rsidRDefault="009656F6">
            <w:pPr>
              <w:textAlignment w:val="bottom"/>
            </w:pPr>
            <w:r>
              <w:rPr>
                <w:rFonts w:ascii="Arial" w:eastAsia="宋体" w:hAnsi="Arial" w:cs="Arial"/>
                <w:color w:val="000000"/>
                <w:sz w:val="17"/>
                <w:szCs w:val="17"/>
              </w:rPr>
              <w:t>Other comprehensive income (loss), net of tax:</w:t>
            </w:r>
          </w:p>
        </w:tc>
        <w:tc>
          <w:tcPr>
            <w:tcW w:w="0" w:type="auto"/>
            <w:gridSpan w:val="3"/>
            <w:tcBorders>
              <w:top w:val="single" w:sz="8" w:space="0" w:color="808080"/>
            </w:tcBorders>
            <w:shd w:val="clear" w:color="auto" w:fill="FFF1E7"/>
            <w:tcMar>
              <w:top w:w="0" w:type="dxa"/>
              <w:left w:w="20" w:type="dxa"/>
              <w:bottom w:w="0" w:type="dxa"/>
              <w:right w:w="20" w:type="dxa"/>
            </w:tcMar>
          </w:tcPr>
          <w:p w14:paraId="669C5B27" w14:textId="77777777" w:rsidR="00066C63" w:rsidRDefault="00066C63">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5B28" w14:textId="77777777" w:rsidR="00066C63" w:rsidRDefault="00066C63">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5B29" w14:textId="77777777" w:rsidR="00066C63" w:rsidRDefault="00066C63">
            <w:pPr>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669C5B2A" w14:textId="77777777" w:rsidR="00066C63" w:rsidRDefault="00066C63">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5B2B" w14:textId="77777777" w:rsidR="00066C63" w:rsidRDefault="00066C63">
            <w:pPr>
              <w:rPr>
                <w:rFonts w:ascii="宋体"/>
              </w:rPr>
            </w:pPr>
          </w:p>
        </w:tc>
        <w:tc>
          <w:tcPr>
            <w:tcW w:w="0" w:type="auto"/>
            <w:shd w:val="clear" w:color="auto" w:fill="auto"/>
          </w:tcPr>
          <w:p w14:paraId="669C5B2C" w14:textId="77777777" w:rsidR="00066C63" w:rsidRDefault="00066C63">
            <w:pPr>
              <w:rPr>
                <w:rFonts w:ascii="宋体"/>
                <w:vanish/>
              </w:rPr>
            </w:pPr>
          </w:p>
        </w:tc>
        <w:tc>
          <w:tcPr>
            <w:tcW w:w="0" w:type="auto"/>
            <w:gridSpan w:val="3"/>
            <w:shd w:val="clear" w:color="auto" w:fill="auto"/>
          </w:tcPr>
          <w:p w14:paraId="669C5B2D" w14:textId="77777777" w:rsidR="00066C63" w:rsidRDefault="00066C63">
            <w:pPr>
              <w:rPr>
                <w:rFonts w:ascii="宋体"/>
                <w:vanish/>
              </w:rPr>
            </w:pPr>
          </w:p>
        </w:tc>
      </w:tr>
      <w:tr w:rsidR="00066C63" w14:paraId="669C5B3B"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5B2F" w14:textId="77777777" w:rsidR="00066C63" w:rsidRDefault="009656F6">
            <w:pPr>
              <w:textAlignment w:val="bottom"/>
            </w:pPr>
            <w:r>
              <w:rPr>
                <w:rFonts w:ascii="Arial" w:eastAsia="宋体" w:hAnsi="Arial" w:cs="Arial"/>
                <w:color w:val="000000"/>
                <w:sz w:val="17"/>
                <w:szCs w:val="17"/>
              </w:rPr>
              <w:t>Change in net foreign currency translation adjustment</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5B30" w14:textId="77777777" w:rsidR="00066C63" w:rsidRDefault="009656F6">
            <w:pPr>
              <w:jc w:val="right"/>
              <w:textAlignment w:val="bottom"/>
            </w:pPr>
            <w:r>
              <w:rPr>
                <w:rFonts w:ascii="Arial" w:eastAsia="宋体" w:hAnsi="Arial" w:cs="Arial"/>
                <w:color w:val="000000"/>
                <w:sz w:val="17"/>
                <w:szCs w:val="17"/>
              </w:rPr>
              <w:t>98 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5B31"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5B32" w14:textId="77777777" w:rsidR="00066C63" w:rsidRDefault="009656F6">
            <w:pPr>
              <w:jc w:val="right"/>
              <w:textAlignment w:val="bottom"/>
            </w:pPr>
            <w:r>
              <w:rPr>
                <w:rFonts w:ascii="Arial" w:eastAsia="宋体" w:hAnsi="Arial" w:cs="Arial"/>
                <w:color w:val="000000"/>
                <w:sz w:val="17"/>
                <w:szCs w:val="17"/>
              </w:rPr>
              <w:t>(42)</w:t>
            </w:r>
          </w:p>
        </w:tc>
        <w:tc>
          <w:tcPr>
            <w:tcW w:w="0" w:type="auto"/>
            <w:tcBorders>
              <w:top w:val="single" w:sz="8" w:space="0" w:color="808080"/>
            </w:tcBorders>
            <w:shd w:val="clear" w:color="auto" w:fill="auto"/>
            <w:tcMar>
              <w:top w:w="40" w:type="dxa"/>
              <w:left w:w="0" w:type="dxa"/>
              <w:bottom w:w="40" w:type="dxa"/>
              <w:right w:w="20" w:type="dxa"/>
            </w:tcMar>
            <w:vAlign w:val="bottom"/>
          </w:tcPr>
          <w:p w14:paraId="669C5B33" w14:textId="77777777" w:rsidR="00066C63" w:rsidRDefault="00066C63">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5B34" w14:textId="77777777" w:rsidR="00066C63" w:rsidRDefault="00066C63">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5B35" w14:textId="77777777" w:rsidR="00066C63" w:rsidRDefault="009656F6">
            <w:pPr>
              <w:jc w:val="right"/>
              <w:textAlignment w:val="bottom"/>
            </w:pPr>
            <w:r>
              <w:rPr>
                <w:rFonts w:ascii="Arial" w:eastAsia="宋体" w:hAnsi="Arial" w:cs="Arial"/>
                <w:color w:val="000000"/>
                <w:sz w:val="17"/>
                <w:szCs w:val="17"/>
              </w:rPr>
              <w:t>494 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5B36"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5B37" w14:textId="77777777" w:rsidR="00066C63" w:rsidRDefault="009656F6">
            <w:pPr>
              <w:jc w:val="right"/>
              <w:textAlignment w:val="bottom"/>
            </w:pPr>
            <w:r>
              <w:rPr>
                <w:rFonts w:ascii="Arial" w:eastAsia="宋体" w:hAnsi="Arial" w:cs="Arial"/>
                <w:color w:val="000000"/>
                <w:sz w:val="17"/>
                <w:szCs w:val="17"/>
              </w:rPr>
              <w:t>(103)</w:t>
            </w:r>
          </w:p>
        </w:tc>
        <w:tc>
          <w:tcPr>
            <w:tcW w:w="0" w:type="auto"/>
            <w:tcBorders>
              <w:top w:val="single" w:sz="8" w:space="0" w:color="808080"/>
            </w:tcBorders>
            <w:shd w:val="clear" w:color="auto" w:fill="auto"/>
            <w:tcMar>
              <w:top w:w="40" w:type="dxa"/>
              <w:left w:w="0" w:type="dxa"/>
              <w:bottom w:w="40" w:type="dxa"/>
              <w:right w:w="20" w:type="dxa"/>
            </w:tcMar>
            <w:vAlign w:val="bottom"/>
          </w:tcPr>
          <w:p w14:paraId="669C5B38" w14:textId="77777777" w:rsidR="00066C63" w:rsidRDefault="00066C63">
            <w:pPr>
              <w:jc w:val="right"/>
              <w:rPr>
                <w:rFonts w:ascii="宋体"/>
              </w:rPr>
            </w:pPr>
          </w:p>
        </w:tc>
        <w:tc>
          <w:tcPr>
            <w:tcW w:w="0" w:type="auto"/>
            <w:shd w:val="clear" w:color="auto" w:fill="auto"/>
          </w:tcPr>
          <w:p w14:paraId="669C5B39" w14:textId="77777777" w:rsidR="00066C63" w:rsidRDefault="00066C63">
            <w:pPr>
              <w:rPr>
                <w:rFonts w:ascii="宋体"/>
                <w:vanish/>
              </w:rPr>
            </w:pPr>
          </w:p>
        </w:tc>
        <w:tc>
          <w:tcPr>
            <w:tcW w:w="0" w:type="auto"/>
            <w:gridSpan w:val="3"/>
            <w:shd w:val="clear" w:color="auto" w:fill="auto"/>
          </w:tcPr>
          <w:p w14:paraId="669C5B3A" w14:textId="77777777" w:rsidR="00066C63" w:rsidRDefault="00066C63">
            <w:pPr>
              <w:rPr>
                <w:rFonts w:ascii="宋体"/>
                <w:vanish/>
              </w:rPr>
            </w:pPr>
          </w:p>
        </w:tc>
      </w:tr>
      <w:tr w:rsidR="00066C63" w14:paraId="669C5B48"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5B3C" w14:textId="77777777" w:rsidR="00066C63" w:rsidRDefault="009656F6">
            <w:pPr>
              <w:textAlignment w:val="bottom"/>
            </w:pPr>
            <w:r>
              <w:rPr>
                <w:rFonts w:ascii="Arial" w:eastAsia="宋体" w:hAnsi="Arial" w:cs="Arial"/>
                <w:color w:val="000000"/>
                <w:sz w:val="17"/>
                <w:szCs w:val="17"/>
              </w:rPr>
              <w:t>Change in net gains (losses) on cash flow hedges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5B3D" w14:textId="77777777" w:rsidR="00066C63" w:rsidRDefault="009656F6">
            <w:pPr>
              <w:jc w:val="right"/>
              <w:textAlignment w:val="bottom"/>
            </w:pPr>
            <w:r>
              <w:rPr>
                <w:rFonts w:ascii="Arial" w:eastAsia="宋体" w:hAnsi="Arial" w:cs="Arial"/>
                <w:color w:val="000000"/>
                <w:sz w:val="17"/>
                <w:szCs w:val="17"/>
              </w:rPr>
              <w:t>(117)</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5B3E"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5B3F" w14:textId="77777777" w:rsidR="00066C63" w:rsidRDefault="009656F6">
            <w:pPr>
              <w:jc w:val="right"/>
              <w:textAlignment w:val="bottom"/>
            </w:pPr>
            <w:r>
              <w:rPr>
                <w:rFonts w:ascii="Arial" w:eastAsia="宋体" w:hAnsi="Arial" w:cs="Arial"/>
                <w:color w:val="000000"/>
                <w:sz w:val="17"/>
                <w:szCs w:val="17"/>
              </w:rPr>
              <w:t>(68)</w:t>
            </w:r>
          </w:p>
        </w:tc>
        <w:tc>
          <w:tcPr>
            <w:tcW w:w="0" w:type="auto"/>
            <w:tcBorders>
              <w:top w:val="single" w:sz="8" w:space="0" w:color="808080"/>
            </w:tcBorders>
            <w:shd w:val="clear" w:color="auto" w:fill="auto"/>
            <w:tcMar>
              <w:top w:w="40" w:type="dxa"/>
              <w:left w:w="0" w:type="dxa"/>
              <w:bottom w:w="40" w:type="dxa"/>
              <w:right w:w="20" w:type="dxa"/>
            </w:tcMar>
            <w:vAlign w:val="bottom"/>
          </w:tcPr>
          <w:p w14:paraId="669C5B40" w14:textId="77777777" w:rsidR="00066C63" w:rsidRDefault="00066C63">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5B41" w14:textId="77777777" w:rsidR="00066C63" w:rsidRDefault="00066C63">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5B42" w14:textId="77777777" w:rsidR="00066C63" w:rsidRDefault="009656F6">
            <w:pPr>
              <w:jc w:val="right"/>
              <w:textAlignment w:val="bottom"/>
            </w:pPr>
            <w:r>
              <w:rPr>
                <w:rFonts w:ascii="Arial" w:eastAsia="宋体" w:hAnsi="Arial" w:cs="Arial"/>
                <w:color w:val="000000"/>
                <w:sz w:val="17"/>
                <w:szCs w:val="17"/>
              </w:rPr>
              <w:t>(878)</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5B43"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5B44" w14:textId="77777777" w:rsidR="00066C63" w:rsidRDefault="009656F6">
            <w:pPr>
              <w:jc w:val="right"/>
              <w:textAlignment w:val="bottom"/>
            </w:pPr>
            <w:r>
              <w:rPr>
                <w:rFonts w:ascii="Arial" w:eastAsia="宋体" w:hAnsi="Arial" w:cs="Arial"/>
                <w:color w:val="000000"/>
                <w:sz w:val="17"/>
                <w:szCs w:val="17"/>
              </w:rPr>
              <w:t>(187)</w:t>
            </w:r>
          </w:p>
        </w:tc>
        <w:tc>
          <w:tcPr>
            <w:tcW w:w="0" w:type="auto"/>
            <w:tcBorders>
              <w:top w:val="single" w:sz="8" w:space="0" w:color="808080"/>
            </w:tcBorders>
            <w:shd w:val="clear" w:color="auto" w:fill="auto"/>
            <w:tcMar>
              <w:top w:w="40" w:type="dxa"/>
              <w:left w:w="0" w:type="dxa"/>
              <w:bottom w:w="40" w:type="dxa"/>
              <w:right w:w="20" w:type="dxa"/>
            </w:tcMar>
            <w:vAlign w:val="bottom"/>
          </w:tcPr>
          <w:p w14:paraId="669C5B45" w14:textId="77777777" w:rsidR="00066C63" w:rsidRDefault="00066C63">
            <w:pPr>
              <w:jc w:val="right"/>
              <w:rPr>
                <w:rFonts w:ascii="宋体"/>
              </w:rPr>
            </w:pPr>
          </w:p>
        </w:tc>
        <w:tc>
          <w:tcPr>
            <w:tcW w:w="0" w:type="auto"/>
            <w:shd w:val="clear" w:color="auto" w:fill="auto"/>
          </w:tcPr>
          <w:p w14:paraId="669C5B46" w14:textId="77777777" w:rsidR="00066C63" w:rsidRDefault="00066C63">
            <w:pPr>
              <w:rPr>
                <w:rFonts w:ascii="宋体"/>
                <w:vanish/>
              </w:rPr>
            </w:pPr>
          </w:p>
        </w:tc>
        <w:tc>
          <w:tcPr>
            <w:tcW w:w="0" w:type="auto"/>
            <w:gridSpan w:val="3"/>
            <w:shd w:val="clear" w:color="auto" w:fill="auto"/>
          </w:tcPr>
          <w:p w14:paraId="669C5B47" w14:textId="77777777" w:rsidR="00066C63" w:rsidRDefault="00066C63">
            <w:pPr>
              <w:rPr>
                <w:rFonts w:ascii="宋体"/>
                <w:vanish/>
              </w:rPr>
            </w:pPr>
          </w:p>
        </w:tc>
      </w:tr>
      <w:tr w:rsidR="00066C63" w14:paraId="669C5B55"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5B49" w14:textId="77777777" w:rsidR="00066C63" w:rsidRDefault="009656F6">
            <w:pPr>
              <w:textAlignment w:val="bottom"/>
            </w:pPr>
            <w:r>
              <w:rPr>
                <w:rFonts w:ascii="Arial" w:eastAsia="宋体" w:hAnsi="Arial" w:cs="Arial"/>
                <w:color w:val="000000"/>
                <w:sz w:val="17"/>
                <w:szCs w:val="17"/>
              </w:rPr>
              <w:t>Change in net gains (losses) on other</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5B4A" w14:textId="77777777" w:rsidR="00066C63" w:rsidRDefault="009656F6">
            <w:pPr>
              <w:jc w:val="right"/>
              <w:textAlignment w:val="bottom"/>
            </w:pPr>
            <w:r>
              <w:rPr>
                <w:rFonts w:ascii="Arial" w:eastAsia="宋体" w:hAnsi="Arial" w:cs="Arial"/>
                <w:color w:val="000000"/>
                <w:sz w:val="17"/>
                <w:szCs w:val="17"/>
              </w:rPr>
              <w:t>2 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5B4B"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5B4C" w14:textId="77777777" w:rsidR="00066C63" w:rsidRDefault="009656F6">
            <w:pPr>
              <w:jc w:val="right"/>
              <w:textAlignment w:val="bottom"/>
            </w:pPr>
            <w:r>
              <w:rPr>
                <w:rFonts w:ascii="Arial" w:eastAsia="宋体" w:hAnsi="Arial" w:cs="Arial"/>
                <w:color w:val="000000"/>
                <w:sz w:val="17"/>
                <w:szCs w:val="17"/>
              </w:rPr>
              <w:t>1 </w:t>
            </w:r>
          </w:p>
        </w:tc>
        <w:tc>
          <w:tcPr>
            <w:tcW w:w="0" w:type="auto"/>
            <w:tcBorders>
              <w:top w:val="single" w:sz="8" w:space="0" w:color="808080"/>
            </w:tcBorders>
            <w:shd w:val="clear" w:color="auto" w:fill="auto"/>
            <w:tcMar>
              <w:top w:w="40" w:type="dxa"/>
              <w:left w:w="0" w:type="dxa"/>
              <w:bottom w:w="40" w:type="dxa"/>
              <w:right w:w="20" w:type="dxa"/>
            </w:tcMar>
            <w:vAlign w:val="bottom"/>
          </w:tcPr>
          <w:p w14:paraId="669C5B4D" w14:textId="77777777" w:rsidR="00066C63" w:rsidRDefault="00066C63">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5B4E" w14:textId="77777777" w:rsidR="00066C63" w:rsidRDefault="00066C63">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5B4F" w14:textId="77777777" w:rsidR="00066C63" w:rsidRDefault="009656F6">
            <w:pPr>
              <w:jc w:val="right"/>
              <w:textAlignment w:val="bottom"/>
            </w:pPr>
            <w:r>
              <w:rPr>
                <w:rFonts w:ascii="Arial" w:eastAsia="宋体" w:hAnsi="Arial" w:cs="Arial"/>
                <w:color w:val="000000"/>
                <w:sz w:val="17"/>
                <w:szCs w:val="17"/>
              </w:rPr>
              <w:t>(6)</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5B50"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5B51" w14:textId="77777777" w:rsidR="00066C63" w:rsidRDefault="009656F6">
            <w:pPr>
              <w:jc w:val="right"/>
              <w:textAlignment w:val="bottom"/>
            </w:pPr>
            <w:r>
              <w:rPr>
                <w:rFonts w:ascii="Arial" w:eastAsia="宋体" w:hAnsi="Arial" w:cs="Arial"/>
                <w:color w:val="000000"/>
                <w:sz w:val="17"/>
                <w:szCs w:val="17"/>
              </w:rPr>
              <w:t>2 </w:t>
            </w:r>
          </w:p>
        </w:tc>
        <w:tc>
          <w:tcPr>
            <w:tcW w:w="0" w:type="auto"/>
            <w:tcBorders>
              <w:top w:val="single" w:sz="8" w:space="0" w:color="808080"/>
            </w:tcBorders>
            <w:shd w:val="clear" w:color="auto" w:fill="auto"/>
            <w:tcMar>
              <w:top w:w="40" w:type="dxa"/>
              <w:left w:w="0" w:type="dxa"/>
              <w:bottom w:w="40" w:type="dxa"/>
              <w:right w:w="20" w:type="dxa"/>
            </w:tcMar>
            <w:vAlign w:val="bottom"/>
          </w:tcPr>
          <w:p w14:paraId="669C5B52" w14:textId="77777777" w:rsidR="00066C63" w:rsidRDefault="00066C63">
            <w:pPr>
              <w:jc w:val="right"/>
              <w:rPr>
                <w:rFonts w:ascii="宋体"/>
              </w:rPr>
            </w:pPr>
          </w:p>
        </w:tc>
        <w:tc>
          <w:tcPr>
            <w:tcW w:w="0" w:type="auto"/>
            <w:shd w:val="clear" w:color="auto" w:fill="auto"/>
          </w:tcPr>
          <w:p w14:paraId="669C5B53" w14:textId="77777777" w:rsidR="00066C63" w:rsidRDefault="00066C63">
            <w:pPr>
              <w:rPr>
                <w:rFonts w:ascii="宋体"/>
                <w:vanish/>
              </w:rPr>
            </w:pPr>
          </w:p>
        </w:tc>
        <w:tc>
          <w:tcPr>
            <w:tcW w:w="0" w:type="auto"/>
            <w:gridSpan w:val="3"/>
            <w:shd w:val="clear" w:color="auto" w:fill="auto"/>
          </w:tcPr>
          <w:p w14:paraId="669C5B54" w14:textId="77777777" w:rsidR="00066C63" w:rsidRDefault="00066C63">
            <w:pPr>
              <w:rPr>
                <w:rFonts w:ascii="宋体"/>
                <w:vanish/>
              </w:rPr>
            </w:pPr>
          </w:p>
        </w:tc>
      </w:tr>
      <w:tr w:rsidR="00066C63" w14:paraId="669C5B62"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5B56" w14:textId="77777777" w:rsidR="00066C63" w:rsidRDefault="009656F6">
            <w:pPr>
              <w:textAlignment w:val="bottom"/>
            </w:pPr>
            <w:r>
              <w:rPr>
                <w:rFonts w:ascii="Arial" w:eastAsia="宋体" w:hAnsi="Arial" w:cs="Arial"/>
                <w:color w:val="000000"/>
                <w:sz w:val="17"/>
                <w:szCs w:val="17"/>
              </w:rPr>
              <w:t>Total other comprehensive income (loss), net of tax</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669C5B57" w14:textId="77777777" w:rsidR="00066C63" w:rsidRDefault="009656F6">
            <w:pPr>
              <w:jc w:val="right"/>
              <w:textAlignment w:val="bottom"/>
            </w:pPr>
            <w:r>
              <w:rPr>
                <w:rFonts w:ascii="Arial" w:eastAsia="宋体" w:hAnsi="Arial" w:cs="Arial"/>
                <w:color w:val="000000"/>
                <w:sz w:val="17"/>
                <w:szCs w:val="17"/>
              </w:rPr>
              <w:t>(17)</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5B58" w14:textId="77777777" w:rsidR="00066C63" w:rsidRDefault="00066C63">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5B59" w14:textId="77777777" w:rsidR="00066C63" w:rsidRDefault="009656F6">
            <w:pPr>
              <w:jc w:val="right"/>
              <w:textAlignment w:val="bottom"/>
            </w:pPr>
            <w:r>
              <w:rPr>
                <w:rFonts w:ascii="Arial" w:eastAsia="宋体" w:hAnsi="Arial" w:cs="Arial"/>
                <w:color w:val="000000"/>
                <w:sz w:val="17"/>
                <w:szCs w:val="17"/>
              </w:rPr>
              <w:t>(109)</w:t>
            </w:r>
          </w:p>
        </w:tc>
        <w:tc>
          <w:tcPr>
            <w:tcW w:w="0" w:type="auto"/>
            <w:tcBorders>
              <w:top w:val="single" w:sz="8" w:space="0" w:color="E87722"/>
            </w:tcBorders>
            <w:shd w:val="clear" w:color="auto" w:fill="auto"/>
            <w:tcMar>
              <w:top w:w="40" w:type="dxa"/>
              <w:left w:w="0" w:type="dxa"/>
              <w:bottom w:w="40" w:type="dxa"/>
              <w:right w:w="20" w:type="dxa"/>
            </w:tcMar>
            <w:vAlign w:val="bottom"/>
          </w:tcPr>
          <w:p w14:paraId="669C5B5A" w14:textId="77777777" w:rsidR="00066C63" w:rsidRDefault="00066C63">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5B5B" w14:textId="77777777" w:rsidR="00066C63" w:rsidRDefault="00066C63">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669C5B5C" w14:textId="77777777" w:rsidR="00066C63" w:rsidRDefault="009656F6">
            <w:pPr>
              <w:jc w:val="right"/>
              <w:textAlignment w:val="bottom"/>
            </w:pPr>
            <w:r>
              <w:rPr>
                <w:rFonts w:ascii="Arial" w:eastAsia="宋体" w:hAnsi="Arial" w:cs="Arial"/>
                <w:color w:val="000000"/>
                <w:sz w:val="17"/>
                <w:szCs w:val="17"/>
              </w:rPr>
              <w:t>(390)</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5B5D" w14:textId="77777777" w:rsidR="00066C63" w:rsidRDefault="00066C63">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5B5E" w14:textId="77777777" w:rsidR="00066C63" w:rsidRDefault="009656F6">
            <w:pPr>
              <w:jc w:val="right"/>
              <w:textAlignment w:val="bottom"/>
            </w:pPr>
            <w:r>
              <w:rPr>
                <w:rFonts w:ascii="Arial" w:eastAsia="宋体" w:hAnsi="Arial" w:cs="Arial"/>
                <w:color w:val="000000"/>
                <w:sz w:val="17"/>
                <w:szCs w:val="17"/>
              </w:rPr>
              <w:t>(288)</w:t>
            </w:r>
          </w:p>
        </w:tc>
        <w:tc>
          <w:tcPr>
            <w:tcW w:w="0" w:type="auto"/>
            <w:tcBorders>
              <w:top w:val="single" w:sz="8" w:space="0" w:color="E87722"/>
            </w:tcBorders>
            <w:shd w:val="clear" w:color="auto" w:fill="auto"/>
            <w:tcMar>
              <w:top w:w="40" w:type="dxa"/>
              <w:left w:w="0" w:type="dxa"/>
              <w:bottom w:w="40" w:type="dxa"/>
              <w:right w:w="20" w:type="dxa"/>
            </w:tcMar>
            <w:vAlign w:val="bottom"/>
          </w:tcPr>
          <w:p w14:paraId="669C5B5F" w14:textId="77777777" w:rsidR="00066C63" w:rsidRDefault="00066C63">
            <w:pPr>
              <w:jc w:val="right"/>
              <w:rPr>
                <w:rFonts w:ascii="宋体"/>
              </w:rPr>
            </w:pPr>
          </w:p>
        </w:tc>
        <w:tc>
          <w:tcPr>
            <w:tcW w:w="0" w:type="auto"/>
            <w:shd w:val="clear" w:color="auto" w:fill="auto"/>
          </w:tcPr>
          <w:p w14:paraId="669C5B60" w14:textId="77777777" w:rsidR="00066C63" w:rsidRDefault="00066C63">
            <w:pPr>
              <w:rPr>
                <w:rFonts w:ascii="宋体"/>
                <w:vanish/>
              </w:rPr>
            </w:pPr>
          </w:p>
        </w:tc>
        <w:tc>
          <w:tcPr>
            <w:tcW w:w="0" w:type="auto"/>
            <w:gridSpan w:val="3"/>
            <w:shd w:val="clear" w:color="auto" w:fill="auto"/>
          </w:tcPr>
          <w:p w14:paraId="669C5B61" w14:textId="77777777" w:rsidR="00066C63" w:rsidRDefault="00066C63">
            <w:pPr>
              <w:rPr>
                <w:rFonts w:ascii="宋体"/>
                <w:vanish/>
              </w:rPr>
            </w:pPr>
          </w:p>
        </w:tc>
      </w:tr>
      <w:tr w:rsidR="00066C63" w14:paraId="669C5B73"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669C5B63" w14:textId="77777777" w:rsidR="00066C63" w:rsidRDefault="009656F6">
            <w:pPr>
              <w:textAlignment w:val="bottom"/>
            </w:pPr>
            <w:r>
              <w:rPr>
                <w:rFonts w:ascii="Arial" w:eastAsia="宋体" w:hAnsi="Arial" w:cs="Arial"/>
                <w:b/>
                <w:bCs/>
                <w:color w:val="000000"/>
                <w:sz w:val="17"/>
                <w:szCs w:val="17"/>
              </w:rPr>
              <w:t>TOTAL COMPREHENSIVE INCOME</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69C5B64"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669C5B65" w14:textId="77777777" w:rsidR="00066C63" w:rsidRDefault="009656F6">
            <w:pPr>
              <w:jc w:val="right"/>
              <w:textAlignment w:val="bottom"/>
            </w:pPr>
            <w:r>
              <w:rPr>
                <w:rFonts w:ascii="Arial" w:eastAsia="宋体" w:hAnsi="Arial" w:cs="Arial"/>
                <w:b/>
                <w:bCs/>
                <w:color w:val="000000"/>
                <w:sz w:val="17"/>
                <w:szCs w:val="17"/>
              </w:rPr>
              <w:t>1,432</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69C5B66" w14:textId="77777777" w:rsidR="00066C63" w:rsidRDefault="00066C63">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69C5B67"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69C5B68" w14:textId="77777777" w:rsidR="00066C63" w:rsidRDefault="009656F6">
            <w:pPr>
              <w:jc w:val="right"/>
              <w:textAlignment w:val="bottom"/>
            </w:pPr>
            <w:r>
              <w:rPr>
                <w:rFonts w:ascii="Arial" w:eastAsia="宋体" w:hAnsi="Arial" w:cs="Arial"/>
                <w:b/>
                <w:bCs/>
                <w:color w:val="000000"/>
                <w:sz w:val="17"/>
                <w:szCs w:val="17"/>
              </w:rPr>
              <w:t>738</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69C5B69" w14:textId="77777777" w:rsidR="00066C63" w:rsidRDefault="00066C63">
            <w:pPr>
              <w:jc w:val="right"/>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tcPr>
          <w:p w14:paraId="669C5B6A" w14:textId="77777777" w:rsidR="00066C63" w:rsidRDefault="00066C63">
            <w:pPr>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69C5B6B"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669C5B6C" w14:textId="77777777" w:rsidR="00066C63" w:rsidRDefault="009656F6">
            <w:pPr>
              <w:jc w:val="right"/>
              <w:textAlignment w:val="bottom"/>
            </w:pPr>
            <w:r>
              <w:rPr>
                <w:rFonts w:ascii="Arial" w:eastAsia="宋体" w:hAnsi="Arial" w:cs="Arial"/>
                <w:b/>
                <w:bCs/>
                <w:color w:val="000000"/>
                <w:sz w:val="17"/>
                <w:szCs w:val="17"/>
              </w:rPr>
              <w:t>3,828</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69C5B6D" w14:textId="77777777" w:rsidR="00066C63" w:rsidRDefault="00066C63">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69C5B6E"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69C5B6F" w14:textId="77777777" w:rsidR="00066C63" w:rsidRDefault="009656F6">
            <w:pPr>
              <w:jc w:val="right"/>
              <w:textAlignment w:val="bottom"/>
            </w:pPr>
            <w:r>
              <w:rPr>
                <w:rFonts w:ascii="Arial" w:eastAsia="宋体" w:hAnsi="Arial" w:cs="Arial"/>
                <w:b/>
                <w:bCs/>
                <w:color w:val="000000"/>
                <w:sz w:val="17"/>
                <w:szCs w:val="17"/>
              </w:rPr>
              <w:t>3,041</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69C5B70" w14:textId="77777777" w:rsidR="00066C63" w:rsidRDefault="00066C63">
            <w:pPr>
              <w:jc w:val="right"/>
              <w:rPr>
                <w:rFonts w:ascii="宋体"/>
              </w:rPr>
            </w:pPr>
          </w:p>
        </w:tc>
        <w:tc>
          <w:tcPr>
            <w:tcW w:w="0" w:type="auto"/>
            <w:shd w:val="clear" w:color="auto" w:fill="auto"/>
          </w:tcPr>
          <w:p w14:paraId="669C5B71" w14:textId="77777777" w:rsidR="00066C63" w:rsidRDefault="00066C63">
            <w:pPr>
              <w:rPr>
                <w:rFonts w:ascii="宋体"/>
                <w:vanish/>
              </w:rPr>
            </w:pPr>
          </w:p>
        </w:tc>
        <w:tc>
          <w:tcPr>
            <w:tcW w:w="0" w:type="auto"/>
            <w:gridSpan w:val="3"/>
            <w:shd w:val="clear" w:color="auto" w:fill="auto"/>
          </w:tcPr>
          <w:p w14:paraId="669C5B72" w14:textId="77777777" w:rsidR="00066C63" w:rsidRDefault="00066C63">
            <w:pPr>
              <w:rPr>
                <w:rFonts w:ascii="宋体"/>
                <w:vanish/>
              </w:rPr>
            </w:pPr>
          </w:p>
        </w:tc>
      </w:tr>
    </w:tbl>
    <w:p w14:paraId="669C5B74" w14:textId="77777777" w:rsidR="00066C63" w:rsidRDefault="009656F6">
      <w:pPr>
        <w:spacing w:before="120" w:after="120"/>
      </w:pPr>
      <w:r>
        <w:rPr>
          <w:rFonts w:ascii="Arial" w:eastAsia="宋体" w:hAnsi="Arial" w:cs="Arial"/>
          <w:i/>
          <w:iCs/>
          <w:color w:val="000000"/>
          <w:sz w:val="17"/>
          <w:szCs w:val="17"/>
        </w:rPr>
        <w:t>The accompanying Notes to the Unaudited Condensed Consolidated Financial Statements are an integral part of this statement.</w:t>
      </w:r>
    </w:p>
    <w:p w14:paraId="669C5B75" w14:textId="77777777" w:rsidR="00066C63" w:rsidRDefault="009656F6">
      <w:pPr>
        <w:spacing w:before="120" w:after="120"/>
      </w:pPr>
      <w:r>
        <w:rPr>
          <w:rFonts w:ascii="Arial" w:eastAsia="宋体" w:hAnsi="Arial" w:cs="Arial"/>
          <w:color w:val="E87722"/>
          <w:sz w:val="17"/>
          <w:szCs w:val="17"/>
        </w:rPr>
        <w:t>2</w:t>
      </w:r>
      <w:r>
        <w:rPr>
          <w:rFonts w:ascii="sans-serif" w:eastAsia="sans-serif" w:hAnsi="sans-serif" w:cs="sans-serif"/>
          <w:color w:val="000000"/>
          <w:sz w:val="17"/>
          <w:szCs w:val="17"/>
        </w:rPr>
        <w:t xml:space="preserve"> </w:t>
      </w:r>
    </w:p>
    <w:p w14:paraId="669C5B76" w14:textId="77777777" w:rsidR="00066C63" w:rsidRDefault="009656F6">
      <w:r>
        <w:pict w14:anchorId="669C7E32">
          <v:rect id="_x0000_i1028" style="width:415.3pt;height:1.5pt" o:hralign="center" o:hrstd="t" o:hr="t" fillcolor="#a0a0a0" stroked="f"/>
        </w:pict>
      </w:r>
    </w:p>
    <w:p w14:paraId="669C5B77" w14:textId="77777777" w:rsidR="00066C63" w:rsidRDefault="00066C63"/>
    <w:p w14:paraId="669C5B78" w14:textId="77777777" w:rsidR="00066C63" w:rsidRDefault="009656F6">
      <w:hyperlink r:id="rId45" w:anchor="i1e99cb26debe49fe8b698d0f0eb1273a_7" w:history="1">
        <w:r>
          <w:rPr>
            <w:rStyle w:val="a5"/>
            <w:rFonts w:ascii="sans-serif" w:eastAsia="sans-serif" w:hAnsi="sans-serif" w:cs="sans-serif"/>
            <w:sz w:val="17"/>
            <w:szCs w:val="17"/>
          </w:rPr>
          <w:t>Table of Contents</w:t>
        </w:r>
      </w:hyperlink>
    </w:p>
    <w:p w14:paraId="669C5B79" w14:textId="77777777" w:rsidR="00066C63" w:rsidRDefault="00066C63"/>
    <w:p w14:paraId="669C5B7A" w14:textId="77777777" w:rsidR="00066C63" w:rsidRDefault="009656F6">
      <w:pPr>
        <w:spacing w:before="300"/>
      </w:pPr>
      <w:r>
        <w:rPr>
          <w:rFonts w:ascii="sans-serif" w:eastAsia="sans-serif" w:hAnsi="sans-serif" w:cs="sans-serif"/>
          <w:b/>
          <w:bCs/>
          <w:color w:val="E87722"/>
          <w:sz w:val="36"/>
          <w:szCs w:val="36"/>
        </w:rPr>
        <w:t>NIKE, INC.</w:t>
      </w:r>
    </w:p>
    <w:p w14:paraId="669C5B7B" w14:textId="77777777" w:rsidR="00066C63" w:rsidRDefault="009656F6">
      <w:pPr>
        <w:spacing w:before="120" w:after="120"/>
      </w:pPr>
      <w:r>
        <w:rPr>
          <w:rFonts w:ascii="sans-serif" w:eastAsia="sans-serif" w:hAnsi="sans-serif" w:cs="sans-serif"/>
          <w:b/>
          <w:bCs/>
          <w:color w:val="000000"/>
          <w:sz w:val="28"/>
          <w:szCs w:val="28"/>
        </w:rPr>
        <w:t>UNAUDITED CONDENSED CONSOLIDATED BALANCE SHEETS</w:t>
      </w:r>
    </w:p>
    <w:tbl>
      <w:tblPr>
        <w:tblW w:w="4992" w:type="pct"/>
        <w:tblCellMar>
          <w:top w:w="15" w:type="dxa"/>
          <w:left w:w="15" w:type="dxa"/>
          <w:bottom w:w="15" w:type="dxa"/>
          <w:right w:w="15" w:type="dxa"/>
        </w:tblCellMar>
        <w:tblLook w:val="04A0" w:firstRow="1" w:lastRow="0" w:firstColumn="1" w:lastColumn="0" w:noHBand="0" w:noVBand="1"/>
      </w:tblPr>
      <w:tblGrid>
        <w:gridCol w:w="42"/>
        <w:gridCol w:w="5735"/>
        <w:gridCol w:w="39"/>
        <w:gridCol w:w="116"/>
        <w:gridCol w:w="1063"/>
        <w:gridCol w:w="36"/>
        <w:gridCol w:w="36"/>
        <w:gridCol w:w="36"/>
        <w:gridCol w:w="36"/>
        <w:gridCol w:w="115"/>
        <w:gridCol w:w="1033"/>
        <w:gridCol w:w="36"/>
      </w:tblGrid>
      <w:tr w:rsidR="00066C63" w14:paraId="669C5B88" w14:textId="77777777">
        <w:tc>
          <w:tcPr>
            <w:tcW w:w="50" w:type="pct"/>
            <w:shd w:val="clear" w:color="auto" w:fill="auto"/>
          </w:tcPr>
          <w:p w14:paraId="669C5B7C" w14:textId="77777777" w:rsidR="00066C63" w:rsidRDefault="00066C63">
            <w:pPr>
              <w:rPr>
                <w:rFonts w:ascii="宋体"/>
              </w:rPr>
            </w:pPr>
          </w:p>
        </w:tc>
        <w:tc>
          <w:tcPr>
            <w:tcW w:w="3468" w:type="pct"/>
            <w:shd w:val="clear" w:color="auto" w:fill="auto"/>
          </w:tcPr>
          <w:p w14:paraId="669C5B7D" w14:textId="77777777" w:rsidR="00066C63" w:rsidRDefault="00066C63">
            <w:pPr>
              <w:rPr>
                <w:rFonts w:ascii="宋体"/>
              </w:rPr>
            </w:pPr>
          </w:p>
        </w:tc>
        <w:tc>
          <w:tcPr>
            <w:tcW w:w="5" w:type="pct"/>
            <w:shd w:val="clear" w:color="auto" w:fill="auto"/>
          </w:tcPr>
          <w:p w14:paraId="669C5B7E" w14:textId="77777777" w:rsidR="00066C63" w:rsidRDefault="00066C63">
            <w:pPr>
              <w:rPr>
                <w:rFonts w:ascii="宋体"/>
              </w:rPr>
            </w:pPr>
          </w:p>
        </w:tc>
        <w:tc>
          <w:tcPr>
            <w:tcW w:w="50" w:type="pct"/>
            <w:shd w:val="clear" w:color="auto" w:fill="auto"/>
          </w:tcPr>
          <w:p w14:paraId="669C5B7F" w14:textId="77777777" w:rsidR="00066C63" w:rsidRDefault="00066C63">
            <w:pPr>
              <w:rPr>
                <w:rFonts w:ascii="宋体"/>
              </w:rPr>
            </w:pPr>
          </w:p>
        </w:tc>
        <w:tc>
          <w:tcPr>
            <w:tcW w:w="663" w:type="pct"/>
            <w:shd w:val="clear" w:color="auto" w:fill="auto"/>
          </w:tcPr>
          <w:p w14:paraId="669C5B80" w14:textId="77777777" w:rsidR="00066C63" w:rsidRDefault="00066C63">
            <w:pPr>
              <w:rPr>
                <w:rFonts w:ascii="宋体"/>
              </w:rPr>
            </w:pPr>
          </w:p>
        </w:tc>
        <w:tc>
          <w:tcPr>
            <w:tcW w:w="5" w:type="pct"/>
            <w:shd w:val="clear" w:color="auto" w:fill="auto"/>
          </w:tcPr>
          <w:p w14:paraId="669C5B81" w14:textId="77777777" w:rsidR="00066C63" w:rsidRDefault="00066C63">
            <w:pPr>
              <w:rPr>
                <w:rFonts w:ascii="宋体"/>
              </w:rPr>
            </w:pPr>
          </w:p>
        </w:tc>
        <w:tc>
          <w:tcPr>
            <w:tcW w:w="5" w:type="pct"/>
            <w:shd w:val="clear" w:color="auto" w:fill="auto"/>
          </w:tcPr>
          <w:p w14:paraId="669C5B82" w14:textId="77777777" w:rsidR="00066C63" w:rsidRDefault="00066C63">
            <w:pPr>
              <w:rPr>
                <w:rFonts w:ascii="宋体"/>
              </w:rPr>
            </w:pPr>
          </w:p>
        </w:tc>
        <w:tc>
          <w:tcPr>
            <w:tcW w:w="28" w:type="pct"/>
            <w:shd w:val="clear" w:color="auto" w:fill="auto"/>
          </w:tcPr>
          <w:p w14:paraId="669C5B83" w14:textId="77777777" w:rsidR="00066C63" w:rsidRDefault="00066C63">
            <w:pPr>
              <w:rPr>
                <w:rFonts w:ascii="宋体"/>
              </w:rPr>
            </w:pPr>
          </w:p>
        </w:tc>
        <w:tc>
          <w:tcPr>
            <w:tcW w:w="5" w:type="pct"/>
            <w:shd w:val="clear" w:color="auto" w:fill="auto"/>
          </w:tcPr>
          <w:p w14:paraId="669C5B84" w14:textId="77777777" w:rsidR="00066C63" w:rsidRDefault="00066C63">
            <w:pPr>
              <w:rPr>
                <w:rFonts w:ascii="宋体"/>
              </w:rPr>
            </w:pPr>
          </w:p>
        </w:tc>
        <w:tc>
          <w:tcPr>
            <w:tcW w:w="50" w:type="pct"/>
            <w:shd w:val="clear" w:color="auto" w:fill="auto"/>
          </w:tcPr>
          <w:p w14:paraId="669C5B85" w14:textId="77777777" w:rsidR="00066C63" w:rsidRDefault="00066C63">
            <w:pPr>
              <w:rPr>
                <w:rFonts w:ascii="宋体"/>
              </w:rPr>
            </w:pPr>
          </w:p>
        </w:tc>
        <w:tc>
          <w:tcPr>
            <w:tcW w:w="663" w:type="pct"/>
            <w:shd w:val="clear" w:color="auto" w:fill="auto"/>
          </w:tcPr>
          <w:p w14:paraId="669C5B86" w14:textId="77777777" w:rsidR="00066C63" w:rsidRDefault="00066C63">
            <w:pPr>
              <w:rPr>
                <w:rFonts w:ascii="宋体"/>
              </w:rPr>
            </w:pPr>
          </w:p>
        </w:tc>
        <w:tc>
          <w:tcPr>
            <w:tcW w:w="5" w:type="pct"/>
            <w:shd w:val="clear" w:color="auto" w:fill="auto"/>
          </w:tcPr>
          <w:p w14:paraId="669C5B87" w14:textId="77777777" w:rsidR="00066C63" w:rsidRDefault="00066C63">
            <w:pPr>
              <w:rPr>
                <w:rFonts w:ascii="宋体"/>
              </w:rPr>
            </w:pPr>
          </w:p>
        </w:tc>
      </w:tr>
      <w:tr w:rsidR="00066C63" w14:paraId="669C5B8D" w14:textId="77777777">
        <w:tc>
          <w:tcPr>
            <w:tcW w:w="0" w:type="auto"/>
            <w:gridSpan w:val="3"/>
            <w:shd w:val="clear" w:color="auto" w:fill="auto"/>
            <w:tcMar>
              <w:top w:w="0" w:type="dxa"/>
              <w:left w:w="20" w:type="dxa"/>
              <w:bottom w:w="0" w:type="dxa"/>
              <w:right w:w="20" w:type="dxa"/>
            </w:tcMar>
          </w:tcPr>
          <w:p w14:paraId="669C5B89" w14:textId="77777777" w:rsidR="00066C63" w:rsidRDefault="00066C63">
            <w:pPr>
              <w:rPr>
                <w:rFonts w:ascii="宋体"/>
              </w:rPr>
            </w:pPr>
          </w:p>
        </w:tc>
        <w:tc>
          <w:tcPr>
            <w:tcW w:w="0" w:type="auto"/>
            <w:gridSpan w:val="3"/>
            <w:shd w:val="clear" w:color="auto" w:fill="auto"/>
            <w:tcMar>
              <w:top w:w="40" w:type="dxa"/>
              <w:left w:w="20" w:type="dxa"/>
              <w:bottom w:w="40" w:type="dxa"/>
              <w:right w:w="20" w:type="dxa"/>
            </w:tcMar>
            <w:vAlign w:val="bottom"/>
          </w:tcPr>
          <w:p w14:paraId="669C5B8A" w14:textId="77777777" w:rsidR="00066C63" w:rsidRDefault="009656F6">
            <w:pPr>
              <w:jc w:val="center"/>
              <w:textAlignment w:val="bottom"/>
            </w:pPr>
            <w:r>
              <w:rPr>
                <w:rFonts w:ascii="sans-serif" w:eastAsia="sans-serif" w:hAnsi="sans-serif" w:cs="sans-serif"/>
                <w:b/>
                <w:bCs/>
                <w:color w:val="000000"/>
                <w:sz w:val="17"/>
                <w:szCs w:val="17"/>
              </w:rPr>
              <w:t>FEBRUARY 28,</w:t>
            </w:r>
          </w:p>
        </w:tc>
        <w:tc>
          <w:tcPr>
            <w:tcW w:w="0" w:type="auto"/>
            <w:gridSpan w:val="3"/>
            <w:shd w:val="clear" w:color="auto" w:fill="auto"/>
            <w:tcMar>
              <w:top w:w="0" w:type="dxa"/>
              <w:left w:w="20" w:type="dxa"/>
              <w:bottom w:w="0" w:type="dxa"/>
              <w:right w:w="20" w:type="dxa"/>
            </w:tcMar>
          </w:tcPr>
          <w:p w14:paraId="669C5B8B" w14:textId="77777777" w:rsidR="00066C63" w:rsidRDefault="00066C63">
            <w:pPr>
              <w:rPr>
                <w:rFonts w:ascii="宋体"/>
              </w:rPr>
            </w:pPr>
          </w:p>
        </w:tc>
        <w:tc>
          <w:tcPr>
            <w:tcW w:w="0" w:type="auto"/>
            <w:gridSpan w:val="3"/>
            <w:shd w:val="clear" w:color="auto" w:fill="auto"/>
            <w:tcMar>
              <w:top w:w="40" w:type="dxa"/>
              <w:left w:w="20" w:type="dxa"/>
              <w:bottom w:w="40" w:type="dxa"/>
              <w:right w:w="20" w:type="dxa"/>
            </w:tcMar>
            <w:vAlign w:val="bottom"/>
          </w:tcPr>
          <w:p w14:paraId="669C5B8C" w14:textId="77777777" w:rsidR="00066C63" w:rsidRDefault="009656F6">
            <w:pPr>
              <w:jc w:val="center"/>
              <w:textAlignment w:val="bottom"/>
            </w:pPr>
            <w:r>
              <w:rPr>
                <w:rFonts w:ascii="sans-serif" w:eastAsia="sans-serif" w:hAnsi="sans-serif" w:cs="sans-serif"/>
                <w:b/>
                <w:bCs/>
                <w:color w:val="000000"/>
                <w:sz w:val="17"/>
                <w:szCs w:val="17"/>
              </w:rPr>
              <w:t>MAY 31,</w:t>
            </w:r>
          </w:p>
        </w:tc>
      </w:tr>
      <w:tr w:rsidR="00066C63" w14:paraId="669C5B92" w14:textId="77777777">
        <w:tc>
          <w:tcPr>
            <w:tcW w:w="0" w:type="auto"/>
            <w:gridSpan w:val="3"/>
            <w:shd w:val="clear" w:color="auto" w:fill="auto"/>
            <w:tcMar>
              <w:top w:w="40" w:type="dxa"/>
              <w:left w:w="20" w:type="dxa"/>
              <w:bottom w:w="40" w:type="dxa"/>
              <w:right w:w="20" w:type="dxa"/>
            </w:tcMar>
            <w:vAlign w:val="bottom"/>
          </w:tcPr>
          <w:p w14:paraId="669C5B8E" w14:textId="77777777" w:rsidR="00066C63" w:rsidRDefault="009656F6">
            <w:pPr>
              <w:textAlignment w:val="bottom"/>
            </w:pPr>
            <w:r>
              <w:rPr>
                <w:rFonts w:ascii="Arial Narrow" w:eastAsia="Arial Narrow" w:hAnsi="Arial Narrow" w:cs="Arial Narrow"/>
                <w:i/>
                <w:iCs/>
                <w:color w:val="000000"/>
                <w:sz w:val="17"/>
                <w:szCs w:val="17"/>
              </w:rPr>
              <w:t>(In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5B8F" w14:textId="77777777" w:rsidR="00066C63" w:rsidRDefault="009656F6">
            <w:pPr>
              <w:jc w:val="center"/>
              <w:textAlignment w:val="bottom"/>
            </w:pPr>
            <w:r>
              <w:rPr>
                <w:rFonts w:ascii="sans-serif" w:eastAsia="sans-serif" w:hAnsi="sans-serif" w:cs="sans-serif"/>
                <w:b/>
                <w:bCs/>
                <w:color w:val="000000"/>
                <w:sz w:val="17"/>
                <w:szCs w:val="17"/>
              </w:rPr>
              <w:t>2021</w:t>
            </w:r>
          </w:p>
        </w:tc>
        <w:tc>
          <w:tcPr>
            <w:tcW w:w="0" w:type="auto"/>
            <w:gridSpan w:val="3"/>
            <w:shd w:val="clear" w:color="auto" w:fill="auto"/>
            <w:tcMar>
              <w:top w:w="0" w:type="dxa"/>
              <w:left w:w="20" w:type="dxa"/>
              <w:bottom w:w="0" w:type="dxa"/>
              <w:right w:w="20" w:type="dxa"/>
            </w:tcMar>
          </w:tcPr>
          <w:p w14:paraId="669C5B90" w14:textId="77777777" w:rsidR="00066C63" w:rsidRDefault="00066C63">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5B91" w14:textId="77777777" w:rsidR="00066C63" w:rsidRDefault="009656F6">
            <w:pPr>
              <w:jc w:val="center"/>
              <w:textAlignment w:val="bottom"/>
            </w:pPr>
            <w:r>
              <w:rPr>
                <w:rFonts w:ascii="sans-serif" w:eastAsia="sans-serif" w:hAnsi="sans-serif" w:cs="sans-serif"/>
                <w:b/>
                <w:bCs/>
                <w:color w:val="000000"/>
                <w:sz w:val="17"/>
                <w:szCs w:val="17"/>
              </w:rPr>
              <w:t>2020</w:t>
            </w:r>
          </w:p>
        </w:tc>
      </w:tr>
      <w:tr w:rsidR="00066C63" w14:paraId="669C5B97"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5B93" w14:textId="77777777" w:rsidR="00066C63" w:rsidRDefault="009656F6">
            <w:pPr>
              <w:textAlignment w:val="bottom"/>
            </w:pPr>
            <w:r>
              <w:rPr>
                <w:rFonts w:ascii="Arial" w:eastAsia="宋体" w:hAnsi="Arial" w:cs="Arial"/>
                <w:b/>
                <w:bCs/>
                <w:color w:val="000000"/>
                <w:sz w:val="17"/>
                <w:szCs w:val="17"/>
              </w:rPr>
              <w:t>ASSETS</w:t>
            </w:r>
          </w:p>
        </w:tc>
        <w:tc>
          <w:tcPr>
            <w:tcW w:w="0" w:type="auto"/>
            <w:gridSpan w:val="3"/>
            <w:tcBorders>
              <w:top w:val="single" w:sz="8" w:space="0" w:color="E87722"/>
            </w:tcBorders>
            <w:shd w:val="clear" w:color="auto" w:fill="FFF1E7"/>
            <w:tcMar>
              <w:top w:w="0" w:type="dxa"/>
              <w:left w:w="20" w:type="dxa"/>
              <w:bottom w:w="0" w:type="dxa"/>
              <w:right w:w="20" w:type="dxa"/>
            </w:tcMar>
          </w:tcPr>
          <w:p w14:paraId="669C5B94"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5B95"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5B96" w14:textId="77777777" w:rsidR="00066C63" w:rsidRDefault="00066C63">
            <w:pPr>
              <w:rPr>
                <w:rFonts w:ascii="宋体"/>
              </w:rPr>
            </w:pPr>
          </w:p>
        </w:tc>
      </w:tr>
      <w:tr w:rsidR="00066C63" w14:paraId="669C5B9C" w14:textId="77777777">
        <w:tc>
          <w:tcPr>
            <w:tcW w:w="0" w:type="auto"/>
            <w:gridSpan w:val="3"/>
            <w:tcBorders>
              <w:top w:val="single" w:sz="8" w:space="0" w:color="B6B6B6"/>
            </w:tcBorders>
            <w:shd w:val="clear" w:color="auto" w:fill="auto"/>
            <w:tcMar>
              <w:top w:w="40" w:type="dxa"/>
              <w:left w:w="20" w:type="dxa"/>
              <w:bottom w:w="40" w:type="dxa"/>
              <w:right w:w="20" w:type="dxa"/>
            </w:tcMar>
            <w:vAlign w:val="bottom"/>
          </w:tcPr>
          <w:p w14:paraId="669C5B98" w14:textId="77777777" w:rsidR="00066C63" w:rsidRDefault="009656F6">
            <w:pPr>
              <w:textAlignment w:val="bottom"/>
            </w:pPr>
            <w:r>
              <w:rPr>
                <w:rFonts w:ascii="Arial" w:eastAsia="宋体" w:hAnsi="Arial" w:cs="Arial"/>
                <w:color w:val="000000"/>
                <w:sz w:val="17"/>
                <w:szCs w:val="17"/>
              </w:rPr>
              <w:t>Current assets:</w:t>
            </w:r>
          </w:p>
        </w:tc>
        <w:tc>
          <w:tcPr>
            <w:tcW w:w="0" w:type="auto"/>
            <w:gridSpan w:val="3"/>
            <w:tcBorders>
              <w:top w:val="single" w:sz="8" w:space="0" w:color="B6B6B6"/>
            </w:tcBorders>
            <w:shd w:val="clear" w:color="auto" w:fill="FFF1E7"/>
            <w:tcMar>
              <w:top w:w="0" w:type="dxa"/>
              <w:left w:w="20" w:type="dxa"/>
              <w:bottom w:w="0" w:type="dxa"/>
              <w:right w:w="20" w:type="dxa"/>
            </w:tcMar>
          </w:tcPr>
          <w:p w14:paraId="669C5B99" w14:textId="77777777" w:rsidR="00066C63" w:rsidRDefault="00066C63">
            <w:pPr>
              <w:rPr>
                <w:rFonts w:ascii="宋体"/>
              </w:rPr>
            </w:pPr>
          </w:p>
        </w:tc>
        <w:tc>
          <w:tcPr>
            <w:tcW w:w="0" w:type="auto"/>
            <w:gridSpan w:val="3"/>
            <w:tcBorders>
              <w:top w:val="single" w:sz="8" w:space="0" w:color="B6B6B6"/>
            </w:tcBorders>
            <w:shd w:val="clear" w:color="auto" w:fill="auto"/>
            <w:tcMar>
              <w:top w:w="0" w:type="dxa"/>
              <w:left w:w="20" w:type="dxa"/>
              <w:bottom w:w="0" w:type="dxa"/>
              <w:right w:w="20" w:type="dxa"/>
            </w:tcMar>
          </w:tcPr>
          <w:p w14:paraId="669C5B9A" w14:textId="77777777" w:rsidR="00066C63" w:rsidRDefault="00066C63">
            <w:pPr>
              <w:rPr>
                <w:rFonts w:ascii="宋体"/>
              </w:rPr>
            </w:pPr>
          </w:p>
        </w:tc>
        <w:tc>
          <w:tcPr>
            <w:tcW w:w="0" w:type="auto"/>
            <w:gridSpan w:val="3"/>
            <w:tcBorders>
              <w:top w:val="single" w:sz="8" w:space="0" w:color="B6B6B6"/>
            </w:tcBorders>
            <w:shd w:val="clear" w:color="auto" w:fill="auto"/>
            <w:tcMar>
              <w:top w:w="0" w:type="dxa"/>
              <w:left w:w="20" w:type="dxa"/>
              <w:bottom w:w="0" w:type="dxa"/>
              <w:right w:w="20" w:type="dxa"/>
            </w:tcMar>
          </w:tcPr>
          <w:p w14:paraId="669C5B9B" w14:textId="77777777" w:rsidR="00066C63" w:rsidRDefault="00066C63">
            <w:pPr>
              <w:rPr>
                <w:rFonts w:ascii="宋体"/>
              </w:rPr>
            </w:pPr>
          </w:p>
        </w:tc>
      </w:tr>
      <w:tr w:rsidR="00066C63" w14:paraId="669C5BA5" w14:textId="77777777">
        <w:tc>
          <w:tcPr>
            <w:tcW w:w="0" w:type="auto"/>
            <w:gridSpan w:val="3"/>
            <w:tcBorders>
              <w:top w:val="single" w:sz="8" w:space="0" w:color="B6B6B6"/>
            </w:tcBorders>
            <w:shd w:val="clear" w:color="auto" w:fill="auto"/>
            <w:tcMar>
              <w:top w:w="40" w:type="dxa"/>
              <w:left w:w="155" w:type="dxa"/>
              <w:bottom w:w="40" w:type="dxa"/>
              <w:right w:w="20" w:type="dxa"/>
            </w:tcMar>
            <w:vAlign w:val="bottom"/>
          </w:tcPr>
          <w:p w14:paraId="669C5B9D" w14:textId="77777777" w:rsidR="00066C63" w:rsidRDefault="009656F6">
            <w:pPr>
              <w:textAlignment w:val="bottom"/>
            </w:pPr>
            <w:r>
              <w:rPr>
                <w:rFonts w:ascii="Arial" w:eastAsia="宋体" w:hAnsi="Arial" w:cs="Arial"/>
                <w:color w:val="000000"/>
                <w:sz w:val="17"/>
                <w:szCs w:val="17"/>
              </w:rPr>
              <w:t>Cash and equivalents</w:t>
            </w:r>
          </w:p>
        </w:tc>
        <w:tc>
          <w:tcPr>
            <w:tcW w:w="0" w:type="auto"/>
            <w:tcBorders>
              <w:top w:val="single" w:sz="8" w:space="0" w:color="B6B6B6"/>
            </w:tcBorders>
            <w:shd w:val="clear" w:color="auto" w:fill="FFF1E7"/>
            <w:tcMar>
              <w:top w:w="40" w:type="dxa"/>
              <w:left w:w="20" w:type="dxa"/>
              <w:bottom w:w="40" w:type="dxa"/>
              <w:right w:w="0" w:type="dxa"/>
            </w:tcMar>
            <w:vAlign w:val="bottom"/>
          </w:tcPr>
          <w:p w14:paraId="669C5B9E"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B6B6B6"/>
            </w:tcBorders>
            <w:shd w:val="clear" w:color="auto" w:fill="FFF1E7"/>
            <w:tcMar>
              <w:top w:w="40" w:type="dxa"/>
              <w:left w:w="0" w:type="dxa"/>
              <w:bottom w:w="40" w:type="dxa"/>
              <w:right w:w="0" w:type="dxa"/>
            </w:tcMar>
            <w:vAlign w:val="bottom"/>
          </w:tcPr>
          <w:p w14:paraId="669C5B9F" w14:textId="77777777" w:rsidR="00066C63" w:rsidRDefault="009656F6">
            <w:pPr>
              <w:jc w:val="right"/>
              <w:textAlignment w:val="bottom"/>
            </w:pPr>
            <w:r>
              <w:rPr>
                <w:rFonts w:ascii="Arial" w:eastAsia="宋体" w:hAnsi="Arial" w:cs="Arial"/>
                <w:color w:val="000000"/>
                <w:sz w:val="17"/>
                <w:szCs w:val="17"/>
              </w:rPr>
              <w:t>8,516 </w:t>
            </w:r>
          </w:p>
        </w:tc>
        <w:tc>
          <w:tcPr>
            <w:tcW w:w="0" w:type="auto"/>
            <w:tcBorders>
              <w:top w:val="single" w:sz="8" w:space="0" w:color="B6B6B6"/>
            </w:tcBorders>
            <w:shd w:val="clear" w:color="auto" w:fill="FFF1E7"/>
            <w:tcMar>
              <w:top w:w="40" w:type="dxa"/>
              <w:left w:w="0" w:type="dxa"/>
              <w:bottom w:w="40" w:type="dxa"/>
              <w:right w:w="20" w:type="dxa"/>
            </w:tcMar>
            <w:vAlign w:val="bottom"/>
          </w:tcPr>
          <w:p w14:paraId="669C5BA0" w14:textId="77777777" w:rsidR="00066C63" w:rsidRDefault="00066C63">
            <w:pPr>
              <w:jc w:val="right"/>
              <w:rPr>
                <w:rFonts w:ascii="宋体"/>
              </w:rPr>
            </w:pPr>
          </w:p>
        </w:tc>
        <w:tc>
          <w:tcPr>
            <w:tcW w:w="0" w:type="auto"/>
            <w:gridSpan w:val="3"/>
            <w:tcBorders>
              <w:top w:val="single" w:sz="8" w:space="0" w:color="B6B6B6"/>
            </w:tcBorders>
            <w:shd w:val="clear" w:color="auto" w:fill="auto"/>
            <w:tcMar>
              <w:top w:w="0" w:type="dxa"/>
              <w:left w:w="20" w:type="dxa"/>
              <w:bottom w:w="0" w:type="dxa"/>
              <w:right w:w="20" w:type="dxa"/>
            </w:tcMar>
          </w:tcPr>
          <w:p w14:paraId="669C5BA1" w14:textId="77777777" w:rsidR="00066C63" w:rsidRDefault="00066C63">
            <w:pPr>
              <w:rPr>
                <w:rFonts w:ascii="宋体"/>
              </w:rPr>
            </w:pPr>
          </w:p>
        </w:tc>
        <w:tc>
          <w:tcPr>
            <w:tcW w:w="0" w:type="auto"/>
            <w:tcBorders>
              <w:top w:val="single" w:sz="8" w:space="0" w:color="B6B6B6"/>
            </w:tcBorders>
            <w:shd w:val="clear" w:color="auto" w:fill="auto"/>
            <w:tcMar>
              <w:top w:w="40" w:type="dxa"/>
              <w:left w:w="20" w:type="dxa"/>
              <w:bottom w:w="40" w:type="dxa"/>
              <w:right w:w="0" w:type="dxa"/>
            </w:tcMar>
            <w:vAlign w:val="bottom"/>
          </w:tcPr>
          <w:p w14:paraId="669C5BA2"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B6B6B6"/>
            </w:tcBorders>
            <w:shd w:val="clear" w:color="auto" w:fill="auto"/>
            <w:tcMar>
              <w:top w:w="40" w:type="dxa"/>
              <w:left w:w="0" w:type="dxa"/>
              <w:bottom w:w="40" w:type="dxa"/>
              <w:right w:w="0" w:type="dxa"/>
            </w:tcMar>
            <w:vAlign w:val="bottom"/>
          </w:tcPr>
          <w:p w14:paraId="669C5BA3" w14:textId="77777777" w:rsidR="00066C63" w:rsidRDefault="009656F6">
            <w:pPr>
              <w:jc w:val="right"/>
              <w:textAlignment w:val="bottom"/>
            </w:pPr>
            <w:r>
              <w:rPr>
                <w:rFonts w:ascii="Arial" w:eastAsia="宋体" w:hAnsi="Arial" w:cs="Arial"/>
                <w:color w:val="000000"/>
                <w:sz w:val="17"/>
                <w:szCs w:val="17"/>
              </w:rPr>
              <w:t>8,348 </w:t>
            </w:r>
          </w:p>
        </w:tc>
        <w:tc>
          <w:tcPr>
            <w:tcW w:w="0" w:type="auto"/>
            <w:tcBorders>
              <w:top w:val="single" w:sz="8" w:space="0" w:color="B6B6B6"/>
            </w:tcBorders>
            <w:shd w:val="clear" w:color="auto" w:fill="auto"/>
            <w:tcMar>
              <w:top w:w="40" w:type="dxa"/>
              <w:left w:w="0" w:type="dxa"/>
              <w:bottom w:w="40" w:type="dxa"/>
              <w:right w:w="20" w:type="dxa"/>
            </w:tcMar>
            <w:vAlign w:val="bottom"/>
          </w:tcPr>
          <w:p w14:paraId="669C5BA4" w14:textId="77777777" w:rsidR="00066C63" w:rsidRDefault="00066C63">
            <w:pPr>
              <w:jc w:val="right"/>
              <w:rPr>
                <w:rFonts w:ascii="宋体"/>
              </w:rPr>
            </w:pPr>
          </w:p>
        </w:tc>
      </w:tr>
      <w:tr w:rsidR="00066C63" w14:paraId="669C5BAC" w14:textId="77777777">
        <w:tc>
          <w:tcPr>
            <w:tcW w:w="0" w:type="auto"/>
            <w:gridSpan w:val="3"/>
            <w:tcBorders>
              <w:top w:val="single" w:sz="8" w:space="0" w:color="B6B6B6"/>
            </w:tcBorders>
            <w:shd w:val="clear" w:color="auto" w:fill="auto"/>
            <w:tcMar>
              <w:top w:w="40" w:type="dxa"/>
              <w:left w:w="155" w:type="dxa"/>
              <w:bottom w:w="40" w:type="dxa"/>
              <w:right w:w="20" w:type="dxa"/>
            </w:tcMar>
            <w:vAlign w:val="bottom"/>
          </w:tcPr>
          <w:p w14:paraId="669C5BA6" w14:textId="77777777" w:rsidR="00066C63" w:rsidRDefault="009656F6">
            <w:pPr>
              <w:textAlignment w:val="bottom"/>
            </w:pPr>
            <w:r>
              <w:rPr>
                <w:rFonts w:ascii="Arial" w:eastAsia="宋体" w:hAnsi="Arial" w:cs="Arial"/>
                <w:color w:val="000000"/>
                <w:sz w:val="17"/>
                <w:szCs w:val="17"/>
              </w:rPr>
              <w:t>Short-term investments</w:t>
            </w:r>
          </w:p>
        </w:tc>
        <w:tc>
          <w:tcPr>
            <w:tcW w:w="0" w:type="auto"/>
            <w:gridSpan w:val="2"/>
            <w:tcBorders>
              <w:top w:val="single" w:sz="8" w:space="0" w:color="B6B6B6"/>
            </w:tcBorders>
            <w:shd w:val="clear" w:color="auto" w:fill="FFF1E7"/>
            <w:tcMar>
              <w:top w:w="40" w:type="dxa"/>
              <w:left w:w="20" w:type="dxa"/>
              <w:bottom w:w="40" w:type="dxa"/>
              <w:right w:w="0" w:type="dxa"/>
            </w:tcMar>
            <w:vAlign w:val="bottom"/>
          </w:tcPr>
          <w:p w14:paraId="669C5BA7" w14:textId="77777777" w:rsidR="00066C63" w:rsidRDefault="009656F6">
            <w:pPr>
              <w:jc w:val="right"/>
              <w:textAlignment w:val="bottom"/>
            </w:pPr>
            <w:r>
              <w:rPr>
                <w:rFonts w:ascii="Arial" w:eastAsia="宋体" w:hAnsi="Arial" w:cs="Arial"/>
                <w:color w:val="000000"/>
                <w:sz w:val="17"/>
                <w:szCs w:val="17"/>
              </w:rPr>
              <w:t>4,012 </w:t>
            </w:r>
          </w:p>
        </w:tc>
        <w:tc>
          <w:tcPr>
            <w:tcW w:w="0" w:type="auto"/>
            <w:tcBorders>
              <w:top w:val="single" w:sz="8" w:space="0" w:color="B6B6B6"/>
            </w:tcBorders>
            <w:shd w:val="clear" w:color="auto" w:fill="FFF1E7"/>
            <w:tcMar>
              <w:top w:w="40" w:type="dxa"/>
              <w:left w:w="0" w:type="dxa"/>
              <w:bottom w:w="40" w:type="dxa"/>
              <w:right w:w="20" w:type="dxa"/>
            </w:tcMar>
            <w:vAlign w:val="bottom"/>
          </w:tcPr>
          <w:p w14:paraId="669C5BA8" w14:textId="77777777" w:rsidR="00066C63" w:rsidRDefault="00066C63">
            <w:pPr>
              <w:jc w:val="right"/>
              <w:rPr>
                <w:rFonts w:ascii="宋体"/>
              </w:rPr>
            </w:pPr>
          </w:p>
        </w:tc>
        <w:tc>
          <w:tcPr>
            <w:tcW w:w="0" w:type="auto"/>
            <w:gridSpan w:val="3"/>
            <w:tcBorders>
              <w:top w:val="single" w:sz="8" w:space="0" w:color="B6B6B6"/>
            </w:tcBorders>
            <w:shd w:val="clear" w:color="auto" w:fill="auto"/>
            <w:tcMar>
              <w:top w:w="0" w:type="dxa"/>
              <w:left w:w="20" w:type="dxa"/>
              <w:bottom w:w="0" w:type="dxa"/>
              <w:right w:w="20" w:type="dxa"/>
            </w:tcMar>
          </w:tcPr>
          <w:p w14:paraId="669C5BA9" w14:textId="77777777" w:rsidR="00066C63" w:rsidRDefault="00066C63">
            <w:pPr>
              <w:rPr>
                <w:rFonts w:ascii="宋体"/>
              </w:rPr>
            </w:pPr>
          </w:p>
        </w:tc>
        <w:tc>
          <w:tcPr>
            <w:tcW w:w="0" w:type="auto"/>
            <w:gridSpan w:val="2"/>
            <w:tcBorders>
              <w:top w:val="single" w:sz="8" w:space="0" w:color="B6B6B6"/>
            </w:tcBorders>
            <w:shd w:val="clear" w:color="auto" w:fill="auto"/>
            <w:tcMar>
              <w:top w:w="40" w:type="dxa"/>
              <w:left w:w="20" w:type="dxa"/>
              <w:bottom w:w="40" w:type="dxa"/>
              <w:right w:w="0" w:type="dxa"/>
            </w:tcMar>
            <w:vAlign w:val="bottom"/>
          </w:tcPr>
          <w:p w14:paraId="669C5BAA" w14:textId="77777777" w:rsidR="00066C63" w:rsidRDefault="009656F6">
            <w:pPr>
              <w:jc w:val="right"/>
              <w:textAlignment w:val="bottom"/>
            </w:pPr>
            <w:r>
              <w:rPr>
                <w:rFonts w:ascii="Arial" w:eastAsia="宋体" w:hAnsi="Arial" w:cs="Arial"/>
                <w:color w:val="000000"/>
                <w:sz w:val="17"/>
                <w:szCs w:val="17"/>
              </w:rPr>
              <w:t>439 </w:t>
            </w:r>
          </w:p>
        </w:tc>
        <w:tc>
          <w:tcPr>
            <w:tcW w:w="0" w:type="auto"/>
            <w:tcBorders>
              <w:top w:val="single" w:sz="8" w:space="0" w:color="B6B6B6"/>
            </w:tcBorders>
            <w:shd w:val="clear" w:color="auto" w:fill="auto"/>
            <w:tcMar>
              <w:top w:w="40" w:type="dxa"/>
              <w:left w:w="0" w:type="dxa"/>
              <w:bottom w:w="40" w:type="dxa"/>
              <w:right w:w="20" w:type="dxa"/>
            </w:tcMar>
            <w:vAlign w:val="bottom"/>
          </w:tcPr>
          <w:p w14:paraId="669C5BAB" w14:textId="77777777" w:rsidR="00066C63" w:rsidRDefault="00066C63">
            <w:pPr>
              <w:jc w:val="right"/>
              <w:rPr>
                <w:rFonts w:ascii="宋体"/>
              </w:rPr>
            </w:pPr>
          </w:p>
        </w:tc>
      </w:tr>
      <w:tr w:rsidR="00066C63" w14:paraId="669C5BB3" w14:textId="77777777">
        <w:tc>
          <w:tcPr>
            <w:tcW w:w="0" w:type="auto"/>
            <w:gridSpan w:val="3"/>
            <w:tcBorders>
              <w:top w:val="single" w:sz="8" w:space="0" w:color="B6B6B6"/>
            </w:tcBorders>
            <w:shd w:val="clear" w:color="auto" w:fill="auto"/>
            <w:tcMar>
              <w:top w:w="40" w:type="dxa"/>
              <w:left w:w="155" w:type="dxa"/>
              <w:bottom w:w="40" w:type="dxa"/>
              <w:right w:w="20" w:type="dxa"/>
            </w:tcMar>
            <w:vAlign w:val="bottom"/>
          </w:tcPr>
          <w:p w14:paraId="669C5BAD" w14:textId="77777777" w:rsidR="00066C63" w:rsidRDefault="009656F6">
            <w:pPr>
              <w:textAlignment w:val="bottom"/>
            </w:pPr>
            <w:r>
              <w:rPr>
                <w:rFonts w:ascii="Arial" w:eastAsia="宋体" w:hAnsi="Arial" w:cs="Arial"/>
                <w:color w:val="000000"/>
                <w:sz w:val="17"/>
                <w:szCs w:val="17"/>
              </w:rPr>
              <w:t>Accounts receivable, net</w:t>
            </w:r>
          </w:p>
        </w:tc>
        <w:tc>
          <w:tcPr>
            <w:tcW w:w="0" w:type="auto"/>
            <w:gridSpan w:val="2"/>
            <w:tcBorders>
              <w:top w:val="single" w:sz="8" w:space="0" w:color="B6B6B6"/>
            </w:tcBorders>
            <w:shd w:val="clear" w:color="auto" w:fill="FFF1E7"/>
            <w:tcMar>
              <w:top w:w="40" w:type="dxa"/>
              <w:left w:w="20" w:type="dxa"/>
              <w:bottom w:w="40" w:type="dxa"/>
              <w:right w:w="0" w:type="dxa"/>
            </w:tcMar>
            <w:vAlign w:val="bottom"/>
          </w:tcPr>
          <w:p w14:paraId="669C5BAE" w14:textId="77777777" w:rsidR="00066C63" w:rsidRDefault="009656F6">
            <w:pPr>
              <w:jc w:val="right"/>
              <w:textAlignment w:val="bottom"/>
            </w:pPr>
            <w:r>
              <w:rPr>
                <w:rFonts w:ascii="Arial" w:eastAsia="宋体" w:hAnsi="Arial" w:cs="Arial"/>
                <w:color w:val="000000"/>
                <w:sz w:val="17"/>
                <w:szCs w:val="17"/>
              </w:rPr>
              <w:t>3,669 </w:t>
            </w:r>
          </w:p>
        </w:tc>
        <w:tc>
          <w:tcPr>
            <w:tcW w:w="0" w:type="auto"/>
            <w:tcBorders>
              <w:top w:val="single" w:sz="8" w:space="0" w:color="B6B6B6"/>
            </w:tcBorders>
            <w:shd w:val="clear" w:color="auto" w:fill="FFF1E7"/>
            <w:tcMar>
              <w:top w:w="40" w:type="dxa"/>
              <w:left w:w="0" w:type="dxa"/>
              <w:bottom w:w="40" w:type="dxa"/>
              <w:right w:w="20" w:type="dxa"/>
            </w:tcMar>
            <w:vAlign w:val="bottom"/>
          </w:tcPr>
          <w:p w14:paraId="669C5BAF" w14:textId="77777777" w:rsidR="00066C63" w:rsidRDefault="00066C63">
            <w:pPr>
              <w:jc w:val="right"/>
              <w:rPr>
                <w:rFonts w:ascii="宋体"/>
              </w:rPr>
            </w:pPr>
          </w:p>
        </w:tc>
        <w:tc>
          <w:tcPr>
            <w:tcW w:w="0" w:type="auto"/>
            <w:gridSpan w:val="3"/>
            <w:tcBorders>
              <w:top w:val="single" w:sz="8" w:space="0" w:color="B6B6B6"/>
            </w:tcBorders>
            <w:shd w:val="clear" w:color="auto" w:fill="auto"/>
            <w:tcMar>
              <w:top w:w="0" w:type="dxa"/>
              <w:left w:w="20" w:type="dxa"/>
              <w:bottom w:w="0" w:type="dxa"/>
              <w:right w:w="20" w:type="dxa"/>
            </w:tcMar>
          </w:tcPr>
          <w:p w14:paraId="669C5BB0" w14:textId="77777777" w:rsidR="00066C63" w:rsidRDefault="00066C63">
            <w:pPr>
              <w:rPr>
                <w:rFonts w:ascii="宋体"/>
              </w:rPr>
            </w:pPr>
          </w:p>
        </w:tc>
        <w:tc>
          <w:tcPr>
            <w:tcW w:w="0" w:type="auto"/>
            <w:gridSpan w:val="2"/>
            <w:tcBorders>
              <w:top w:val="single" w:sz="8" w:space="0" w:color="B6B6B6"/>
            </w:tcBorders>
            <w:shd w:val="clear" w:color="auto" w:fill="auto"/>
            <w:tcMar>
              <w:top w:w="40" w:type="dxa"/>
              <w:left w:w="20" w:type="dxa"/>
              <w:bottom w:w="40" w:type="dxa"/>
              <w:right w:w="0" w:type="dxa"/>
            </w:tcMar>
            <w:vAlign w:val="bottom"/>
          </w:tcPr>
          <w:p w14:paraId="669C5BB1" w14:textId="77777777" w:rsidR="00066C63" w:rsidRDefault="009656F6">
            <w:pPr>
              <w:jc w:val="right"/>
              <w:textAlignment w:val="bottom"/>
            </w:pPr>
            <w:r>
              <w:rPr>
                <w:rFonts w:ascii="Arial" w:eastAsia="宋体" w:hAnsi="Arial" w:cs="Arial"/>
                <w:color w:val="000000"/>
                <w:sz w:val="17"/>
                <w:szCs w:val="17"/>
              </w:rPr>
              <w:t>2,749 </w:t>
            </w:r>
          </w:p>
        </w:tc>
        <w:tc>
          <w:tcPr>
            <w:tcW w:w="0" w:type="auto"/>
            <w:tcBorders>
              <w:top w:val="single" w:sz="8" w:space="0" w:color="B6B6B6"/>
            </w:tcBorders>
            <w:shd w:val="clear" w:color="auto" w:fill="auto"/>
            <w:tcMar>
              <w:top w:w="40" w:type="dxa"/>
              <w:left w:w="0" w:type="dxa"/>
              <w:bottom w:w="40" w:type="dxa"/>
              <w:right w:w="20" w:type="dxa"/>
            </w:tcMar>
            <w:vAlign w:val="bottom"/>
          </w:tcPr>
          <w:p w14:paraId="669C5BB2" w14:textId="77777777" w:rsidR="00066C63" w:rsidRDefault="00066C63">
            <w:pPr>
              <w:jc w:val="right"/>
              <w:rPr>
                <w:rFonts w:ascii="宋体"/>
              </w:rPr>
            </w:pPr>
          </w:p>
        </w:tc>
      </w:tr>
      <w:tr w:rsidR="00066C63" w14:paraId="669C5BBA" w14:textId="77777777">
        <w:tc>
          <w:tcPr>
            <w:tcW w:w="0" w:type="auto"/>
            <w:gridSpan w:val="3"/>
            <w:tcBorders>
              <w:top w:val="single" w:sz="8" w:space="0" w:color="B6B6B6"/>
            </w:tcBorders>
            <w:shd w:val="clear" w:color="auto" w:fill="auto"/>
            <w:tcMar>
              <w:top w:w="40" w:type="dxa"/>
              <w:left w:w="155" w:type="dxa"/>
              <w:bottom w:w="40" w:type="dxa"/>
              <w:right w:w="20" w:type="dxa"/>
            </w:tcMar>
            <w:vAlign w:val="bottom"/>
          </w:tcPr>
          <w:p w14:paraId="669C5BB4" w14:textId="77777777" w:rsidR="00066C63" w:rsidRDefault="009656F6">
            <w:pPr>
              <w:textAlignment w:val="bottom"/>
            </w:pPr>
            <w:r>
              <w:rPr>
                <w:rFonts w:ascii="Arial" w:eastAsia="宋体" w:hAnsi="Arial" w:cs="Arial"/>
                <w:color w:val="000000"/>
                <w:sz w:val="17"/>
                <w:szCs w:val="17"/>
              </w:rPr>
              <w:t>Inventories</w:t>
            </w:r>
          </w:p>
        </w:tc>
        <w:tc>
          <w:tcPr>
            <w:tcW w:w="0" w:type="auto"/>
            <w:gridSpan w:val="2"/>
            <w:tcBorders>
              <w:top w:val="single" w:sz="8" w:space="0" w:color="B6B6B6"/>
            </w:tcBorders>
            <w:shd w:val="clear" w:color="auto" w:fill="FFF1E7"/>
            <w:tcMar>
              <w:top w:w="40" w:type="dxa"/>
              <w:left w:w="20" w:type="dxa"/>
              <w:bottom w:w="40" w:type="dxa"/>
              <w:right w:w="0" w:type="dxa"/>
            </w:tcMar>
            <w:vAlign w:val="bottom"/>
          </w:tcPr>
          <w:p w14:paraId="669C5BB5" w14:textId="77777777" w:rsidR="00066C63" w:rsidRDefault="009656F6">
            <w:pPr>
              <w:jc w:val="right"/>
              <w:textAlignment w:val="bottom"/>
            </w:pPr>
            <w:r>
              <w:rPr>
                <w:rFonts w:ascii="Arial" w:eastAsia="宋体" w:hAnsi="Arial" w:cs="Arial"/>
                <w:color w:val="000000"/>
                <w:sz w:val="17"/>
                <w:szCs w:val="17"/>
              </w:rPr>
              <w:t>6,693 </w:t>
            </w:r>
          </w:p>
        </w:tc>
        <w:tc>
          <w:tcPr>
            <w:tcW w:w="0" w:type="auto"/>
            <w:tcBorders>
              <w:top w:val="single" w:sz="8" w:space="0" w:color="B6B6B6"/>
            </w:tcBorders>
            <w:shd w:val="clear" w:color="auto" w:fill="FFF1E7"/>
            <w:tcMar>
              <w:top w:w="40" w:type="dxa"/>
              <w:left w:w="0" w:type="dxa"/>
              <w:bottom w:w="40" w:type="dxa"/>
              <w:right w:w="20" w:type="dxa"/>
            </w:tcMar>
            <w:vAlign w:val="bottom"/>
          </w:tcPr>
          <w:p w14:paraId="669C5BB6" w14:textId="77777777" w:rsidR="00066C63" w:rsidRDefault="00066C63">
            <w:pPr>
              <w:jc w:val="right"/>
              <w:rPr>
                <w:rFonts w:ascii="宋体"/>
              </w:rPr>
            </w:pPr>
          </w:p>
        </w:tc>
        <w:tc>
          <w:tcPr>
            <w:tcW w:w="0" w:type="auto"/>
            <w:gridSpan w:val="3"/>
            <w:tcBorders>
              <w:top w:val="single" w:sz="8" w:space="0" w:color="B6B6B6"/>
            </w:tcBorders>
            <w:shd w:val="clear" w:color="auto" w:fill="auto"/>
            <w:tcMar>
              <w:top w:w="0" w:type="dxa"/>
              <w:left w:w="20" w:type="dxa"/>
              <w:bottom w:w="0" w:type="dxa"/>
              <w:right w:w="20" w:type="dxa"/>
            </w:tcMar>
          </w:tcPr>
          <w:p w14:paraId="669C5BB7" w14:textId="77777777" w:rsidR="00066C63" w:rsidRDefault="00066C63">
            <w:pPr>
              <w:rPr>
                <w:rFonts w:ascii="宋体"/>
              </w:rPr>
            </w:pPr>
          </w:p>
        </w:tc>
        <w:tc>
          <w:tcPr>
            <w:tcW w:w="0" w:type="auto"/>
            <w:gridSpan w:val="2"/>
            <w:tcBorders>
              <w:top w:val="single" w:sz="8" w:space="0" w:color="B6B6B6"/>
            </w:tcBorders>
            <w:shd w:val="clear" w:color="auto" w:fill="auto"/>
            <w:tcMar>
              <w:top w:w="40" w:type="dxa"/>
              <w:left w:w="20" w:type="dxa"/>
              <w:bottom w:w="40" w:type="dxa"/>
              <w:right w:w="0" w:type="dxa"/>
            </w:tcMar>
            <w:vAlign w:val="bottom"/>
          </w:tcPr>
          <w:p w14:paraId="669C5BB8" w14:textId="77777777" w:rsidR="00066C63" w:rsidRDefault="009656F6">
            <w:pPr>
              <w:jc w:val="right"/>
              <w:textAlignment w:val="bottom"/>
            </w:pPr>
            <w:r>
              <w:rPr>
                <w:rFonts w:ascii="Arial" w:eastAsia="宋体" w:hAnsi="Arial" w:cs="Arial"/>
                <w:color w:val="000000"/>
                <w:sz w:val="17"/>
                <w:szCs w:val="17"/>
              </w:rPr>
              <w:t>7,367 </w:t>
            </w:r>
          </w:p>
        </w:tc>
        <w:tc>
          <w:tcPr>
            <w:tcW w:w="0" w:type="auto"/>
            <w:tcBorders>
              <w:top w:val="single" w:sz="8" w:space="0" w:color="B6B6B6"/>
            </w:tcBorders>
            <w:shd w:val="clear" w:color="auto" w:fill="auto"/>
            <w:tcMar>
              <w:top w:w="40" w:type="dxa"/>
              <w:left w:w="0" w:type="dxa"/>
              <w:bottom w:w="40" w:type="dxa"/>
              <w:right w:w="20" w:type="dxa"/>
            </w:tcMar>
            <w:vAlign w:val="bottom"/>
          </w:tcPr>
          <w:p w14:paraId="669C5BB9" w14:textId="77777777" w:rsidR="00066C63" w:rsidRDefault="00066C63">
            <w:pPr>
              <w:jc w:val="right"/>
              <w:rPr>
                <w:rFonts w:ascii="宋体"/>
              </w:rPr>
            </w:pPr>
          </w:p>
        </w:tc>
      </w:tr>
      <w:tr w:rsidR="00066C63" w14:paraId="669C5BC1" w14:textId="77777777">
        <w:tc>
          <w:tcPr>
            <w:tcW w:w="0" w:type="auto"/>
            <w:gridSpan w:val="3"/>
            <w:tcBorders>
              <w:top w:val="single" w:sz="8" w:space="0" w:color="B6B6B6"/>
            </w:tcBorders>
            <w:shd w:val="clear" w:color="auto" w:fill="auto"/>
            <w:tcMar>
              <w:top w:w="40" w:type="dxa"/>
              <w:left w:w="155" w:type="dxa"/>
              <w:bottom w:w="40" w:type="dxa"/>
              <w:right w:w="20" w:type="dxa"/>
            </w:tcMar>
            <w:vAlign w:val="bottom"/>
          </w:tcPr>
          <w:p w14:paraId="669C5BBB" w14:textId="77777777" w:rsidR="00066C63" w:rsidRDefault="009656F6">
            <w:pPr>
              <w:textAlignment w:val="bottom"/>
            </w:pPr>
            <w:r>
              <w:rPr>
                <w:rFonts w:ascii="Arial" w:eastAsia="宋体" w:hAnsi="Arial" w:cs="Arial"/>
                <w:color w:val="000000"/>
                <w:sz w:val="17"/>
                <w:szCs w:val="17"/>
              </w:rPr>
              <w:t xml:space="preserve">Prepaid </w:t>
            </w:r>
            <w:r>
              <w:rPr>
                <w:rFonts w:ascii="Arial" w:eastAsia="宋体" w:hAnsi="Arial" w:cs="Arial"/>
                <w:color w:val="000000"/>
                <w:sz w:val="17"/>
                <w:szCs w:val="17"/>
              </w:rPr>
              <w:t>expenses and other current assets</w:t>
            </w:r>
          </w:p>
        </w:tc>
        <w:tc>
          <w:tcPr>
            <w:tcW w:w="0" w:type="auto"/>
            <w:gridSpan w:val="2"/>
            <w:tcBorders>
              <w:top w:val="single" w:sz="8" w:space="0" w:color="B6B6B6"/>
            </w:tcBorders>
            <w:shd w:val="clear" w:color="auto" w:fill="FFF1E7"/>
            <w:tcMar>
              <w:top w:w="40" w:type="dxa"/>
              <w:left w:w="20" w:type="dxa"/>
              <w:bottom w:w="40" w:type="dxa"/>
              <w:right w:w="0" w:type="dxa"/>
            </w:tcMar>
            <w:vAlign w:val="bottom"/>
          </w:tcPr>
          <w:p w14:paraId="669C5BBC" w14:textId="77777777" w:rsidR="00066C63" w:rsidRDefault="009656F6">
            <w:pPr>
              <w:jc w:val="right"/>
              <w:textAlignment w:val="bottom"/>
            </w:pPr>
            <w:r>
              <w:rPr>
                <w:rFonts w:ascii="Arial" w:eastAsia="宋体" w:hAnsi="Arial" w:cs="Arial"/>
                <w:color w:val="000000"/>
                <w:sz w:val="17"/>
                <w:szCs w:val="17"/>
              </w:rPr>
              <w:t>1,810 </w:t>
            </w:r>
          </w:p>
        </w:tc>
        <w:tc>
          <w:tcPr>
            <w:tcW w:w="0" w:type="auto"/>
            <w:tcBorders>
              <w:top w:val="single" w:sz="8" w:space="0" w:color="B6B6B6"/>
            </w:tcBorders>
            <w:shd w:val="clear" w:color="auto" w:fill="FFF1E7"/>
            <w:tcMar>
              <w:top w:w="40" w:type="dxa"/>
              <w:left w:w="0" w:type="dxa"/>
              <w:bottom w:w="40" w:type="dxa"/>
              <w:right w:w="20" w:type="dxa"/>
            </w:tcMar>
            <w:vAlign w:val="bottom"/>
          </w:tcPr>
          <w:p w14:paraId="669C5BBD" w14:textId="77777777" w:rsidR="00066C63" w:rsidRDefault="00066C63">
            <w:pPr>
              <w:jc w:val="right"/>
              <w:rPr>
                <w:rFonts w:ascii="宋体"/>
              </w:rPr>
            </w:pPr>
          </w:p>
        </w:tc>
        <w:tc>
          <w:tcPr>
            <w:tcW w:w="0" w:type="auto"/>
            <w:gridSpan w:val="3"/>
            <w:tcBorders>
              <w:top w:val="single" w:sz="8" w:space="0" w:color="B6B6B6"/>
            </w:tcBorders>
            <w:shd w:val="clear" w:color="auto" w:fill="auto"/>
            <w:tcMar>
              <w:top w:w="0" w:type="dxa"/>
              <w:left w:w="20" w:type="dxa"/>
              <w:bottom w:w="0" w:type="dxa"/>
              <w:right w:w="20" w:type="dxa"/>
            </w:tcMar>
          </w:tcPr>
          <w:p w14:paraId="669C5BBE" w14:textId="77777777" w:rsidR="00066C63" w:rsidRDefault="00066C63">
            <w:pPr>
              <w:rPr>
                <w:rFonts w:ascii="宋体"/>
              </w:rPr>
            </w:pPr>
          </w:p>
        </w:tc>
        <w:tc>
          <w:tcPr>
            <w:tcW w:w="0" w:type="auto"/>
            <w:gridSpan w:val="2"/>
            <w:tcBorders>
              <w:top w:val="single" w:sz="8" w:space="0" w:color="B6B6B6"/>
            </w:tcBorders>
            <w:shd w:val="clear" w:color="auto" w:fill="auto"/>
            <w:tcMar>
              <w:top w:w="40" w:type="dxa"/>
              <w:left w:w="20" w:type="dxa"/>
              <w:bottom w:w="40" w:type="dxa"/>
              <w:right w:w="0" w:type="dxa"/>
            </w:tcMar>
            <w:vAlign w:val="bottom"/>
          </w:tcPr>
          <w:p w14:paraId="669C5BBF" w14:textId="77777777" w:rsidR="00066C63" w:rsidRDefault="009656F6">
            <w:pPr>
              <w:jc w:val="right"/>
              <w:textAlignment w:val="bottom"/>
            </w:pPr>
            <w:r>
              <w:rPr>
                <w:rFonts w:ascii="Arial" w:eastAsia="宋体" w:hAnsi="Arial" w:cs="Arial"/>
                <w:color w:val="000000"/>
                <w:sz w:val="17"/>
                <w:szCs w:val="17"/>
              </w:rPr>
              <w:t>1,653 </w:t>
            </w:r>
          </w:p>
        </w:tc>
        <w:tc>
          <w:tcPr>
            <w:tcW w:w="0" w:type="auto"/>
            <w:tcBorders>
              <w:top w:val="single" w:sz="8" w:space="0" w:color="B6B6B6"/>
            </w:tcBorders>
            <w:shd w:val="clear" w:color="auto" w:fill="auto"/>
            <w:tcMar>
              <w:top w:w="40" w:type="dxa"/>
              <w:left w:w="0" w:type="dxa"/>
              <w:bottom w:w="40" w:type="dxa"/>
              <w:right w:w="20" w:type="dxa"/>
            </w:tcMar>
            <w:vAlign w:val="bottom"/>
          </w:tcPr>
          <w:p w14:paraId="669C5BC0" w14:textId="77777777" w:rsidR="00066C63" w:rsidRDefault="00066C63">
            <w:pPr>
              <w:jc w:val="right"/>
              <w:rPr>
                <w:rFonts w:ascii="宋体"/>
              </w:rPr>
            </w:pPr>
          </w:p>
        </w:tc>
      </w:tr>
      <w:tr w:rsidR="00066C63" w14:paraId="669C5BC8"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5BC2" w14:textId="77777777" w:rsidR="00066C63" w:rsidRDefault="009656F6">
            <w:pPr>
              <w:textAlignment w:val="bottom"/>
            </w:pPr>
            <w:r>
              <w:rPr>
                <w:rFonts w:ascii="Arial" w:eastAsia="宋体" w:hAnsi="Arial" w:cs="Arial"/>
                <w:color w:val="000000"/>
                <w:sz w:val="17"/>
                <w:szCs w:val="17"/>
              </w:rPr>
              <w:t>Total current assets</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669C5BC3" w14:textId="77777777" w:rsidR="00066C63" w:rsidRDefault="009656F6">
            <w:pPr>
              <w:jc w:val="right"/>
              <w:textAlignment w:val="bottom"/>
            </w:pPr>
            <w:r>
              <w:rPr>
                <w:rFonts w:ascii="Arial" w:eastAsia="宋体" w:hAnsi="Arial" w:cs="Arial"/>
                <w:color w:val="000000"/>
                <w:sz w:val="17"/>
                <w:szCs w:val="17"/>
              </w:rPr>
              <w:t>24,700 </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5BC4" w14:textId="77777777" w:rsidR="00066C63" w:rsidRDefault="00066C63">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5BC5" w14:textId="77777777" w:rsidR="00066C63" w:rsidRDefault="00066C63">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5BC6" w14:textId="77777777" w:rsidR="00066C63" w:rsidRDefault="009656F6">
            <w:pPr>
              <w:jc w:val="right"/>
              <w:textAlignment w:val="bottom"/>
            </w:pPr>
            <w:r>
              <w:rPr>
                <w:rFonts w:ascii="Arial" w:eastAsia="宋体" w:hAnsi="Arial" w:cs="Arial"/>
                <w:color w:val="000000"/>
                <w:sz w:val="17"/>
                <w:szCs w:val="17"/>
              </w:rPr>
              <w:t>20,556 </w:t>
            </w:r>
          </w:p>
        </w:tc>
        <w:tc>
          <w:tcPr>
            <w:tcW w:w="0" w:type="auto"/>
            <w:tcBorders>
              <w:top w:val="single" w:sz="8" w:space="0" w:color="E87722"/>
            </w:tcBorders>
            <w:shd w:val="clear" w:color="auto" w:fill="auto"/>
            <w:tcMar>
              <w:top w:w="40" w:type="dxa"/>
              <w:left w:w="0" w:type="dxa"/>
              <w:bottom w:w="40" w:type="dxa"/>
              <w:right w:w="20" w:type="dxa"/>
            </w:tcMar>
            <w:vAlign w:val="bottom"/>
          </w:tcPr>
          <w:p w14:paraId="669C5BC7" w14:textId="77777777" w:rsidR="00066C63" w:rsidRDefault="00066C63">
            <w:pPr>
              <w:jc w:val="right"/>
              <w:rPr>
                <w:rFonts w:ascii="宋体"/>
              </w:rPr>
            </w:pPr>
          </w:p>
        </w:tc>
      </w:tr>
      <w:tr w:rsidR="00066C63" w14:paraId="669C5BCF" w14:textId="77777777">
        <w:tc>
          <w:tcPr>
            <w:tcW w:w="0" w:type="auto"/>
            <w:gridSpan w:val="3"/>
            <w:tcBorders>
              <w:top w:val="single" w:sz="8" w:space="0" w:color="B6B6B6"/>
            </w:tcBorders>
            <w:shd w:val="clear" w:color="auto" w:fill="auto"/>
            <w:tcMar>
              <w:top w:w="40" w:type="dxa"/>
              <w:left w:w="155" w:type="dxa"/>
              <w:bottom w:w="40" w:type="dxa"/>
              <w:right w:w="20" w:type="dxa"/>
            </w:tcMar>
            <w:vAlign w:val="bottom"/>
          </w:tcPr>
          <w:p w14:paraId="669C5BC9" w14:textId="77777777" w:rsidR="00066C63" w:rsidRDefault="009656F6">
            <w:pPr>
              <w:textAlignment w:val="bottom"/>
            </w:pPr>
            <w:r>
              <w:rPr>
                <w:rFonts w:ascii="Arial" w:eastAsia="宋体" w:hAnsi="Arial" w:cs="Arial"/>
                <w:color w:val="000000"/>
                <w:sz w:val="17"/>
                <w:szCs w:val="17"/>
              </w:rPr>
              <w:t>Property, plant and equipment, net</w:t>
            </w:r>
          </w:p>
        </w:tc>
        <w:tc>
          <w:tcPr>
            <w:tcW w:w="0" w:type="auto"/>
            <w:gridSpan w:val="2"/>
            <w:tcBorders>
              <w:top w:val="single" w:sz="8" w:space="0" w:color="B6B6B6"/>
            </w:tcBorders>
            <w:shd w:val="clear" w:color="auto" w:fill="FFF1E7"/>
            <w:tcMar>
              <w:top w:w="40" w:type="dxa"/>
              <w:left w:w="20" w:type="dxa"/>
              <w:bottom w:w="40" w:type="dxa"/>
              <w:right w:w="0" w:type="dxa"/>
            </w:tcMar>
            <w:vAlign w:val="bottom"/>
          </w:tcPr>
          <w:p w14:paraId="669C5BCA" w14:textId="77777777" w:rsidR="00066C63" w:rsidRDefault="009656F6">
            <w:pPr>
              <w:jc w:val="right"/>
              <w:textAlignment w:val="bottom"/>
            </w:pPr>
            <w:r>
              <w:rPr>
                <w:rFonts w:ascii="Arial" w:eastAsia="宋体" w:hAnsi="Arial" w:cs="Arial"/>
                <w:color w:val="000000"/>
                <w:sz w:val="17"/>
                <w:szCs w:val="17"/>
              </w:rPr>
              <w:t>4,958 </w:t>
            </w:r>
          </w:p>
        </w:tc>
        <w:tc>
          <w:tcPr>
            <w:tcW w:w="0" w:type="auto"/>
            <w:tcBorders>
              <w:top w:val="single" w:sz="8" w:space="0" w:color="B6B6B6"/>
            </w:tcBorders>
            <w:shd w:val="clear" w:color="auto" w:fill="FFF1E7"/>
            <w:tcMar>
              <w:top w:w="40" w:type="dxa"/>
              <w:left w:w="0" w:type="dxa"/>
              <w:bottom w:w="40" w:type="dxa"/>
              <w:right w:w="20" w:type="dxa"/>
            </w:tcMar>
            <w:vAlign w:val="bottom"/>
          </w:tcPr>
          <w:p w14:paraId="669C5BCB" w14:textId="77777777" w:rsidR="00066C63" w:rsidRDefault="00066C63">
            <w:pPr>
              <w:jc w:val="right"/>
              <w:rPr>
                <w:rFonts w:ascii="宋体"/>
              </w:rPr>
            </w:pPr>
          </w:p>
        </w:tc>
        <w:tc>
          <w:tcPr>
            <w:tcW w:w="0" w:type="auto"/>
            <w:gridSpan w:val="3"/>
            <w:tcBorders>
              <w:top w:val="single" w:sz="8" w:space="0" w:color="B6B6B6"/>
            </w:tcBorders>
            <w:shd w:val="clear" w:color="auto" w:fill="auto"/>
            <w:tcMar>
              <w:top w:w="0" w:type="dxa"/>
              <w:left w:w="20" w:type="dxa"/>
              <w:bottom w:w="0" w:type="dxa"/>
              <w:right w:w="20" w:type="dxa"/>
            </w:tcMar>
          </w:tcPr>
          <w:p w14:paraId="669C5BCC" w14:textId="77777777" w:rsidR="00066C63" w:rsidRDefault="00066C63">
            <w:pPr>
              <w:rPr>
                <w:rFonts w:ascii="宋体"/>
              </w:rPr>
            </w:pPr>
          </w:p>
        </w:tc>
        <w:tc>
          <w:tcPr>
            <w:tcW w:w="0" w:type="auto"/>
            <w:gridSpan w:val="2"/>
            <w:tcBorders>
              <w:top w:val="single" w:sz="8" w:space="0" w:color="B6B6B6"/>
            </w:tcBorders>
            <w:shd w:val="clear" w:color="auto" w:fill="auto"/>
            <w:tcMar>
              <w:top w:w="40" w:type="dxa"/>
              <w:left w:w="20" w:type="dxa"/>
              <w:bottom w:w="40" w:type="dxa"/>
              <w:right w:w="0" w:type="dxa"/>
            </w:tcMar>
            <w:vAlign w:val="bottom"/>
          </w:tcPr>
          <w:p w14:paraId="669C5BCD" w14:textId="77777777" w:rsidR="00066C63" w:rsidRDefault="009656F6">
            <w:pPr>
              <w:jc w:val="right"/>
              <w:textAlignment w:val="bottom"/>
            </w:pPr>
            <w:r>
              <w:rPr>
                <w:rFonts w:ascii="Arial" w:eastAsia="宋体" w:hAnsi="Arial" w:cs="Arial"/>
                <w:color w:val="000000"/>
                <w:sz w:val="17"/>
                <w:szCs w:val="17"/>
              </w:rPr>
              <w:t>4,866 </w:t>
            </w:r>
          </w:p>
        </w:tc>
        <w:tc>
          <w:tcPr>
            <w:tcW w:w="0" w:type="auto"/>
            <w:tcBorders>
              <w:top w:val="single" w:sz="8" w:space="0" w:color="B6B6B6"/>
            </w:tcBorders>
            <w:shd w:val="clear" w:color="auto" w:fill="auto"/>
            <w:tcMar>
              <w:top w:w="40" w:type="dxa"/>
              <w:left w:w="0" w:type="dxa"/>
              <w:bottom w:w="40" w:type="dxa"/>
              <w:right w:w="20" w:type="dxa"/>
            </w:tcMar>
            <w:vAlign w:val="bottom"/>
          </w:tcPr>
          <w:p w14:paraId="669C5BCE" w14:textId="77777777" w:rsidR="00066C63" w:rsidRDefault="00066C63">
            <w:pPr>
              <w:jc w:val="right"/>
              <w:rPr>
                <w:rFonts w:ascii="宋体"/>
              </w:rPr>
            </w:pPr>
          </w:p>
        </w:tc>
      </w:tr>
      <w:tr w:rsidR="00066C63" w14:paraId="669C5BD6" w14:textId="77777777">
        <w:tc>
          <w:tcPr>
            <w:tcW w:w="0" w:type="auto"/>
            <w:gridSpan w:val="3"/>
            <w:tcBorders>
              <w:top w:val="single" w:sz="8" w:space="0" w:color="B6B6B6"/>
            </w:tcBorders>
            <w:shd w:val="clear" w:color="auto" w:fill="auto"/>
            <w:tcMar>
              <w:top w:w="40" w:type="dxa"/>
              <w:left w:w="155" w:type="dxa"/>
              <w:bottom w:w="40" w:type="dxa"/>
              <w:right w:w="20" w:type="dxa"/>
            </w:tcMar>
            <w:vAlign w:val="bottom"/>
          </w:tcPr>
          <w:p w14:paraId="669C5BD0" w14:textId="77777777" w:rsidR="00066C63" w:rsidRDefault="009656F6">
            <w:pPr>
              <w:textAlignment w:val="bottom"/>
            </w:pPr>
            <w:r>
              <w:rPr>
                <w:rFonts w:ascii="Arial" w:eastAsia="宋体" w:hAnsi="Arial" w:cs="Arial"/>
                <w:color w:val="000000"/>
                <w:sz w:val="17"/>
                <w:szCs w:val="17"/>
              </w:rPr>
              <w:t>Operating lease right-of-use assets, net</w:t>
            </w:r>
          </w:p>
        </w:tc>
        <w:tc>
          <w:tcPr>
            <w:tcW w:w="0" w:type="auto"/>
            <w:gridSpan w:val="2"/>
            <w:tcBorders>
              <w:top w:val="single" w:sz="8" w:space="0" w:color="B6B6B6"/>
            </w:tcBorders>
            <w:shd w:val="clear" w:color="auto" w:fill="FFF1E7"/>
            <w:tcMar>
              <w:top w:w="40" w:type="dxa"/>
              <w:left w:w="20" w:type="dxa"/>
              <w:bottom w:w="40" w:type="dxa"/>
              <w:right w:w="0" w:type="dxa"/>
            </w:tcMar>
            <w:vAlign w:val="bottom"/>
          </w:tcPr>
          <w:p w14:paraId="669C5BD1" w14:textId="77777777" w:rsidR="00066C63" w:rsidRDefault="009656F6">
            <w:pPr>
              <w:jc w:val="right"/>
              <w:textAlignment w:val="bottom"/>
            </w:pPr>
            <w:r>
              <w:rPr>
                <w:rFonts w:ascii="Arial" w:eastAsia="宋体" w:hAnsi="Arial" w:cs="Arial"/>
                <w:color w:val="000000"/>
                <w:sz w:val="17"/>
                <w:szCs w:val="17"/>
              </w:rPr>
              <w:t>3,149 </w:t>
            </w:r>
          </w:p>
        </w:tc>
        <w:tc>
          <w:tcPr>
            <w:tcW w:w="0" w:type="auto"/>
            <w:tcBorders>
              <w:top w:val="single" w:sz="8" w:space="0" w:color="B6B6B6"/>
            </w:tcBorders>
            <w:shd w:val="clear" w:color="auto" w:fill="FFF1E7"/>
            <w:tcMar>
              <w:top w:w="40" w:type="dxa"/>
              <w:left w:w="0" w:type="dxa"/>
              <w:bottom w:w="40" w:type="dxa"/>
              <w:right w:w="20" w:type="dxa"/>
            </w:tcMar>
            <w:vAlign w:val="bottom"/>
          </w:tcPr>
          <w:p w14:paraId="669C5BD2" w14:textId="77777777" w:rsidR="00066C63" w:rsidRDefault="00066C63">
            <w:pPr>
              <w:jc w:val="right"/>
              <w:rPr>
                <w:rFonts w:ascii="宋体"/>
              </w:rPr>
            </w:pPr>
          </w:p>
        </w:tc>
        <w:tc>
          <w:tcPr>
            <w:tcW w:w="0" w:type="auto"/>
            <w:gridSpan w:val="3"/>
            <w:tcBorders>
              <w:top w:val="single" w:sz="8" w:space="0" w:color="B6B6B6"/>
            </w:tcBorders>
            <w:shd w:val="clear" w:color="auto" w:fill="auto"/>
            <w:tcMar>
              <w:top w:w="0" w:type="dxa"/>
              <w:left w:w="20" w:type="dxa"/>
              <w:bottom w:w="0" w:type="dxa"/>
              <w:right w:w="20" w:type="dxa"/>
            </w:tcMar>
          </w:tcPr>
          <w:p w14:paraId="669C5BD3" w14:textId="77777777" w:rsidR="00066C63" w:rsidRDefault="00066C63">
            <w:pPr>
              <w:rPr>
                <w:rFonts w:ascii="宋体"/>
              </w:rPr>
            </w:pPr>
          </w:p>
        </w:tc>
        <w:tc>
          <w:tcPr>
            <w:tcW w:w="0" w:type="auto"/>
            <w:gridSpan w:val="2"/>
            <w:tcBorders>
              <w:top w:val="single" w:sz="8" w:space="0" w:color="B6B6B6"/>
            </w:tcBorders>
            <w:shd w:val="clear" w:color="auto" w:fill="auto"/>
            <w:tcMar>
              <w:top w:w="40" w:type="dxa"/>
              <w:left w:w="20" w:type="dxa"/>
              <w:bottom w:w="40" w:type="dxa"/>
              <w:right w:w="0" w:type="dxa"/>
            </w:tcMar>
            <w:vAlign w:val="bottom"/>
          </w:tcPr>
          <w:p w14:paraId="669C5BD4" w14:textId="77777777" w:rsidR="00066C63" w:rsidRDefault="009656F6">
            <w:pPr>
              <w:jc w:val="right"/>
              <w:textAlignment w:val="bottom"/>
            </w:pPr>
            <w:r>
              <w:rPr>
                <w:rFonts w:ascii="Arial" w:eastAsia="宋体" w:hAnsi="Arial" w:cs="Arial"/>
                <w:color w:val="000000"/>
                <w:sz w:val="17"/>
                <w:szCs w:val="17"/>
              </w:rPr>
              <w:t>3,097 </w:t>
            </w:r>
          </w:p>
        </w:tc>
        <w:tc>
          <w:tcPr>
            <w:tcW w:w="0" w:type="auto"/>
            <w:tcBorders>
              <w:top w:val="single" w:sz="8" w:space="0" w:color="B6B6B6"/>
            </w:tcBorders>
            <w:shd w:val="clear" w:color="auto" w:fill="auto"/>
            <w:tcMar>
              <w:top w:w="40" w:type="dxa"/>
              <w:left w:w="0" w:type="dxa"/>
              <w:bottom w:w="40" w:type="dxa"/>
              <w:right w:w="20" w:type="dxa"/>
            </w:tcMar>
            <w:vAlign w:val="bottom"/>
          </w:tcPr>
          <w:p w14:paraId="669C5BD5" w14:textId="77777777" w:rsidR="00066C63" w:rsidRDefault="00066C63">
            <w:pPr>
              <w:jc w:val="right"/>
              <w:rPr>
                <w:rFonts w:ascii="宋体"/>
              </w:rPr>
            </w:pPr>
          </w:p>
        </w:tc>
      </w:tr>
      <w:tr w:rsidR="00066C63" w14:paraId="669C5BDD" w14:textId="77777777">
        <w:tc>
          <w:tcPr>
            <w:tcW w:w="0" w:type="auto"/>
            <w:gridSpan w:val="3"/>
            <w:tcBorders>
              <w:top w:val="single" w:sz="8" w:space="0" w:color="B6B6B6"/>
            </w:tcBorders>
            <w:shd w:val="clear" w:color="auto" w:fill="auto"/>
            <w:tcMar>
              <w:top w:w="40" w:type="dxa"/>
              <w:left w:w="155" w:type="dxa"/>
              <w:bottom w:w="40" w:type="dxa"/>
              <w:right w:w="20" w:type="dxa"/>
            </w:tcMar>
            <w:vAlign w:val="bottom"/>
          </w:tcPr>
          <w:p w14:paraId="669C5BD7" w14:textId="77777777" w:rsidR="00066C63" w:rsidRDefault="009656F6">
            <w:pPr>
              <w:textAlignment w:val="bottom"/>
            </w:pPr>
            <w:r>
              <w:rPr>
                <w:rFonts w:ascii="Arial" w:eastAsia="宋体" w:hAnsi="Arial" w:cs="Arial"/>
                <w:color w:val="000000"/>
                <w:sz w:val="17"/>
                <w:szCs w:val="17"/>
              </w:rPr>
              <w:t>Identifiable intangible assets, net</w:t>
            </w:r>
          </w:p>
        </w:tc>
        <w:tc>
          <w:tcPr>
            <w:tcW w:w="0" w:type="auto"/>
            <w:gridSpan w:val="2"/>
            <w:tcBorders>
              <w:top w:val="single" w:sz="8" w:space="0" w:color="B6B6B6"/>
            </w:tcBorders>
            <w:shd w:val="clear" w:color="auto" w:fill="FFF1E7"/>
            <w:tcMar>
              <w:top w:w="40" w:type="dxa"/>
              <w:left w:w="20" w:type="dxa"/>
              <w:bottom w:w="40" w:type="dxa"/>
              <w:right w:w="0" w:type="dxa"/>
            </w:tcMar>
            <w:vAlign w:val="bottom"/>
          </w:tcPr>
          <w:p w14:paraId="669C5BD8" w14:textId="77777777" w:rsidR="00066C63" w:rsidRDefault="009656F6">
            <w:pPr>
              <w:jc w:val="right"/>
              <w:textAlignment w:val="bottom"/>
            </w:pPr>
            <w:r>
              <w:rPr>
                <w:rFonts w:ascii="Arial" w:eastAsia="宋体" w:hAnsi="Arial" w:cs="Arial"/>
                <w:color w:val="000000"/>
                <w:sz w:val="17"/>
                <w:szCs w:val="17"/>
              </w:rPr>
              <w:t>271 </w:t>
            </w:r>
          </w:p>
        </w:tc>
        <w:tc>
          <w:tcPr>
            <w:tcW w:w="0" w:type="auto"/>
            <w:tcBorders>
              <w:top w:val="single" w:sz="8" w:space="0" w:color="B6B6B6"/>
            </w:tcBorders>
            <w:shd w:val="clear" w:color="auto" w:fill="FFF1E7"/>
            <w:tcMar>
              <w:top w:w="40" w:type="dxa"/>
              <w:left w:w="0" w:type="dxa"/>
              <w:bottom w:w="40" w:type="dxa"/>
              <w:right w:w="20" w:type="dxa"/>
            </w:tcMar>
            <w:vAlign w:val="bottom"/>
          </w:tcPr>
          <w:p w14:paraId="669C5BD9" w14:textId="77777777" w:rsidR="00066C63" w:rsidRDefault="00066C63">
            <w:pPr>
              <w:jc w:val="right"/>
              <w:rPr>
                <w:rFonts w:ascii="宋体"/>
              </w:rPr>
            </w:pPr>
          </w:p>
        </w:tc>
        <w:tc>
          <w:tcPr>
            <w:tcW w:w="0" w:type="auto"/>
            <w:gridSpan w:val="3"/>
            <w:tcBorders>
              <w:top w:val="single" w:sz="8" w:space="0" w:color="B6B6B6"/>
            </w:tcBorders>
            <w:shd w:val="clear" w:color="auto" w:fill="auto"/>
            <w:tcMar>
              <w:top w:w="0" w:type="dxa"/>
              <w:left w:w="20" w:type="dxa"/>
              <w:bottom w:w="0" w:type="dxa"/>
              <w:right w:w="20" w:type="dxa"/>
            </w:tcMar>
          </w:tcPr>
          <w:p w14:paraId="669C5BDA" w14:textId="77777777" w:rsidR="00066C63" w:rsidRDefault="00066C63">
            <w:pPr>
              <w:rPr>
                <w:rFonts w:ascii="宋体"/>
              </w:rPr>
            </w:pPr>
          </w:p>
        </w:tc>
        <w:tc>
          <w:tcPr>
            <w:tcW w:w="0" w:type="auto"/>
            <w:gridSpan w:val="2"/>
            <w:tcBorders>
              <w:top w:val="single" w:sz="8" w:space="0" w:color="B6B6B6"/>
            </w:tcBorders>
            <w:shd w:val="clear" w:color="auto" w:fill="auto"/>
            <w:tcMar>
              <w:top w:w="40" w:type="dxa"/>
              <w:left w:w="20" w:type="dxa"/>
              <w:bottom w:w="40" w:type="dxa"/>
              <w:right w:w="0" w:type="dxa"/>
            </w:tcMar>
            <w:vAlign w:val="bottom"/>
          </w:tcPr>
          <w:p w14:paraId="669C5BDB" w14:textId="77777777" w:rsidR="00066C63" w:rsidRDefault="009656F6">
            <w:pPr>
              <w:jc w:val="right"/>
              <w:textAlignment w:val="bottom"/>
            </w:pPr>
            <w:r>
              <w:rPr>
                <w:rFonts w:ascii="Arial" w:eastAsia="宋体" w:hAnsi="Arial" w:cs="Arial"/>
                <w:color w:val="000000"/>
                <w:sz w:val="17"/>
                <w:szCs w:val="17"/>
              </w:rPr>
              <w:t>274 </w:t>
            </w:r>
          </w:p>
        </w:tc>
        <w:tc>
          <w:tcPr>
            <w:tcW w:w="0" w:type="auto"/>
            <w:tcBorders>
              <w:top w:val="single" w:sz="8" w:space="0" w:color="B6B6B6"/>
            </w:tcBorders>
            <w:shd w:val="clear" w:color="auto" w:fill="auto"/>
            <w:tcMar>
              <w:top w:w="40" w:type="dxa"/>
              <w:left w:w="0" w:type="dxa"/>
              <w:bottom w:w="40" w:type="dxa"/>
              <w:right w:w="20" w:type="dxa"/>
            </w:tcMar>
            <w:vAlign w:val="bottom"/>
          </w:tcPr>
          <w:p w14:paraId="669C5BDC" w14:textId="77777777" w:rsidR="00066C63" w:rsidRDefault="00066C63">
            <w:pPr>
              <w:jc w:val="right"/>
              <w:rPr>
                <w:rFonts w:ascii="宋体"/>
              </w:rPr>
            </w:pPr>
          </w:p>
        </w:tc>
      </w:tr>
      <w:tr w:rsidR="00066C63" w14:paraId="669C5BE4" w14:textId="77777777">
        <w:tc>
          <w:tcPr>
            <w:tcW w:w="0" w:type="auto"/>
            <w:gridSpan w:val="3"/>
            <w:tcBorders>
              <w:top w:val="single" w:sz="8" w:space="0" w:color="B6B6B6"/>
            </w:tcBorders>
            <w:shd w:val="clear" w:color="auto" w:fill="auto"/>
            <w:tcMar>
              <w:top w:w="40" w:type="dxa"/>
              <w:left w:w="155" w:type="dxa"/>
              <w:bottom w:w="40" w:type="dxa"/>
              <w:right w:w="20" w:type="dxa"/>
            </w:tcMar>
            <w:vAlign w:val="bottom"/>
          </w:tcPr>
          <w:p w14:paraId="669C5BDE" w14:textId="77777777" w:rsidR="00066C63" w:rsidRDefault="009656F6">
            <w:pPr>
              <w:textAlignment w:val="bottom"/>
            </w:pPr>
            <w:r>
              <w:rPr>
                <w:rFonts w:ascii="Arial" w:eastAsia="宋体" w:hAnsi="Arial" w:cs="Arial"/>
                <w:color w:val="000000"/>
                <w:sz w:val="17"/>
                <w:szCs w:val="17"/>
              </w:rPr>
              <w:t>Goodwill</w:t>
            </w:r>
          </w:p>
        </w:tc>
        <w:tc>
          <w:tcPr>
            <w:tcW w:w="0" w:type="auto"/>
            <w:gridSpan w:val="2"/>
            <w:tcBorders>
              <w:top w:val="single" w:sz="8" w:space="0" w:color="B6B6B6"/>
            </w:tcBorders>
            <w:shd w:val="clear" w:color="auto" w:fill="FFF1E7"/>
            <w:tcMar>
              <w:top w:w="40" w:type="dxa"/>
              <w:left w:w="20" w:type="dxa"/>
              <w:bottom w:w="40" w:type="dxa"/>
              <w:right w:w="0" w:type="dxa"/>
            </w:tcMar>
            <w:vAlign w:val="bottom"/>
          </w:tcPr>
          <w:p w14:paraId="669C5BDF" w14:textId="77777777" w:rsidR="00066C63" w:rsidRDefault="009656F6">
            <w:pPr>
              <w:jc w:val="right"/>
              <w:textAlignment w:val="bottom"/>
            </w:pPr>
            <w:r>
              <w:rPr>
                <w:rFonts w:ascii="Arial" w:eastAsia="宋体" w:hAnsi="Arial" w:cs="Arial"/>
                <w:color w:val="000000"/>
                <w:sz w:val="17"/>
                <w:szCs w:val="17"/>
              </w:rPr>
              <w:t>242 </w:t>
            </w:r>
          </w:p>
        </w:tc>
        <w:tc>
          <w:tcPr>
            <w:tcW w:w="0" w:type="auto"/>
            <w:tcBorders>
              <w:top w:val="single" w:sz="8" w:space="0" w:color="B6B6B6"/>
            </w:tcBorders>
            <w:shd w:val="clear" w:color="auto" w:fill="FFF1E7"/>
            <w:tcMar>
              <w:top w:w="40" w:type="dxa"/>
              <w:left w:w="0" w:type="dxa"/>
              <w:bottom w:w="40" w:type="dxa"/>
              <w:right w:w="20" w:type="dxa"/>
            </w:tcMar>
            <w:vAlign w:val="bottom"/>
          </w:tcPr>
          <w:p w14:paraId="669C5BE0" w14:textId="77777777" w:rsidR="00066C63" w:rsidRDefault="00066C63">
            <w:pPr>
              <w:jc w:val="right"/>
              <w:rPr>
                <w:rFonts w:ascii="宋体"/>
              </w:rPr>
            </w:pPr>
          </w:p>
        </w:tc>
        <w:tc>
          <w:tcPr>
            <w:tcW w:w="0" w:type="auto"/>
            <w:gridSpan w:val="3"/>
            <w:tcBorders>
              <w:top w:val="single" w:sz="8" w:space="0" w:color="B6B6B6"/>
            </w:tcBorders>
            <w:shd w:val="clear" w:color="auto" w:fill="auto"/>
            <w:tcMar>
              <w:top w:w="0" w:type="dxa"/>
              <w:left w:w="20" w:type="dxa"/>
              <w:bottom w:w="0" w:type="dxa"/>
              <w:right w:w="20" w:type="dxa"/>
            </w:tcMar>
          </w:tcPr>
          <w:p w14:paraId="669C5BE1" w14:textId="77777777" w:rsidR="00066C63" w:rsidRDefault="00066C63">
            <w:pPr>
              <w:rPr>
                <w:rFonts w:ascii="宋体"/>
              </w:rPr>
            </w:pPr>
          </w:p>
        </w:tc>
        <w:tc>
          <w:tcPr>
            <w:tcW w:w="0" w:type="auto"/>
            <w:gridSpan w:val="2"/>
            <w:tcBorders>
              <w:top w:val="single" w:sz="8" w:space="0" w:color="B6B6B6"/>
            </w:tcBorders>
            <w:shd w:val="clear" w:color="auto" w:fill="auto"/>
            <w:tcMar>
              <w:top w:w="40" w:type="dxa"/>
              <w:left w:w="20" w:type="dxa"/>
              <w:bottom w:w="40" w:type="dxa"/>
              <w:right w:w="0" w:type="dxa"/>
            </w:tcMar>
            <w:vAlign w:val="bottom"/>
          </w:tcPr>
          <w:p w14:paraId="669C5BE2" w14:textId="77777777" w:rsidR="00066C63" w:rsidRDefault="009656F6">
            <w:pPr>
              <w:jc w:val="right"/>
              <w:textAlignment w:val="bottom"/>
            </w:pPr>
            <w:r>
              <w:rPr>
                <w:rFonts w:ascii="Arial" w:eastAsia="宋体" w:hAnsi="Arial" w:cs="Arial"/>
                <w:color w:val="000000"/>
                <w:sz w:val="17"/>
                <w:szCs w:val="17"/>
              </w:rPr>
              <w:t>223 </w:t>
            </w:r>
          </w:p>
        </w:tc>
        <w:tc>
          <w:tcPr>
            <w:tcW w:w="0" w:type="auto"/>
            <w:tcBorders>
              <w:top w:val="single" w:sz="8" w:space="0" w:color="B6B6B6"/>
            </w:tcBorders>
            <w:shd w:val="clear" w:color="auto" w:fill="auto"/>
            <w:tcMar>
              <w:top w:w="40" w:type="dxa"/>
              <w:left w:w="0" w:type="dxa"/>
              <w:bottom w:w="40" w:type="dxa"/>
              <w:right w:w="20" w:type="dxa"/>
            </w:tcMar>
            <w:vAlign w:val="bottom"/>
          </w:tcPr>
          <w:p w14:paraId="669C5BE3" w14:textId="77777777" w:rsidR="00066C63" w:rsidRDefault="00066C63">
            <w:pPr>
              <w:jc w:val="right"/>
              <w:rPr>
                <w:rFonts w:ascii="宋体"/>
              </w:rPr>
            </w:pPr>
          </w:p>
        </w:tc>
      </w:tr>
      <w:tr w:rsidR="00066C63" w14:paraId="669C5BEB" w14:textId="77777777">
        <w:tc>
          <w:tcPr>
            <w:tcW w:w="0" w:type="auto"/>
            <w:gridSpan w:val="3"/>
            <w:tcBorders>
              <w:top w:val="single" w:sz="8" w:space="0" w:color="B6B6B6"/>
            </w:tcBorders>
            <w:shd w:val="clear" w:color="auto" w:fill="auto"/>
            <w:tcMar>
              <w:top w:w="40" w:type="dxa"/>
              <w:left w:w="155" w:type="dxa"/>
              <w:bottom w:w="40" w:type="dxa"/>
              <w:right w:w="20" w:type="dxa"/>
            </w:tcMar>
            <w:vAlign w:val="bottom"/>
          </w:tcPr>
          <w:p w14:paraId="669C5BE5" w14:textId="77777777" w:rsidR="00066C63" w:rsidRDefault="009656F6">
            <w:pPr>
              <w:textAlignment w:val="bottom"/>
            </w:pPr>
            <w:r>
              <w:rPr>
                <w:rFonts w:ascii="Arial" w:eastAsia="宋体" w:hAnsi="Arial" w:cs="Arial"/>
                <w:color w:val="000000"/>
                <w:sz w:val="17"/>
                <w:szCs w:val="17"/>
              </w:rPr>
              <w:t>Deferred income taxes and other assets</w:t>
            </w:r>
          </w:p>
        </w:tc>
        <w:tc>
          <w:tcPr>
            <w:tcW w:w="0" w:type="auto"/>
            <w:gridSpan w:val="2"/>
            <w:tcBorders>
              <w:top w:val="single" w:sz="8" w:space="0" w:color="B6B6B6"/>
            </w:tcBorders>
            <w:shd w:val="clear" w:color="auto" w:fill="FFF1E7"/>
            <w:tcMar>
              <w:top w:w="40" w:type="dxa"/>
              <w:left w:w="20" w:type="dxa"/>
              <w:bottom w:w="40" w:type="dxa"/>
              <w:right w:w="0" w:type="dxa"/>
            </w:tcMar>
            <w:vAlign w:val="bottom"/>
          </w:tcPr>
          <w:p w14:paraId="669C5BE6" w14:textId="77777777" w:rsidR="00066C63" w:rsidRDefault="009656F6">
            <w:pPr>
              <w:jc w:val="right"/>
              <w:textAlignment w:val="bottom"/>
            </w:pPr>
            <w:r>
              <w:rPr>
                <w:rFonts w:ascii="Arial" w:eastAsia="宋体" w:hAnsi="Arial" w:cs="Arial"/>
                <w:color w:val="000000"/>
                <w:sz w:val="17"/>
                <w:szCs w:val="17"/>
              </w:rPr>
              <w:t>2,865 </w:t>
            </w:r>
          </w:p>
        </w:tc>
        <w:tc>
          <w:tcPr>
            <w:tcW w:w="0" w:type="auto"/>
            <w:tcBorders>
              <w:top w:val="single" w:sz="8" w:space="0" w:color="B6B6B6"/>
            </w:tcBorders>
            <w:shd w:val="clear" w:color="auto" w:fill="FFF1E7"/>
            <w:tcMar>
              <w:top w:w="40" w:type="dxa"/>
              <w:left w:w="0" w:type="dxa"/>
              <w:bottom w:w="40" w:type="dxa"/>
              <w:right w:w="20" w:type="dxa"/>
            </w:tcMar>
            <w:vAlign w:val="bottom"/>
          </w:tcPr>
          <w:p w14:paraId="669C5BE7" w14:textId="77777777" w:rsidR="00066C63" w:rsidRDefault="00066C63">
            <w:pPr>
              <w:jc w:val="right"/>
              <w:rPr>
                <w:rFonts w:ascii="宋体"/>
              </w:rPr>
            </w:pPr>
          </w:p>
        </w:tc>
        <w:tc>
          <w:tcPr>
            <w:tcW w:w="0" w:type="auto"/>
            <w:gridSpan w:val="3"/>
            <w:tcBorders>
              <w:top w:val="single" w:sz="8" w:space="0" w:color="B6B6B6"/>
            </w:tcBorders>
            <w:shd w:val="clear" w:color="auto" w:fill="auto"/>
            <w:tcMar>
              <w:top w:w="0" w:type="dxa"/>
              <w:left w:w="20" w:type="dxa"/>
              <w:bottom w:w="0" w:type="dxa"/>
              <w:right w:w="20" w:type="dxa"/>
            </w:tcMar>
          </w:tcPr>
          <w:p w14:paraId="669C5BE8" w14:textId="77777777" w:rsidR="00066C63" w:rsidRDefault="00066C63">
            <w:pPr>
              <w:rPr>
                <w:rFonts w:ascii="宋体"/>
              </w:rPr>
            </w:pPr>
          </w:p>
        </w:tc>
        <w:tc>
          <w:tcPr>
            <w:tcW w:w="0" w:type="auto"/>
            <w:gridSpan w:val="2"/>
            <w:tcBorders>
              <w:top w:val="single" w:sz="8" w:space="0" w:color="B6B6B6"/>
            </w:tcBorders>
            <w:shd w:val="clear" w:color="auto" w:fill="auto"/>
            <w:tcMar>
              <w:top w:w="40" w:type="dxa"/>
              <w:left w:w="20" w:type="dxa"/>
              <w:bottom w:w="40" w:type="dxa"/>
              <w:right w:w="0" w:type="dxa"/>
            </w:tcMar>
            <w:vAlign w:val="bottom"/>
          </w:tcPr>
          <w:p w14:paraId="669C5BE9" w14:textId="77777777" w:rsidR="00066C63" w:rsidRDefault="009656F6">
            <w:pPr>
              <w:jc w:val="right"/>
              <w:textAlignment w:val="bottom"/>
            </w:pPr>
            <w:r>
              <w:rPr>
                <w:rFonts w:ascii="Arial" w:eastAsia="宋体" w:hAnsi="Arial" w:cs="Arial"/>
                <w:color w:val="000000"/>
                <w:sz w:val="17"/>
                <w:szCs w:val="17"/>
              </w:rPr>
              <w:t>2,326 </w:t>
            </w:r>
          </w:p>
        </w:tc>
        <w:tc>
          <w:tcPr>
            <w:tcW w:w="0" w:type="auto"/>
            <w:tcBorders>
              <w:top w:val="single" w:sz="8" w:space="0" w:color="B6B6B6"/>
            </w:tcBorders>
            <w:shd w:val="clear" w:color="auto" w:fill="auto"/>
            <w:tcMar>
              <w:top w:w="40" w:type="dxa"/>
              <w:left w:w="0" w:type="dxa"/>
              <w:bottom w:w="40" w:type="dxa"/>
              <w:right w:w="20" w:type="dxa"/>
            </w:tcMar>
            <w:vAlign w:val="bottom"/>
          </w:tcPr>
          <w:p w14:paraId="669C5BEA" w14:textId="77777777" w:rsidR="00066C63" w:rsidRDefault="00066C63">
            <w:pPr>
              <w:jc w:val="right"/>
              <w:rPr>
                <w:rFonts w:ascii="宋体"/>
              </w:rPr>
            </w:pPr>
          </w:p>
        </w:tc>
      </w:tr>
      <w:tr w:rsidR="00066C63" w14:paraId="669C5BF4"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5BEC" w14:textId="77777777" w:rsidR="00066C63" w:rsidRDefault="009656F6">
            <w:pPr>
              <w:textAlignment w:val="bottom"/>
            </w:pPr>
            <w:r>
              <w:rPr>
                <w:rFonts w:ascii="Arial" w:eastAsia="宋体" w:hAnsi="Arial" w:cs="Arial"/>
                <w:b/>
                <w:bCs/>
                <w:color w:val="000000"/>
                <w:sz w:val="17"/>
                <w:szCs w:val="17"/>
              </w:rPr>
              <w:t>TOTAL ASSETS</w:t>
            </w:r>
          </w:p>
        </w:tc>
        <w:tc>
          <w:tcPr>
            <w:tcW w:w="0" w:type="auto"/>
            <w:tcBorders>
              <w:top w:val="single" w:sz="8" w:space="0" w:color="E87722"/>
            </w:tcBorders>
            <w:shd w:val="clear" w:color="auto" w:fill="FFF1E7"/>
            <w:tcMar>
              <w:top w:w="40" w:type="dxa"/>
              <w:left w:w="20" w:type="dxa"/>
              <w:bottom w:w="40" w:type="dxa"/>
              <w:right w:w="0" w:type="dxa"/>
            </w:tcMar>
            <w:vAlign w:val="bottom"/>
          </w:tcPr>
          <w:p w14:paraId="669C5BED"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669C5BEE" w14:textId="77777777" w:rsidR="00066C63" w:rsidRDefault="009656F6">
            <w:pPr>
              <w:jc w:val="right"/>
              <w:textAlignment w:val="bottom"/>
            </w:pPr>
            <w:r>
              <w:rPr>
                <w:rFonts w:ascii="Arial" w:eastAsia="宋体" w:hAnsi="Arial" w:cs="Arial"/>
                <w:b/>
                <w:bCs/>
                <w:color w:val="000000"/>
                <w:sz w:val="17"/>
                <w:szCs w:val="17"/>
              </w:rPr>
              <w:t>36,185</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5BEF" w14:textId="77777777" w:rsidR="00066C63" w:rsidRDefault="00066C63">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5BF0" w14:textId="77777777" w:rsidR="00066C63" w:rsidRDefault="00066C63">
            <w:pPr>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69C5BF1"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69C5BF2" w14:textId="77777777" w:rsidR="00066C63" w:rsidRDefault="009656F6">
            <w:pPr>
              <w:jc w:val="right"/>
              <w:textAlignment w:val="bottom"/>
            </w:pPr>
            <w:r>
              <w:rPr>
                <w:rFonts w:ascii="Arial" w:eastAsia="宋体" w:hAnsi="Arial" w:cs="Arial"/>
                <w:b/>
                <w:bCs/>
                <w:color w:val="000000"/>
                <w:sz w:val="17"/>
                <w:szCs w:val="17"/>
              </w:rPr>
              <w:t>31,342</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5BF3" w14:textId="77777777" w:rsidR="00066C63" w:rsidRDefault="00066C63">
            <w:pPr>
              <w:jc w:val="right"/>
              <w:rPr>
                <w:rFonts w:ascii="宋体"/>
              </w:rPr>
            </w:pPr>
          </w:p>
        </w:tc>
      </w:tr>
      <w:tr w:rsidR="00066C63" w14:paraId="669C5BF9"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5BF5" w14:textId="77777777" w:rsidR="00066C63" w:rsidRDefault="009656F6">
            <w:pPr>
              <w:textAlignment w:val="bottom"/>
            </w:pPr>
            <w:r>
              <w:rPr>
                <w:rFonts w:ascii="Arial" w:eastAsia="宋体" w:hAnsi="Arial" w:cs="Arial"/>
                <w:b/>
                <w:bCs/>
                <w:color w:val="000000"/>
                <w:sz w:val="17"/>
                <w:szCs w:val="17"/>
              </w:rPr>
              <w:t>LIABILITIES AND SHAREHOLDERS' EQUITY</w:t>
            </w:r>
          </w:p>
        </w:tc>
        <w:tc>
          <w:tcPr>
            <w:tcW w:w="0" w:type="auto"/>
            <w:gridSpan w:val="3"/>
            <w:tcBorders>
              <w:top w:val="single" w:sz="8" w:space="0" w:color="E87722"/>
            </w:tcBorders>
            <w:shd w:val="clear" w:color="auto" w:fill="FFF1E7"/>
            <w:tcMar>
              <w:top w:w="0" w:type="dxa"/>
              <w:left w:w="20" w:type="dxa"/>
              <w:bottom w:w="0" w:type="dxa"/>
              <w:right w:w="20" w:type="dxa"/>
            </w:tcMar>
          </w:tcPr>
          <w:p w14:paraId="669C5BF6"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5BF7"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5BF8" w14:textId="77777777" w:rsidR="00066C63" w:rsidRDefault="00066C63">
            <w:pPr>
              <w:rPr>
                <w:rFonts w:ascii="宋体"/>
              </w:rPr>
            </w:pPr>
          </w:p>
        </w:tc>
      </w:tr>
      <w:tr w:rsidR="00066C63" w14:paraId="669C5BFE" w14:textId="77777777">
        <w:tc>
          <w:tcPr>
            <w:tcW w:w="0" w:type="auto"/>
            <w:gridSpan w:val="3"/>
            <w:tcBorders>
              <w:top w:val="single" w:sz="8" w:space="0" w:color="B6B6B6"/>
            </w:tcBorders>
            <w:shd w:val="clear" w:color="auto" w:fill="auto"/>
            <w:tcMar>
              <w:top w:w="40" w:type="dxa"/>
              <w:left w:w="20" w:type="dxa"/>
              <w:bottom w:w="40" w:type="dxa"/>
              <w:right w:w="20" w:type="dxa"/>
            </w:tcMar>
            <w:vAlign w:val="bottom"/>
          </w:tcPr>
          <w:p w14:paraId="669C5BFA" w14:textId="77777777" w:rsidR="00066C63" w:rsidRDefault="009656F6">
            <w:pPr>
              <w:textAlignment w:val="bottom"/>
            </w:pPr>
            <w:r>
              <w:rPr>
                <w:rFonts w:ascii="Arial" w:eastAsia="宋体" w:hAnsi="Arial" w:cs="Arial"/>
                <w:color w:val="000000"/>
                <w:sz w:val="17"/>
                <w:szCs w:val="17"/>
              </w:rPr>
              <w:t>Current liabilities:</w:t>
            </w:r>
          </w:p>
        </w:tc>
        <w:tc>
          <w:tcPr>
            <w:tcW w:w="0" w:type="auto"/>
            <w:gridSpan w:val="3"/>
            <w:tcBorders>
              <w:top w:val="single" w:sz="8" w:space="0" w:color="B6B6B6"/>
            </w:tcBorders>
            <w:shd w:val="clear" w:color="auto" w:fill="FFF1E7"/>
            <w:tcMar>
              <w:top w:w="0" w:type="dxa"/>
              <w:left w:w="20" w:type="dxa"/>
              <w:bottom w:w="0" w:type="dxa"/>
              <w:right w:w="20" w:type="dxa"/>
            </w:tcMar>
          </w:tcPr>
          <w:p w14:paraId="669C5BFB" w14:textId="77777777" w:rsidR="00066C63" w:rsidRDefault="00066C63">
            <w:pPr>
              <w:rPr>
                <w:rFonts w:ascii="宋体"/>
              </w:rPr>
            </w:pPr>
          </w:p>
        </w:tc>
        <w:tc>
          <w:tcPr>
            <w:tcW w:w="0" w:type="auto"/>
            <w:gridSpan w:val="3"/>
            <w:tcBorders>
              <w:top w:val="single" w:sz="8" w:space="0" w:color="B6B6B6"/>
            </w:tcBorders>
            <w:shd w:val="clear" w:color="auto" w:fill="auto"/>
            <w:tcMar>
              <w:top w:w="0" w:type="dxa"/>
              <w:left w:w="20" w:type="dxa"/>
              <w:bottom w:w="0" w:type="dxa"/>
              <w:right w:w="20" w:type="dxa"/>
            </w:tcMar>
          </w:tcPr>
          <w:p w14:paraId="669C5BFC" w14:textId="77777777" w:rsidR="00066C63" w:rsidRDefault="00066C63">
            <w:pPr>
              <w:rPr>
                <w:rFonts w:ascii="宋体"/>
              </w:rPr>
            </w:pPr>
          </w:p>
        </w:tc>
        <w:tc>
          <w:tcPr>
            <w:tcW w:w="0" w:type="auto"/>
            <w:gridSpan w:val="3"/>
            <w:tcBorders>
              <w:top w:val="single" w:sz="8" w:space="0" w:color="B6B6B6"/>
            </w:tcBorders>
            <w:shd w:val="clear" w:color="auto" w:fill="auto"/>
            <w:tcMar>
              <w:top w:w="0" w:type="dxa"/>
              <w:left w:w="20" w:type="dxa"/>
              <w:bottom w:w="0" w:type="dxa"/>
              <w:right w:w="20" w:type="dxa"/>
            </w:tcMar>
          </w:tcPr>
          <w:p w14:paraId="669C5BFD" w14:textId="77777777" w:rsidR="00066C63" w:rsidRDefault="00066C63">
            <w:pPr>
              <w:rPr>
                <w:rFonts w:ascii="宋体"/>
              </w:rPr>
            </w:pPr>
          </w:p>
        </w:tc>
      </w:tr>
      <w:tr w:rsidR="00066C63" w14:paraId="669C5C07" w14:textId="77777777">
        <w:tc>
          <w:tcPr>
            <w:tcW w:w="0" w:type="auto"/>
            <w:gridSpan w:val="3"/>
            <w:tcBorders>
              <w:top w:val="single" w:sz="8" w:space="0" w:color="B6B6B6"/>
            </w:tcBorders>
            <w:shd w:val="clear" w:color="auto" w:fill="auto"/>
            <w:tcMar>
              <w:top w:w="40" w:type="dxa"/>
              <w:left w:w="155" w:type="dxa"/>
              <w:bottom w:w="40" w:type="dxa"/>
              <w:right w:w="20" w:type="dxa"/>
            </w:tcMar>
            <w:vAlign w:val="bottom"/>
          </w:tcPr>
          <w:p w14:paraId="669C5BFF" w14:textId="77777777" w:rsidR="00066C63" w:rsidRDefault="009656F6">
            <w:pPr>
              <w:textAlignment w:val="bottom"/>
            </w:pPr>
            <w:r>
              <w:rPr>
                <w:rFonts w:ascii="Arial" w:eastAsia="宋体" w:hAnsi="Arial" w:cs="Arial"/>
                <w:color w:val="000000"/>
                <w:sz w:val="17"/>
                <w:szCs w:val="17"/>
              </w:rPr>
              <w:t>Current portion of long-term debt</w:t>
            </w:r>
          </w:p>
        </w:tc>
        <w:tc>
          <w:tcPr>
            <w:tcW w:w="0" w:type="auto"/>
            <w:tcBorders>
              <w:top w:val="single" w:sz="8" w:space="0" w:color="B6B6B6"/>
            </w:tcBorders>
            <w:shd w:val="clear" w:color="auto" w:fill="FFF1E7"/>
            <w:tcMar>
              <w:top w:w="40" w:type="dxa"/>
              <w:left w:w="20" w:type="dxa"/>
              <w:bottom w:w="40" w:type="dxa"/>
              <w:right w:w="0" w:type="dxa"/>
            </w:tcMar>
            <w:vAlign w:val="bottom"/>
          </w:tcPr>
          <w:p w14:paraId="669C5C00"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B6B6B6"/>
            </w:tcBorders>
            <w:shd w:val="clear" w:color="auto" w:fill="FFF1E7"/>
            <w:tcMar>
              <w:top w:w="40" w:type="dxa"/>
              <w:left w:w="0" w:type="dxa"/>
              <w:bottom w:w="40" w:type="dxa"/>
              <w:right w:w="0" w:type="dxa"/>
            </w:tcMar>
            <w:vAlign w:val="bottom"/>
          </w:tcPr>
          <w:p w14:paraId="669C5C01" w14:textId="77777777" w:rsidR="00066C63" w:rsidRDefault="009656F6">
            <w:pPr>
              <w:jc w:val="right"/>
              <w:textAlignment w:val="bottom"/>
            </w:pPr>
            <w:r>
              <w:rPr>
                <w:rFonts w:ascii="Arial" w:eastAsia="宋体" w:hAnsi="Arial" w:cs="Arial"/>
                <w:color w:val="000000"/>
                <w:sz w:val="17"/>
                <w:szCs w:val="17"/>
              </w:rPr>
              <w:t>— </w:t>
            </w:r>
          </w:p>
        </w:tc>
        <w:tc>
          <w:tcPr>
            <w:tcW w:w="0" w:type="auto"/>
            <w:tcBorders>
              <w:top w:val="single" w:sz="8" w:space="0" w:color="B6B6B6"/>
            </w:tcBorders>
            <w:shd w:val="clear" w:color="auto" w:fill="FFF1E7"/>
            <w:tcMar>
              <w:top w:w="40" w:type="dxa"/>
              <w:left w:w="0" w:type="dxa"/>
              <w:bottom w:w="40" w:type="dxa"/>
              <w:right w:w="20" w:type="dxa"/>
            </w:tcMar>
            <w:vAlign w:val="bottom"/>
          </w:tcPr>
          <w:p w14:paraId="669C5C02" w14:textId="77777777" w:rsidR="00066C63" w:rsidRDefault="00066C63">
            <w:pPr>
              <w:jc w:val="right"/>
              <w:rPr>
                <w:rFonts w:ascii="宋体"/>
              </w:rPr>
            </w:pPr>
          </w:p>
        </w:tc>
        <w:tc>
          <w:tcPr>
            <w:tcW w:w="0" w:type="auto"/>
            <w:gridSpan w:val="3"/>
            <w:tcBorders>
              <w:top w:val="single" w:sz="8" w:space="0" w:color="B6B6B6"/>
            </w:tcBorders>
            <w:shd w:val="clear" w:color="auto" w:fill="auto"/>
            <w:tcMar>
              <w:top w:w="0" w:type="dxa"/>
              <w:left w:w="20" w:type="dxa"/>
              <w:bottom w:w="0" w:type="dxa"/>
              <w:right w:w="20" w:type="dxa"/>
            </w:tcMar>
          </w:tcPr>
          <w:p w14:paraId="669C5C03" w14:textId="77777777" w:rsidR="00066C63" w:rsidRDefault="00066C63">
            <w:pPr>
              <w:rPr>
                <w:rFonts w:ascii="宋体"/>
              </w:rPr>
            </w:pPr>
          </w:p>
        </w:tc>
        <w:tc>
          <w:tcPr>
            <w:tcW w:w="0" w:type="auto"/>
            <w:tcBorders>
              <w:top w:val="single" w:sz="8" w:space="0" w:color="B6B6B6"/>
            </w:tcBorders>
            <w:shd w:val="clear" w:color="auto" w:fill="auto"/>
            <w:tcMar>
              <w:top w:w="40" w:type="dxa"/>
              <w:left w:w="20" w:type="dxa"/>
              <w:bottom w:w="40" w:type="dxa"/>
              <w:right w:w="0" w:type="dxa"/>
            </w:tcMar>
            <w:vAlign w:val="bottom"/>
          </w:tcPr>
          <w:p w14:paraId="669C5C04"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B6B6B6"/>
            </w:tcBorders>
            <w:shd w:val="clear" w:color="auto" w:fill="auto"/>
            <w:tcMar>
              <w:top w:w="40" w:type="dxa"/>
              <w:left w:w="0" w:type="dxa"/>
              <w:bottom w:w="40" w:type="dxa"/>
              <w:right w:w="0" w:type="dxa"/>
            </w:tcMar>
            <w:vAlign w:val="bottom"/>
          </w:tcPr>
          <w:p w14:paraId="669C5C05" w14:textId="77777777" w:rsidR="00066C63" w:rsidRDefault="009656F6">
            <w:pPr>
              <w:jc w:val="right"/>
              <w:textAlignment w:val="bottom"/>
            </w:pPr>
            <w:r>
              <w:rPr>
                <w:rFonts w:ascii="Arial" w:eastAsia="宋体" w:hAnsi="Arial" w:cs="Arial"/>
                <w:color w:val="000000"/>
                <w:sz w:val="17"/>
                <w:szCs w:val="17"/>
              </w:rPr>
              <w:t>3 </w:t>
            </w:r>
          </w:p>
        </w:tc>
        <w:tc>
          <w:tcPr>
            <w:tcW w:w="0" w:type="auto"/>
            <w:tcBorders>
              <w:top w:val="single" w:sz="8" w:space="0" w:color="B6B6B6"/>
            </w:tcBorders>
            <w:shd w:val="clear" w:color="auto" w:fill="auto"/>
            <w:tcMar>
              <w:top w:w="40" w:type="dxa"/>
              <w:left w:w="0" w:type="dxa"/>
              <w:bottom w:w="40" w:type="dxa"/>
              <w:right w:w="20" w:type="dxa"/>
            </w:tcMar>
            <w:vAlign w:val="bottom"/>
          </w:tcPr>
          <w:p w14:paraId="669C5C06" w14:textId="77777777" w:rsidR="00066C63" w:rsidRDefault="00066C63">
            <w:pPr>
              <w:jc w:val="right"/>
              <w:rPr>
                <w:rFonts w:ascii="宋体"/>
              </w:rPr>
            </w:pPr>
          </w:p>
        </w:tc>
      </w:tr>
      <w:tr w:rsidR="00066C63" w14:paraId="669C5C0E" w14:textId="77777777">
        <w:tc>
          <w:tcPr>
            <w:tcW w:w="0" w:type="auto"/>
            <w:gridSpan w:val="3"/>
            <w:tcBorders>
              <w:top w:val="single" w:sz="8" w:space="0" w:color="B6B6B6"/>
            </w:tcBorders>
            <w:shd w:val="clear" w:color="auto" w:fill="auto"/>
            <w:tcMar>
              <w:top w:w="40" w:type="dxa"/>
              <w:left w:w="155" w:type="dxa"/>
              <w:bottom w:w="40" w:type="dxa"/>
              <w:right w:w="20" w:type="dxa"/>
            </w:tcMar>
            <w:vAlign w:val="bottom"/>
          </w:tcPr>
          <w:p w14:paraId="669C5C08" w14:textId="77777777" w:rsidR="00066C63" w:rsidRDefault="009656F6">
            <w:pPr>
              <w:textAlignment w:val="bottom"/>
            </w:pPr>
            <w:r>
              <w:rPr>
                <w:rFonts w:ascii="Arial" w:eastAsia="宋体" w:hAnsi="Arial" w:cs="Arial"/>
                <w:color w:val="000000"/>
                <w:sz w:val="17"/>
                <w:szCs w:val="17"/>
              </w:rPr>
              <w:t>Notes payable</w:t>
            </w:r>
          </w:p>
        </w:tc>
        <w:tc>
          <w:tcPr>
            <w:tcW w:w="0" w:type="auto"/>
            <w:gridSpan w:val="2"/>
            <w:tcBorders>
              <w:top w:val="single" w:sz="8" w:space="0" w:color="B6B6B6"/>
            </w:tcBorders>
            <w:shd w:val="clear" w:color="auto" w:fill="FFF1E7"/>
            <w:tcMar>
              <w:top w:w="40" w:type="dxa"/>
              <w:left w:w="20" w:type="dxa"/>
              <w:bottom w:w="40" w:type="dxa"/>
              <w:right w:w="0" w:type="dxa"/>
            </w:tcMar>
            <w:vAlign w:val="bottom"/>
          </w:tcPr>
          <w:p w14:paraId="669C5C09" w14:textId="77777777" w:rsidR="00066C63" w:rsidRDefault="009656F6">
            <w:pPr>
              <w:jc w:val="right"/>
              <w:textAlignment w:val="bottom"/>
            </w:pPr>
            <w:r>
              <w:rPr>
                <w:rFonts w:ascii="Arial" w:eastAsia="宋体" w:hAnsi="Arial" w:cs="Arial"/>
                <w:color w:val="000000"/>
                <w:sz w:val="17"/>
                <w:szCs w:val="17"/>
              </w:rPr>
              <w:t>4 </w:t>
            </w:r>
          </w:p>
        </w:tc>
        <w:tc>
          <w:tcPr>
            <w:tcW w:w="0" w:type="auto"/>
            <w:tcBorders>
              <w:top w:val="single" w:sz="8" w:space="0" w:color="B6B6B6"/>
            </w:tcBorders>
            <w:shd w:val="clear" w:color="auto" w:fill="FFF1E7"/>
            <w:tcMar>
              <w:top w:w="40" w:type="dxa"/>
              <w:left w:w="0" w:type="dxa"/>
              <w:bottom w:w="40" w:type="dxa"/>
              <w:right w:w="20" w:type="dxa"/>
            </w:tcMar>
            <w:vAlign w:val="bottom"/>
          </w:tcPr>
          <w:p w14:paraId="669C5C0A" w14:textId="77777777" w:rsidR="00066C63" w:rsidRDefault="00066C63">
            <w:pPr>
              <w:jc w:val="right"/>
              <w:rPr>
                <w:rFonts w:ascii="宋体"/>
              </w:rPr>
            </w:pPr>
          </w:p>
        </w:tc>
        <w:tc>
          <w:tcPr>
            <w:tcW w:w="0" w:type="auto"/>
            <w:gridSpan w:val="3"/>
            <w:tcBorders>
              <w:top w:val="single" w:sz="8" w:space="0" w:color="B6B6B6"/>
            </w:tcBorders>
            <w:shd w:val="clear" w:color="auto" w:fill="auto"/>
            <w:tcMar>
              <w:top w:w="0" w:type="dxa"/>
              <w:left w:w="20" w:type="dxa"/>
              <w:bottom w:w="0" w:type="dxa"/>
              <w:right w:w="20" w:type="dxa"/>
            </w:tcMar>
          </w:tcPr>
          <w:p w14:paraId="669C5C0B" w14:textId="77777777" w:rsidR="00066C63" w:rsidRDefault="00066C63">
            <w:pPr>
              <w:rPr>
                <w:rFonts w:ascii="宋体"/>
              </w:rPr>
            </w:pPr>
          </w:p>
        </w:tc>
        <w:tc>
          <w:tcPr>
            <w:tcW w:w="0" w:type="auto"/>
            <w:gridSpan w:val="2"/>
            <w:tcBorders>
              <w:top w:val="single" w:sz="8" w:space="0" w:color="B6B6B6"/>
            </w:tcBorders>
            <w:shd w:val="clear" w:color="auto" w:fill="auto"/>
            <w:tcMar>
              <w:top w:w="40" w:type="dxa"/>
              <w:left w:w="20" w:type="dxa"/>
              <w:bottom w:w="40" w:type="dxa"/>
              <w:right w:w="0" w:type="dxa"/>
            </w:tcMar>
            <w:vAlign w:val="bottom"/>
          </w:tcPr>
          <w:p w14:paraId="669C5C0C" w14:textId="77777777" w:rsidR="00066C63" w:rsidRDefault="009656F6">
            <w:pPr>
              <w:jc w:val="right"/>
              <w:textAlignment w:val="bottom"/>
            </w:pPr>
            <w:r>
              <w:rPr>
                <w:rFonts w:ascii="Arial" w:eastAsia="宋体" w:hAnsi="Arial" w:cs="Arial"/>
                <w:color w:val="000000"/>
                <w:sz w:val="17"/>
                <w:szCs w:val="17"/>
              </w:rPr>
              <w:t>248 </w:t>
            </w:r>
          </w:p>
        </w:tc>
        <w:tc>
          <w:tcPr>
            <w:tcW w:w="0" w:type="auto"/>
            <w:tcBorders>
              <w:top w:val="single" w:sz="8" w:space="0" w:color="B6B6B6"/>
            </w:tcBorders>
            <w:shd w:val="clear" w:color="auto" w:fill="auto"/>
            <w:tcMar>
              <w:top w:w="40" w:type="dxa"/>
              <w:left w:w="0" w:type="dxa"/>
              <w:bottom w:w="40" w:type="dxa"/>
              <w:right w:w="20" w:type="dxa"/>
            </w:tcMar>
            <w:vAlign w:val="bottom"/>
          </w:tcPr>
          <w:p w14:paraId="669C5C0D" w14:textId="77777777" w:rsidR="00066C63" w:rsidRDefault="00066C63">
            <w:pPr>
              <w:jc w:val="right"/>
              <w:rPr>
                <w:rFonts w:ascii="宋体"/>
              </w:rPr>
            </w:pPr>
          </w:p>
        </w:tc>
      </w:tr>
      <w:tr w:rsidR="00066C63" w14:paraId="669C5C15" w14:textId="77777777">
        <w:tc>
          <w:tcPr>
            <w:tcW w:w="0" w:type="auto"/>
            <w:gridSpan w:val="3"/>
            <w:tcBorders>
              <w:top w:val="single" w:sz="8" w:space="0" w:color="B6B6B6"/>
            </w:tcBorders>
            <w:shd w:val="clear" w:color="auto" w:fill="auto"/>
            <w:tcMar>
              <w:top w:w="40" w:type="dxa"/>
              <w:left w:w="155" w:type="dxa"/>
              <w:bottom w:w="40" w:type="dxa"/>
              <w:right w:w="20" w:type="dxa"/>
            </w:tcMar>
            <w:vAlign w:val="bottom"/>
          </w:tcPr>
          <w:p w14:paraId="669C5C0F" w14:textId="77777777" w:rsidR="00066C63" w:rsidRDefault="009656F6">
            <w:pPr>
              <w:textAlignment w:val="bottom"/>
            </w:pPr>
            <w:r>
              <w:rPr>
                <w:rFonts w:ascii="Arial" w:eastAsia="宋体" w:hAnsi="Arial" w:cs="Arial"/>
                <w:color w:val="000000"/>
                <w:sz w:val="17"/>
                <w:szCs w:val="17"/>
              </w:rPr>
              <w:t>Accounts payable</w:t>
            </w:r>
          </w:p>
        </w:tc>
        <w:tc>
          <w:tcPr>
            <w:tcW w:w="0" w:type="auto"/>
            <w:gridSpan w:val="2"/>
            <w:tcBorders>
              <w:top w:val="single" w:sz="8" w:space="0" w:color="B6B6B6"/>
            </w:tcBorders>
            <w:shd w:val="clear" w:color="auto" w:fill="FFF1E7"/>
            <w:tcMar>
              <w:top w:w="40" w:type="dxa"/>
              <w:left w:w="20" w:type="dxa"/>
              <w:bottom w:w="40" w:type="dxa"/>
              <w:right w:w="0" w:type="dxa"/>
            </w:tcMar>
            <w:vAlign w:val="bottom"/>
          </w:tcPr>
          <w:p w14:paraId="669C5C10" w14:textId="77777777" w:rsidR="00066C63" w:rsidRDefault="009656F6">
            <w:pPr>
              <w:jc w:val="right"/>
              <w:textAlignment w:val="bottom"/>
            </w:pPr>
            <w:r>
              <w:rPr>
                <w:rFonts w:ascii="Arial" w:eastAsia="宋体" w:hAnsi="Arial" w:cs="Arial"/>
                <w:color w:val="000000"/>
                <w:sz w:val="17"/>
                <w:szCs w:val="17"/>
              </w:rPr>
              <w:t>2,257 </w:t>
            </w:r>
          </w:p>
        </w:tc>
        <w:tc>
          <w:tcPr>
            <w:tcW w:w="0" w:type="auto"/>
            <w:tcBorders>
              <w:top w:val="single" w:sz="8" w:space="0" w:color="B6B6B6"/>
            </w:tcBorders>
            <w:shd w:val="clear" w:color="auto" w:fill="FFF1E7"/>
            <w:tcMar>
              <w:top w:w="40" w:type="dxa"/>
              <w:left w:w="0" w:type="dxa"/>
              <w:bottom w:w="40" w:type="dxa"/>
              <w:right w:w="20" w:type="dxa"/>
            </w:tcMar>
            <w:vAlign w:val="bottom"/>
          </w:tcPr>
          <w:p w14:paraId="669C5C11" w14:textId="77777777" w:rsidR="00066C63" w:rsidRDefault="00066C63">
            <w:pPr>
              <w:jc w:val="right"/>
              <w:rPr>
                <w:rFonts w:ascii="宋体"/>
              </w:rPr>
            </w:pPr>
          </w:p>
        </w:tc>
        <w:tc>
          <w:tcPr>
            <w:tcW w:w="0" w:type="auto"/>
            <w:gridSpan w:val="3"/>
            <w:tcBorders>
              <w:top w:val="single" w:sz="8" w:space="0" w:color="B6B6B6"/>
            </w:tcBorders>
            <w:shd w:val="clear" w:color="auto" w:fill="auto"/>
            <w:tcMar>
              <w:top w:w="0" w:type="dxa"/>
              <w:left w:w="20" w:type="dxa"/>
              <w:bottom w:w="0" w:type="dxa"/>
              <w:right w:w="20" w:type="dxa"/>
            </w:tcMar>
          </w:tcPr>
          <w:p w14:paraId="669C5C12" w14:textId="77777777" w:rsidR="00066C63" w:rsidRDefault="00066C63">
            <w:pPr>
              <w:rPr>
                <w:rFonts w:ascii="宋体"/>
              </w:rPr>
            </w:pPr>
          </w:p>
        </w:tc>
        <w:tc>
          <w:tcPr>
            <w:tcW w:w="0" w:type="auto"/>
            <w:gridSpan w:val="2"/>
            <w:tcBorders>
              <w:top w:val="single" w:sz="8" w:space="0" w:color="B6B6B6"/>
            </w:tcBorders>
            <w:shd w:val="clear" w:color="auto" w:fill="auto"/>
            <w:tcMar>
              <w:top w:w="40" w:type="dxa"/>
              <w:left w:w="20" w:type="dxa"/>
              <w:bottom w:w="40" w:type="dxa"/>
              <w:right w:w="0" w:type="dxa"/>
            </w:tcMar>
            <w:vAlign w:val="bottom"/>
          </w:tcPr>
          <w:p w14:paraId="669C5C13" w14:textId="77777777" w:rsidR="00066C63" w:rsidRDefault="009656F6">
            <w:pPr>
              <w:jc w:val="right"/>
              <w:textAlignment w:val="bottom"/>
            </w:pPr>
            <w:r>
              <w:rPr>
                <w:rFonts w:ascii="Arial" w:eastAsia="宋体" w:hAnsi="Arial" w:cs="Arial"/>
                <w:color w:val="000000"/>
                <w:sz w:val="17"/>
                <w:szCs w:val="17"/>
              </w:rPr>
              <w:t>2,248 </w:t>
            </w:r>
          </w:p>
        </w:tc>
        <w:tc>
          <w:tcPr>
            <w:tcW w:w="0" w:type="auto"/>
            <w:tcBorders>
              <w:top w:val="single" w:sz="8" w:space="0" w:color="B6B6B6"/>
            </w:tcBorders>
            <w:shd w:val="clear" w:color="auto" w:fill="auto"/>
            <w:tcMar>
              <w:top w:w="40" w:type="dxa"/>
              <w:left w:w="0" w:type="dxa"/>
              <w:bottom w:w="40" w:type="dxa"/>
              <w:right w:w="20" w:type="dxa"/>
            </w:tcMar>
            <w:vAlign w:val="bottom"/>
          </w:tcPr>
          <w:p w14:paraId="669C5C14" w14:textId="77777777" w:rsidR="00066C63" w:rsidRDefault="00066C63">
            <w:pPr>
              <w:jc w:val="right"/>
              <w:rPr>
                <w:rFonts w:ascii="宋体"/>
              </w:rPr>
            </w:pPr>
          </w:p>
        </w:tc>
      </w:tr>
      <w:tr w:rsidR="00066C63" w14:paraId="669C5C1C" w14:textId="77777777">
        <w:tc>
          <w:tcPr>
            <w:tcW w:w="0" w:type="auto"/>
            <w:gridSpan w:val="3"/>
            <w:tcBorders>
              <w:top w:val="single" w:sz="8" w:space="0" w:color="B6B6B6"/>
            </w:tcBorders>
            <w:shd w:val="clear" w:color="auto" w:fill="auto"/>
            <w:tcMar>
              <w:top w:w="40" w:type="dxa"/>
              <w:left w:w="155" w:type="dxa"/>
              <w:bottom w:w="40" w:type="dxa"/>
              <w:right w:w="20" w:type="dxa"/>
            </w:tcMar>
            <w:vAlign w:val="bottom"/>
          </w:tcPr>
          <w:p w14:paraId="669C5C16" w14:textId="77777777" w:rsidR="00066C63" w:rsidRDefault="009656F6">
            <w:pPr>
              <w:textAlignment w:val="bottom"/>
            </w:pPr>
            <w:r>
              <w:rPr>
                <w:rFonts w:ascii="Arial" w:eastAsia="宋体" w:hAnsi="Arial" w:cs="Arial"/>
                <w:color w:val="000000"/>
                <w:sz w:val="17"/>
                <w:szCs w:val="17"/>
              </w:rPr>
              <w:t>Current portion of operating lease liabilities</w:t>
            </w:r>
          </w:p>
        </w:tc>
        <w:tc>
          <w:tcPr>
            <w:tcW w:w="0" w:type="auto"/>
            <w:gridSpan w:val="2"/>
            <w:tcBorders>
              <w:top w:val="single" w:sz="8" w:space="0" w:color="B6B6B6"/>
            </w:tcBorders>
            <w:shd w:val="clear" w:color="auto" w:fill="FFF1E7"/>
            <w:tcMar>
              <w:top w:w="40" w:type="dxa"/>
              <w:left w:w="20" w:type="dxa"/>
              <w:bottom w:w="40" w:type="dxa"/>
              <w:right w:w="0" w:type="dxa"/>
            </w:tcMar>
            <w:vAlign w:val="bottom"/>
          </w:tcPr>
          <w:p w14:paraId="669C5C17" w14:textId="77777777" w:rsidR="00066C63" w:rsidRDefault="009656F6">
            <w:pPr>
              <w:jc w:val="right"/>
              <w:textAlignment w:val="bottom"/>
            </w:pPr>
            <w:r>
              <w:rPr>
                <w:rFonts w:ascii="Arial" w:eastAsia="宋体" w:hAnsi="Arial" w:cs="Arial"/>
                <w:color w:val="000000"/>
                <w:sz w:val="17"/>
                <w:szCs w:val="17"/>
              </w:rPr>
              <w:t>470 </w:t>
            </w:r>
          </w:p>
        </w:tc>
        <w:tc>
          <w:tcPr>
            <w:tcW w:w="0" w:type="auto"/>
            <w:tcBorders>
              <w:top w:val="single" w:sz="8" w:space="0" w:color="B6B6B6"/>
            </w:tcBorders>
            <w:shd w:val="clear" w:color="auto" w:fill="FFF1E7"/>
            <w:tcMar>
              <w:top w:w="40" w:type="dxa"/>
              <w:left w:w="0" w:type="dxa"/>
              <w:bottom w:w="40" w:type="dxa"/>
              <w:right w:w="20" w:type="dxa"/>
            </w:tcMar>
            <w:vAlign w:val="bottom"/>
          </w:tcPr>
          <w:p w14:paraId="669C5C18" w14:textId="77777777" w:rsidR="00066C63" w:rsidRDefault="00066C63">
            <w:pPr>
              <w:jc w:val="right"/>
              <w:rPr>
                <w:rFonts w:ascii="宋体"/>
              </w:rPr>
            </w:pPr>
          </w:p>
        </w:tc>
        <w:tc>
          <w:tcPr>
            <w:tcW w:w="0" w:type="auto"/>
            <w:gridSpan w:val="3"/>
            <w:tcBorders>
              <w:top w:val="single" w:sz="8" w:space="0" w:color="B6B6B6"/>
            </w:tcBorders>
            <w:shd w:val="clear" w:color="auto" w:fill="auto"/>
            <w:tcMar>
              <w:top w:w="0" w:type="dxa"/>
              <w:left w:w="20" w:type="dxa"/>
              <w:bottom w:w="0" w:type="dxa"/>
              <w:right w:w="20" w:type="dxa"/>
            </w:tcMar>
          </w:tcPr>
          <w:p w14:paraId="669C5C19" w14:textId="77777777" w:rsidR="00066C63" w:rsidRDefault="00066C63">
            <w:pPr>
              <w:rPr>
                <w:rFonts w:ascii="宋体"/>
              </w:rPr>
            </w:pPr>
          </w:p>
        </w:tc>
        <w:tc>
          <w:tcPr>
            <w:tcW w:w="0" w:type="auto"/>
            <w:gridSpan w:val="2"/>
            <w:tcBorders>
              <w:top w:val="single" w:sz="8" w:space="0" w:color="B6B6B6"/>
            </w:tcBorders>
            <w:shd w:val="clear" w:color="auto" w:fill="auto"/>
            <w:tcMar>
              <w:top w:w="40" w:type="dxa"/>
              <w:left w:w="20" w:type="dxa"/>
              <w:bottom w:w="40" w:type="dxa"/>
              <w:right w:w="0" w:type="dxa"/>
            </w:tcMar>
            <w:vAlign w:val="bottom"/>
          </w:tcPr>
          <w:p w14:paraId="669C5C1A" w14:textId="77777777" w:rsidR="00066C63" w:rsidRDefault="009656F6">
            <w:pPr>
              <w:jc w:val="right"/>
              <w:textAlignment w:val="bottom"/>
            </w:pPr>
            <w:r>
              <w:rPr>
                <w:rFonts w:ascii="Arial" w:eastAsia="宋体" w:hAnsi="Arial" w:cs="Arial"/>
                <w:color w:val="000000"/>
                <w:sz w:val="17"/>
                <w:szCs w:val="17"/>
              </w:rPr>
              <w:t>445 </w:t>
            </w:r>
          </w:p>
        </w:tc>
        <w:tc>
          <w:tcPr>
            <w:tcW w:w="0" w:type="auto"/>
            <w:tcBorders>
              <w:top w:val="single" w:sz="8" w:space="0" w:color="B6B6B6"/>
            </w:tcBorders>
            <w:shd w:val="clear" w:color="auto" w:fill="auto"/>
            <w:tcMar>
              <w:top w:w="40" w:type="dxa"/>
              <w:left w:w="0" w:type="dxa"/>
              <w:bottom w:w="40" w:type="dxa"/>
              <w:right w:w="20" w:type="dxa"/>
            </w:tcMar>
            <w:vAlign w:val="bottom"/>
          </w:tcPr>
          <w:p w14:paraId="669C5C1B" w14:textId="77777777" w:rsidR="00066C63" w:rsidRDefault="00066C63">
            <w:pPr>
              <w:jc w:val="right"/>
              <w:rPr>
                <w:rFonts w:ascii="宋体"/>
              </w:rPr>
            </w:pPr>
          </w:p>
        </w:tc>
      </w:tr>
      <w:tr w:rsidR="00066C63" w14:paraId="669C5C23" w14:textId="77777777">
        <w:tc>
          <w:tcPr>
            <w:tcW w:w="0" w:type="auto"/>
            <w:gridSpan w:val="3"/>
            <w:tcBorders>
              <w:top w:val="single" w:sz="8" w:space="0" w:color="B6B6B6"/>
            </w:tcBorders>
            <w:shd w:val="clear" w:color="auto" w:fill="auto"/>
            <w:tcMar>
              <w:top w:w="40" w:type="dxa"/>
              <w:left w:w="155" w:type="dxa"/>
              <w:bottom w:w="40" w:type="dxa"/>
              <w:right w:w="20" w:type="dxa"/>
            </w:tcMar>
            <w:vAlign w:val="bottom"/>
          </w:tcPr>
          <w:p w14:paraId="669C5C1D" w14:textId="77777777" w:rsidR="00066C63" w:rsidRDefault="009656F6">
            <w:pPr>
              <w:textAlignment w:val="bottom"/>
            </w:pPr>
            <w:r>
              <w:rPr>
                <w:rFonts w:ascii="Arial" w:eastAsia="宋体" w:hAnsi="Arial" w:cs="Arial"/>
                <w:color w:val="000000"/>
                <w:sz w:val="17"/>
                <w:szCs w:val="17"/>
              </w:rPr>
              <w:t>Accrued liabilities</w:t>
            </w:r>
          </w:p>
        </w:tc>
        <w:tc>
          <w:tcPr>
            <w:tcW w:w="0" w:type="auto"/>
            <w:gridSpan w:val="2"/>
            <w:tcBorders>
              <w:top w:val="single" w:sz="8" w:space="0" w:color="B6B6B6"/>
            </w:tcBorders>
            <w:shd w:val="clear" w:color="auto" w:fill="FFF1E7"/>
            <w:tcMar>
              <w:top w:w="40" w:type="dxa"/>
              <w:left w:w="20" w:type="dxa"/>
              <w:bottom w:w="40" w:type="dxa"/>
              <w:right w:w="0" w:type="dxa"/>
            </w:tcMar>
            <w:vAlign w:val="bottom"/>
          </w:tcPr>
          <w:p w14:paraId="669C5C1E" w14:textId="77777777" w:rsidR="00066C63" w:rsidRDefault="009656F6">
            <w:pPr>
              <w:jc w:val="right"/>
              <w:textAlignment w:val="bottom"/>
            </w:pPr>
            <w:r>
              <w:rPr>
                <w:rFonts w:ascii="Arial" w:eastAsia="宋体" w:hAnsi="Arial" w:cs="Arial"/>
                <w:color w:val="000000"/>
                <w:sz w:val="17"/>
                <w:szCs w:val="17"/>
              </w:rPr>
              <w:t>5,907 </w:t>
            </w:r>
          </w:p>
        </w:tc>
        <w:tc>
          <w:tcPr>
            <w:tcW w:w="0" w:type="auto"/>
            <w:tcBorders>
              <w:top w:val="single" w:sz="8" w:space="0" w:color="B6B6B6"/>
            </w:tcBorders>
            <w:shd w:val="clear" w:color="auto" w:fill="FFF1E7"/>
            <w:tcMar>
              <w:top w:w="40" w:type="dxa"/>
              <w:left w:w="0" w:type="dxa"/>
              <w:bottom w:w="40" w:type="dxa"/>
              <w:right w:w="20" w:type="dxa"/>
            </w:tcMar>
            <w:vAlign w:val="bottom"/>
          </w:tcPr>
          <w:p w14:paraId="669C5C1F" w14:textId="77777777" w:rsidR="00066C63" w:rsidRDefault="00066C63">
            <w:pPr>
              <w:jc w:val="right"/>
              <w:rPr>
                <w:rFonts w:ascii="宋体"/>
              </w:rPr>
            </w:pPr>
          </w:p>
        </w:tc>
        <w:tc>
          <w:tcPr>
            <w:tcW w:w="0" w:type="auto"/>
            <w:gridSpan w:val="3"/>
            <w:tcBorders>
              <w:top w:val="single" w:sz="8" w:space="0" w:color="B6B6B6"/>
            </w:tcBorders>
            <w:shd w:val="clear" w:color="auto" w:fill="auto"/>
            <w:tcMar>
              <w:top w:w="0" w:type="dxa"/>
              <w:left w:w="20" w:type="dxa"/>
              <w:bottom w:w="0" w:type="dxa"/>
              <w:right w:w="20" w:type="dxa"/>
            </w:tcMar>
          </w:tcPr>
          <w:p w14:paraId="669C5C20" w14:textId="77777777" w:rsidR="00066C63" w:rsidRDefault="00066C63">
            <w:pPr>
              <w:rPr>
                <w:rFonts w:ascii="宋体"/>
              </w:rPr>
            </w:pPr>
          </w:p>
        </w:tc>
        <w:tc>
          <w:tcPr>
            <w:tcW w:w="0" w:type="auto"/>
            <w:gridSpan w:val="2"/>
            <w:tcBorders>
              <w:top w:val="single" w:sz="8" w:space="0" w:color="B6B6B6"/>
            </w:tcBorders>
            <w:shd w:val="clear" w:color="auto" w:fill="auto"/>
            <w:tcMar>
              <w:top w:w="40" w:type="dxa"/>
              <w:left w:w="20" w:type="dxa"/>
              <w:bottom w:w="40" w:type="dxa"/>
              <w:right w:w="0" w:type="dxa"/>
            </w:tcMar>
            <w:vAlign w:val="bottom"/>
          </w:tcPr>
          <w:p w14:paraId="669C5C21" w14:textId="77777777" w:rsidR="00066C63" w:rsidRDefault="009656F6">
            <w:pPr>
              <w:jc w:val="right"/>
              <w:textAlignment w:val="bottom"/>
            </w:pPr>
            <w:r>
              <w:rPr>
                <w:rFonts w:ascii="Arial" w:eastAsia="宋体" w:hAnsi="Arial" w:cs="Arial"/>
                <w:color w:val="000000"/>
                <w:sz w:val="17"/>
                <w:szCs w:val="17"/>
              </w:rPr>
              <w:t>5,184 </w:t>
            </w:r>
          </w:p>
        </w:tc>
        <w:tc>
          <w:tcPr>
            <w:tcW w:w="0" w:type="auto"/>
            <w:tcBorders>
              <w:top w:val="single" w:sz="8" w:space="0" w:color="B6B6B6"/>
            </w:tcBorders>
            <w:shd w:val="clear" w:color="auto" w:fill="auto"/>
            <w:tcMar>
              <w:top w:w="40" w:type="dxa"/>
              <w:left w:w="0" w:type="dxa"/>
              <w:bottom w:w="40" w:type="dxa"/>
              <w:right w:w="20" w:type="dxa"/>
            </w:tcMar>
            <w:vAlign w:val="bottom"/>
          </w:tcPr>
          <w:p w14:paraId="669C5C22" w14:textId="77777777" w:rsidR="00066C63" w:rsidRDefault="00066C63">
            <w:pPr>
              <w:jc w:val="right"/>
              <w:rPr>
                <w:rFonts w:ascii="宋体"/>
              </w:rPr>
            </w:pPr>
          </w:p>
        </w:tc>
      </w:tr>
      <w:tr w:rsidR="00066C63" w14:paraId="669C5C2A" w14:textId="77777777">
        <w:tc>
          <w:tcPr>
            <w:tcW w:w="0" w:type="auto"/>
            <w:gridSpan w:val="3"/>
            <w:tcBorders>
              <w:top w:val="single" w:sz="8" w:space="0" w:color="B6B6B6"/>
            </w:tcBorders>
            <w:shd w:val="clear" w:color="auto" w:fill="auto"/>
            <w:tcMar>
              <w:top w:w="40" w:type="dxa"/>
              <w:left w:w="155" w:type="dxa"/>
              <w:bottom w:w="40" w:type="dxa"/>
              <w:right w:w="20" w:type="dxa"/>
            </w:tcMar>
            <w:vAlign w:val="bottom"/>
          </w:tcPr>
          <w:p w14:paraId="669C5C24" w14:textId="77777777" w:rsidR="00066C63" w:rsidRDefault="009656F6">
            <w:pPr>
              <w:textAlignment w:val="bottom"/>
            </w:pPr>
            <w:r>
              <w:rPr>
                <w:rFonts w:ascii="Arial" w:eastAsia="宋体" w:hAnsi="Arial" w:cs="Arial"/>
                <w:color w:val="000000"/>
                <w:sz w:val="17"/>
                <w:szCs w:val="17"/>
              </w:rPr>
              <w:t>Income taxes payable</w:t>
            </w:r>
          </w:p>
        </w:tc>
        <w:tc>
          <w:tcPr>
            <w:tcW w:w="0" w:type="auto"/>
            <w:gridSpan w:val="2"/>
            <w:tcBorders>
              <w:top w:val="single" w:sz="8" w:space="0" w:color="B6B6B6"/>
            </w:tcBorders>
            <w:shd w:val="clear" w:color="auto" w:fill="FFF1E7"/>
            <w:tcMar>
              <w:top w:w="40" w:type="dxa"/>
              <w:left w:w="20" w:type="dxa"/>
              <w:bottom w:w="40" w:type="dxa"/>
              <w:right w:w="0" w:type="dxa"/>
            </w:tcMar>
            <w:vAlign w:val="bottom"/>
          </w:tcPr>
          <w:p w14:paraId="669C5C25" w14:textId="77777777" w:rsidR="00066C63" w:rsidRDefault="009656F6">
            <w:pPr>
              <w:jc w:val="right"/>
              <w:textAlignment w:val="bottom"/>
            </w:pPr>
            <w:r>
              <w:rPr>
                <w:rFonts w:ascii="Arial" w:eastAsia="宋体" w:hAnsi="Arial" w:cs="Arial"/>
                <w:color w:val="000000"/>
                <w:sz w:val="17"/>
                <w:szCs w:val="17"/>
              </w:rPr>
              <w:t>256 </w:t>
            </w:r>
          </w:p>
        </w:tc>
        <w:tc>
          <w:tcPr>
            <w:tcW w:w="0" w:type="auto"/>
            <w:tcBorders>
              <w:top w:val="single" w:sz="8" w:space="0" w:color="B6B6B6"/>
            </w:tcBorders>
            <w:shd w:val="clear" w:color="auto" w:fill="FFF1E7"/>
            <w:tcMar>
              <w:top w:w="40" w:type="dxa"/>
              <w:left w:w="0" w:type="dxa"/>
              <w:bottom w:w="40" w:type="dxa"/>
              <w:right w:w="20" w:type="dxa"/>
            </w:tcMar>
            <w:vAlign w:val="bottom"/>
          </w:tcPr>
          <w:p w14:paraId="669C5C26" w14:textId="77777777" w:rsidR="00066C63" w:rsidRDefault="00066C63">
            <w:pPr>
              <w:jc w:val="right"/>
              <w:rPr>
                <w:rFonts w:ascii="宋体"/>
              </w:rPr>
            </w:pPr>
          </w:p>
        </w:tc>
        <w:tc>
          <w:tcPr>
            <w:tcW w:w="0" w:type="auto"/>
            <w:gridSpan w:val="3"/>
            <w:tcBorders>
              <w:top w:val="single" w:sz="8" w:space="0" w:color="B6B6B6"/>
            </w:tcBorders>
            <w:shd w:val="clear" w:color="auto" w:fill="auto"/>
            <w:tcMar>
              <w:top w:w="0" w:type="dxa"/>
              <w:left w:w="20" w:type="dxa"/>
              <w:bottom w:w="0" w:type="dxa"/>
              <w:right w:w="20" w:type="dxa"/>
            </w:tcMar>
          </w:tcPr>
          <w:p w14:paraId="669C5C27" w14:textId="77777777" w:rsidR="00066C63" w:rsidRDefault="00066C63">
            <w:pPr>
              <w:rPr>
                <w:rFonts w:ascii="宋体"/>
              </w:rPr>
            </w:pPr>
          </w:p>
        </w:tc>
        <w:tc>
          <w:tcPr>
            <w:tcW w:w="0" w:type="auto"/>
            <w:gridSpan w:val="2"/>
            <w:tcBorders>
              <w:top w:val="single" w:sz="8" w:space="0" w:color="B6B6B6"/>
            </w:tcBorders>
            <w:shd w:val="clear" w:color="auto" w:fill="auto"/>
            <w:tcMar>
              <w:top w:w="40" w:type="dxa"/>
              <w:left w:w="20" w:type="dxa"/>
              <w:bottom w:w="40" w:type="dxa"/>
              <w:right w:w="0" w:type="dxa"/>
            </w:tcMar>
            <w:vAlign w:val="bottom"/>
          </w:tcPr>
          <w:p w14:paraId="669C5C28" w14:textId="77777777" w:rsidR="00066C63" w:rsidRDefault="009656F6">
            <w:pPr>
              <w:jc w:val="right"/>
              <w:textAlignment w:val="bottom"/>
            </w:pPr>
            <w:r>
              <w:rPr>
                <w:rFonts w:ascii="Arial" w:eastAsia="宋体" w:hAnsi="Arial" w:cs="Arial"/>
                <w:color w:val="000000"/>
                <w:sz w:val="17"/>
                <w:szCs w:val="17"/>
              </w:rPr>
              <w:t>156 </w:t>
            </w:r>
          </w:p>
        </w:tc>
        <w:tc>
          <w:tcPr>
            <w:tcW w:w="0" w:type="auto"/>
            <w:tcBorders>
              <w:top w:val="single" w:sz="8" w:space="0" w:color="B6B6B6"/>
            </w:tcBorders>
            <w:shd w:val="clear" w:color="auto" w:fill="auto"/>
            <w:tcMar>
              <w:top w:w="40" w:type="dxa"/>
              <w:left w:w="0" w:type="dxa"/>
              <w:bottom w:w="40" w:type="dxa"/>
              <w:right w:w="20" w:type="dxa"/>
            </w:tcMar>
            <w:vAlign w:val="bottom"/>
          </w:tcPr>
          <w:p w14:paraId="669C5C29" w14:textId="77777777" w:rsidR="00066C63" w:rsidRDefault="00066C63">
            <w:pPr>
              <w:jc w:val="right"/>
              <w:rPr>
                <w:rFonts w:ascii="宋体"/>
              </w:rPr>
            </w:pPr>
          </w:p>
        </w:tc>
      </w:tr>
      <w:tr w:rsidR="00066C63" w14:paraId="669C5C31"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5C2B" w14:textId="77777777" w:rsidR="00066C63" w:rsidRDefault="009656F6">
            <w:pPr>
              <w:textAlignment w:val="bottom"/>
            </w:pPr>
            <w:r>
              <w:rPr>
                <w:rFonts w:ascii="Arial" w:eastAsia="宋体" w:hAnsi="Arial" w:cs="Arial"/>
                <w:color w:val="000000"/>
                <w:sz w:val="17"/>
                <w:szCs w:val="17"/>
              </w:rPr>
              <w:t>Total current liabilities</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669C5C2C" w14:textId="77777777" w:rsidR="00066C63" w:rsidRDefault="009656F6">
            <w:pPr>
              <w:jc w:val="right"/>
              <w:textAlignment w:val="bottom"/>
            </w:pPr>
            <w:r>
              <w:rPr>
                <w:rFonts w:ascii="Arial" w:eastAsia="宋体" w:hAnsi="Arial" w:cs="Arial"/>
                <w:color w:val="000000"/>
                <w:sz w:val="17"/>
                <w:szCs w:val="17"/>
              </w:rPr>
              <w:t>8,894 </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5C2D" w14:textId="77777777" w:rsidR="00066C63" w:rsidRDefault="00066C63">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5C2E" w14:textId="77777777" w:rsidR="00066C63" w:rsidRDefault="00066C63">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5C2F" w14:textId="77777777" w:rsidR="00066C63" w:rsidRDefault="009656F6">
            <w:pPr>
              <w:jc w:val="right"/>
              <w:textAlignment w:val="bottom"/>
            </w:pPr>
            <w:r>
              <w:rPr>
                <w:rFonts w:ascii="Arial" w:eastAsia="宋体" w:hAnsi="Arial" w:cs="Arial"/>
                <w:color w:val="000000"/>
                <w:sz w:val="17"/>
                <w:szCs w:val="17"/>
              </w:rPr>
              <w:t>8,284 </w:t>
            </w:r>
          </w:p>
        </w:tc>
        <w:tc>
          <w:tcPr>
            <w:tcW w:w="0" w:type="auto"/>
            <w:tcBorders>
              <w:top w:val="single" w:sz="8" w:space="0" w:color="E87722"/>
            </w:tcBorders>
            <w:shd w:val="clear" w:color="auto" w:fill="auto"/>
            <w:tcMar>
              <w:top w:w="40" w:type="dxa"/>
              <w:left w:w="0" w:type="dxa"/>
              <w:bottom w:w="40" w:type="dxa"/>
              <w:right w:w="20" w:type="dxa"/>
            </w:tcMar>
            <w:vAlign w:val="bottom"/>
          </w:tcPr>
          <w:p w14:paraId="669C5C30" w14:textId="77777777" w:rsidR="00066C63" w:rsidRDefault="00066C63">
            <w:pPr>
              <w:jc w:val="right"/>
              <w:rPr>
                <w:rFonts w:ascii="宋体"/>
              </w:rPr>
            </w:pPr>
          </w:p>
        </w:tc>
      </w:tr>
      <w:tr w:rsidR="00066C63" w14:paraId="669C5C38" w14:textId="77777777">
        <w:tc>
          <w:tcPr>
            <w:tcW w:w="0" w:type="auto"/>
            <w:gridSpan w:val="3"/>
            <w:tcBorders>
              <w:top w:val="single" w:sz="8" w:space="0" w:color="B6B6B6"/>
            </w:tcBorders>
            <w:shd w:val="clear" w:color="auto" w:fill="auto"/>
            <w:tcMar>
              <w:top w:w="40" w:type="dxa"/>
              <w:left w:w="155" w:type="dxa"/>
              <w:bottom w:w="40" w:type="dxa"/>
              <w:right w:w="20" w:type="dxa"/>
            </w:tcMar>
            <w:vAlign w:val="bottom"/>
          </w:tcPr>
          <w:p w14:paraId="669C5C32" w14:textId="77777777" w:rsidR="00066C63" w:rsidRDefault="009656F6">
            <w:pPr>
              <w:textAlignment w:val="bottom"/>
            </w:pPr>
            <w:r>
              <w:rPr>
                <w:rFonts w:ascii="Arial" w:eastAsia="宋体" w:hAnsi="Arial" w:cs="Arial"/>
                <w:color w:val="000000"/>
                <w:sz w:val="17"/>
                <w:szCs w:val="17"/>
              </w:rPr>
              <w:t>Long-term debt</w:t>
            </w:r>
          </w:p>
        </w:tc>
        <w:tc>
          <w:tcPr>
            <w:tcW w:w="0" w:type="auto"/>
            <w:gridSpan w:val="2"/>
            <w:tcBorders>
              <w:top w:val="single" w:sz="8" w:space="0" w:color="B6B6B6"/>
            </w:tcBorders>
            <w:shd w:val="clear" w:color="auto" w:fill="FFF1E7"/>
            <w:tcMar>
              <w:top w:w="40" w:type="dxa"/>
              <w:left w:w="20" w:type="dxa"/>
              <w:bottom w:w="40" w:type="dxa"/>
              <w:right w:w="0" w:type="dxa"/>
            </w:tcMar>
            <w:vAlign w:val="bottom"/>
          </w:tcPr>
          <w:p w14:paraId="669C5C33" w14:textId="77777777" w:rsidR="00066C63" w:rsidRDefault="009656F6">
            <w:pPr>
              <w:jc w:val="right"/>
              <w:textAlignment w:val="bottom"/>
            </w:pPr>
            <w:r>
              <w:rPr>
                <w:rFonts w:ascii="Arial" w:eastAsia="宋体" w:hAnsi="Arial" w:cs="Arial"/>
                <w:color w:val="000000"/>
                <w:sz w:val="17"/>
                <w:szCs w:val="17"/>
              </w:rPr>
              <w:t>9,412 </w:t>
            </w:r>
          </w:p>
        </w:tc>
        <w:tc>
          <w:tcPr>
            <w:tcW w:w="0" w:type="auto"/>
            <w:tcBorders>
              <w:top w:val="single" w:sz="8" w:space="0" w:color="B6B6B6"/>
            </w:tcBorders>
            <w:shd w:val="clear" w:color="auto" w:fill="FFF1E7"/>
            <w:tcMar>
              <w:top w:w="40" w:type="dxa"/>
              <w:left w:w="0" w:type="dxa"/>
              <w:bottom w:w="40" w:type="dxa"/>
              <w:right w:w="20" w:type="dxa"/>
            </w:tcMar>
            <w:vAlign w:val="bottom"/>
          </w:tcPr>
          <w:p w14:paraId="669C5C34" w14:textId="77777777" w:rsidR="00066C63" w:rsidRDefault="00066C63">
            <w:pPr>
              <w:jc w:val="right"/>
              <w:rPr>
                <w:rFonts w:ascii="宋体"/>
              </w:rPr>
            </w:pPr>
          </w:p>
        </w:tc>
        <w:tc>
          <w:tcPr>
            <w:tcW w:w="0" w:type="auto"/>
            <w:gridSpan w:val="3"/>
            <w:tcBorders>
              <w:top w:val="single" w:sz="8" w:space="0" w:color="B6B6B6"/>
            </w:tcBorders>
            <w:shd w:val="clear" w:color="auto" w:fill="auto"/>
            <w:tcMar>
              <w:top w:w="0" w:type="dxa"/>
              <w:left w:w="20" w:type="dxa"/>
              <w:bottom w:w="0" w:type="dxa"/>
              <w:right w:w="20" w:type="dxa"/>
            </w:tcMar>
          </w:tcPr>
          <w:p w14:paraId="669C5C35" w14:textId="77777777" w:rsidR="00066C63" w:rsidRDefault="00066C63">
            <w:pPr>
              <w:rPr>
                <w:rFonts w:ascii="宋体"/>
              </w:rPr>
            </w:pPr>
          </w:p>
        </w:tc>
        <w:tc>
          <w:tcPr>
            <w:tcW w:w="0" w:type="auto"/>
            <w:gridSpan w:val="2"/>
            <w:tcBorders>
              <w:top w:val="single" w:sz="8" w:space="0" w:color="B6B6B6"/>
            </w:tcBorders>
            <w:shd w:val="clear" w:color="auto" w:fill="auto"/>
            <w:tcMar>
              <w:top w:w="40" w:type="dxa"/>
              <w:left w:w="20" w:type="dxa"/>
              <w:bottom w:w="40" w:type="dxa"/>
              <w:right w:w="0" w:type="dxa"/>
            </w:tcMar>
            <w:vAlign w:val="bottom"/>
          </w:tcPr>
          <w:p w14:paraId="669C5C36" w14:textId="77777777" w:rsidR="00066C63" w:rsidRDefault="009656F6">
            <w:pPr>
              <w:jc w:val="right"/>
              <w:textAlignment w:val="bottom"/>
            </w:pPr>
            <w:r>
              <w:rPr>
                <w:rFonts w:ascii="Arial" w:eastAsia="宋体" w:hAnsi="Arial" w:cs="Arial"/>
                <w:color w:val="000000"/>
                <w:sz w:val="17"/>
                <w:szCs w:val="17"/>
              </w:rPr>
              <w:t>9,406 </w:t>
            </w:r>
          </w:p>
        </w:tc>
        <w:tc>
          <w:tcPr>
            <w:tcW w:w="0" w:type="auto"/>
            <w:tcBorders>
              <w:top w:val="single" w:sz="8" w:space="0" w:color="B6B6B6"/>
            </w:tcBorders>
            <w:shd w:val="clear" w:color="auto" w:fill="auto"/>
            <w:tcMar>
              <w:top w:w="40" w:type="dxa"/>
              <w:left w:w="0" w:type="dxa"/>
              <w:bottom w:w="40" w:type="dxa"/>
              <w:right w:w="20" w:type="dxa"/>
            </w:tcMar>
            <w:vAlign w:val="bottom"/>
          </w:tcPr>
          <w:p w14:paraId="669C5C37" w14:textId="77777777" w:rsidR="00066C63" w:rsidRDefault="00066C63">
            <w:pPr>
              <w:jc w:val="right"/>
              <w:rPr>
                <w:rFonts w:ascii="宋体"/>
              </w:rPr>
            </w:pPr>
          </w:p>
        </w:tc>
      </w:tr>
      <w:tr w:rsidR="00066C63" w14:paraId="669C5C3F" w14:textId="77777777">
        <w:tc>
          <w:tcPr>
            <w:tcW w:w="0" w:type="auto"/>
            <w:gridSpan w:val="3"/>
            <w:tcBorders>
              <w:top w:val="single" w:sz="8" w:space="0" w:color="B6B6B6"/>
            </w:tcBorders>
            <w:shd w:val="clear" w:color="auto" w:fill="auto"/>
            <w:tcMar>
              <w:top w:w="40" w:type="dxa"/>
              <w:left w:w="155" w:type="dxa"/>
              <w:bottom w:w="40" w:type="dxa"/>
              <w:right w:w="20" w:type="dxa"/>
            </w:tcMar>
            <w:vAlign w:val="bottom"/>
          </w:tcPr>
          <w:p w14:paraId="669C5C39" w14:textId="77777777" w:rsidR="00066C63" w:rsidRDefault="009656F6">
            <w:pPr>
              <w:textAlignment w:val="bottom"/>
            </w:pPr>
            <w:r>
              <w:rPr>
                <w:rFonts w:ascii="Arial" w:eastAsia="宋体" w:hAnsi="Arial" w:cs="Arial"/>
                <w:color w:val="000000"/>
                <w:sz w:val="17"/>
                <w:szCs w:val="17"/>
              </w:rPr>
              <w:t>Operating lease liabilities</w:t>
            </w:r>
          </w:p>
        </w:tc>
        <w:tc>
          <w:tcPr>
            <w:tcW w:w="0" w:type="auto"/>
            <w:gridSpan w:val="2"/>
            <w:tcBorders>
              <w:top w:val="single" w:sz="8" w:space="0" w:color="B6B6B6"/>
            </w:tcBorders>
            <w:shd w:val="clear" w:color="auto" w:fill="FFF1E7"/>
            <w:tcMar>
              <w:top w:w="40" w:type="dxa"/>
              <w:left w:w="20" w:type="dxa"/>
              <w:bottom w:w="40" w:type="dxa"/>
              <w:right w:w="0" w:type="dxa"/>
            </w:tcMar>
            <w:vAlign w:val="bottom"/>
          </w:tcPr>
          <w:p w14:paraId="669C5C3A" w14:textId="77777777" w:rsidR="00066C63" w:rsidRDefault="009656F6">
            <w:pPr>
              <w:jc w:val="right"/>
              <w:textAlignment w:val="bottom"/>
            </w:pPr>
            <w:r>
              <w:rPr>
                <w:rFonts w:ascii="Arial" w:eastAsia="宋体" w:hAnsi="Arial" w:cs="Arial"/>
                <w:color w:val="000000"/>
                <w:sz w:val="17"/>
                <w:szCs w:val="17"/>
              </w:rPr>
              <w:t>2,964 </w:t>
            </w:r>
          </w:p>
        </w:tc>
        <w:tc>
          <w:tcPr>
            <w:tcW w:w="0" w:type="auto"/>
            <w:tcBorders>
              <w:top w:val="single" w:sz="8" w:space="0" w:color="B6B6B6"/>
            </w:tcBorders>
            <w:shd w:val="clear" w:color="auto" w:fill="FFF1E7"/>
            <w:tcMar>
              <w:top w:w="40" w:type="dxa"/>
              <w:left w:w="0" w:type="dxa"/>
              <w:bottom w:w="40" w:type="dxa"/>
              <w:right w:w="20" w:type="dxa"/>
            </w:tcMar>
            <w:vAlign w:val="bottom"/>
          </w:tcPr>
          <w:p w14:paraId="669C5C3B" w14:textId="77777777" w:rsidR="00066C63" w:rsidRDefault="00066C63">
            <w:pPr>
              <w:jc w:val="right"/>
              <w:rPr>
                <w:rFonts w:ascii="宋体"/>
              </w:rPr>
            </w:pPr>
          </w:p>
        </w:tc>
        <w:tc>
          <w:tcPr>
            <w:tcW w:w="0" w:type="auto"/>
            <w:gridSpan w:val="3"/>
            <w:tcBorders>
              <w:top w:val="single" w:sz="8" w:space="0" w:color="B6B6B6"/>
            </w:tcBorders>
            <w:shd w:val="clear" w:color="auto" w:fill="auto"/>
            <w:tcMar>
              <w:top w:w="0" w:type="dxa"/>
              <w:left w:w="20" w:type="dxa"/>
              <w:bottom w:w="0" w:type="dxa"/>
              <w:right w:w="20" w:type="dxa"/>
            </w:tcMar>
          </w:tcPr>
          <w:p w14:paraId="669C5C3C" w14:textId="77777777" w:rsidR="00066C63" w:rsidRDefault="00066C63">
            <w:pPr>
              <w:rPr>
                <w:rFonts w:ascii="宋体"/>
              </w:rPr>
            </w:pPr>
          </w:p>
        </w:tc>
        <w:tc>
          <w:tcPr>
            <w:tcW w:w="0" w:type="auto"/>
            <w:gridSpan w:val="2"/>
            <w:tcBorders>
              <w:top w:val="single" w:sz="8" w:space="0" w:color="B6B6B6"/>
            </w:tcBorders>
            <w:shd w:val="clear" w:color="auto" w:fill="auto"/>
            <w:tcMar>
              <w:top w:w="40" w:type="dxa"/>
              <w:left w:w="20" w:type="dxa"/>
              <w:bottom w:w="40" w:type="dxa"/>
              <w:right w:w="0" w:type="dxa"/>
            </w:tcMar>
            <w:vAlign w:val="bottom"/>
          </w:tcPr>
          <w:p w14:paraId="669C5C3D" w14:textId="77777777" w:rsidR="00066C63" w:rsidRDefault="009656F6">
            <w:pPr>
              <w:jc w:val="right"/>
              <w:textAlignment w:val="bottom"/>
            </w:pPr>
            <w:r>
              <w:rPr>
                <w:rFonts w:ascii="Arial" w:eastAsia="宋体" w:hAnsi="Arial" w:cs="Arial"/>
                <w:color w:val="000000"/>
                <w:sz w:val="17"/>
                <w:szCs w:val="17"/>
              </w:rPr>
              <w:t>2,913 </w:t>
            </w:r>
          </w:p>
        </w:tc>
        <w:tc>
          <w:tcPr>
            <w:tcW w:w="0" w:type="auto"/>
            <w:tcBorders>
              <w:top w:val="single" w:sz="8" w:space="0" w:color="B6B6B6"/>
            </w:tcBorders>
            <w:shd w:val="clear" w:color="auto" w:fill="auto"/>
            <w:tcMar>
              <w:top w:w="40" w:type="dxa"/>
              <w:left w:w="0" w:type="dxa"/>
              <w:bottom w:w="40" w:type="dxa"/>
              <w:right w:w="20" w:type="dxa"/>
            </w:tcMar>
            <w:vAlign w:val="bottom"/>
          </w:tcPr>
          <w:p w14:paraId="669C5C3E" w14:textId="77777777" w:rsidR="00066C63" w:rsidRDefault="00066C63">
            <w:pPr>
              <w:jc w:val="right"/>
              <w:rPr>
                <w:rFonts w:ascii="宋体"/>
              </w:rPr>
            </w:pPr>
          </w:p>
        </w:tc>
      </w:tr>
      <w:tr w:rsidR="00066C63" w14:paraId="669C5C46" w14:textId="77777777">
        <w:tc>
          <w:tcPr>
            <w:tcW w:w="0" w:type="auto"/>
            <w:gridSpan w:val="3"/>
            <w:tcBorders>
              <w:top w:val="single" w:sz="8" w:space="0" w:color="B6B6B6"/>
            </w:tcBorders>
            <w:shd w:val="clear" w:color="auto" w:fill="auto"/>
            <w:tcMar>
              <w:top w:w="40" w:type="dxa"/>
              <w:left w:w="155" w:type="dxa"/>
              <w:bottom w:w="40" w:type="dxa"/>
              <w:right w:w="20" w:type="dxa"/>
            </w:tcMar>
            <w:vAlign w:val="bottom"/>
          </w:tcPr>
          <w:p w14:paraId="669C5C40" w14:textId="77777777" w:rsidR="00066C63" w:rsidRDefault="009656F6">
            <w:pPr>
              <w:textAlignment w:val="bottom"/>
            </w:pPr>
            <w:r>
              <w:rPr>
                <w:rFonts w:ascii="Arial" w:eastAsia="宋体" w:hAnsi="Arial" w:cs="Arial"/>
                <w:color w:val="000000"/>
                <w:sz w:val="17"/>
                <w:szCs w:val="17"/>
              </w:rPr>
              <w:t>Deferred income taxes and other liabilities</w:t>
            </w:r>
          </w:p>
        </w:tc>
        <w:tc>
          <w:tcPr>
            <w:tcW w:w="0" w:type="auto"/>
            <w:gridSpan w:val="2"/>
            <w:tcBorders>
              <w:top w:val="single" w:sz="8" w:space="0" w:color="B6B6B6"/>
            </w:tcBorders>
            <w:shd w:val="clear" w:color="auto" w:fill="FFF1E7"/>
            <w:tcMar>
              <w:top w:w="40" w:type="dxa"/>
              <w:left w:w="20" w:type="dxa"/>
              <w:bottom w:w="40" w:type="dxa"/>
              <w:right w:w="0" w:type="dxa"/>
            </w:tcMar>
            <w:vAlign w:val="bottom"/>
          </w:tcPr>
          <w:p w14:paraId="669C5C41" w14:textId="77777777" w:rsidR="00066C63" w:rsidRDefault="009656F6">
            <w:pPr>
              <w:jc w:val="right"/>
              <w:textAlignment w:val="bottom"/>
            </w:pPr>
            <w:r>
              <w:rPr>
                <w:rFonts w:ascii="Arial" w:eastAsia="宋体" w:hAnsi="Arial" w:cs="Arial"/>
                <w:color w:val="000000"/>
                <w:sz w:val="17"/>
                <w:szCs w:val="17"/>
              </w:rPr>
              <w:t>2,984 </w:t>
            </w:r>
          </w:p>
        </w:tc>
        <w:tc>
          <w:tcPr>
            <w:tcW w:w="0" w:type="auto"/>
            <w:tcBorders>
              <w:top w:val="single" w:sz="8" w:space="0" w:color="B6B6B6"/>
            </w:tcBorders>
            <w:shd w:val="clear" w:color="auto" w:fill="FFF1E7"/>
            <w:tcMar>
              <w:top w:w="40" w:type="dxa"/>
              <w:left w:w="0" w:type="dxa"/>
              <w:bottom w:w="40" w:type="dxa"/>
              <w:right w:w="20" w:type="dxa"/>
            </w:tcMar>
            <w:vAlign w:val="bottom"/>
          </w:tcPr>
          <w:p w14:paraId="669C5C42" w14:textId="77777777" w:rsidR="00066C63" w:rsidRDefault="00066C63">
            <w:pPr>
              <w:jc w:val="right"/>
              <w:rPr>
                <w:rFonts w:ascii="宋体"/>
              </w:rPr>
            </w:pPr>
          </w:p>
        </w:tc>
        <w:tc>
          <w:tcPr>
            <w:tcW w:w="0" w:type="auto"/>
            <w:gridSpan w:val="3"/>
            <w:tcBorders>
              <w:top w:val="single" w:sz="8" w:space="0" w:color="B6B6B6"/>
            </w:tcBorders>
            <w:shd w:val="clear" w:color="auto" w:fill="auto"/>
            <w:tcMar>
              <w:top w:w="0" w:type="dxa"/>
              <w:left w:w="20" w:type="dxa"/>
              <w:bottom w:w="0" w:type="dxa"/>
              <w:right w:w="20" w:type="dxa"/>
            </w:tcMar>
          </w:tcPr>
          <w:p w14:paraId="669C5C43" w14:textId="77777777" w:rsidR="00066C63" w:rsidRDefault="00066C63">
            <w:pPr>
              <w:rPr>
                <w:rFonts w:ascii="宋体"/>
              </w:rPr>
            </w:pPr>
          </w:p>
        </w:tc>
        <w:tc>
          <w:tcPr>
            <w:tcW w:w="0" w:type="auto"/>
            <w:gridSpan w:val="2"/>
            <w:tcBorders>
              <w:top w:val="single" w:sz="8" w:space="0" w:color="B6B6B6"/>
            </w:tcBorders>
            <w:shd w:val="clear" w:color="auto" w:fill="auto"/>
            <w:tcMar>
              <w:top w:w="40" w:type="dxa"/>
              <w:left w:w="20" w:type="dxa"/>
              <w:bottom w:w="40" w:type="dxa"/>
              <w:right w:w="0" w:type="dxa"/>
            </w:tcMar>
            <w:vAlign w:val="bottom"/>
          </w:tcPr>
          <w:p w14:paraId="669C5C44" w14:textId="77777777" w:rsidR="00066C63" w:rsidRDefault="009656F6">
            <w:pPr>
              <w:jc w:val="right"/>
              <w:textAlignment w:val="bottom"/>
            </w:pPr>
            <w:r>
              <w:rPr>
                <w:rFonts w:ascii="Arial" w:eastAsia="宋体" w:hAnsi="Arial" w:cs="Arial"/>
                <w:color w:val="000000"/>
                <w:sz w:val="17"/>
                <w:szCs w:val="17"/>
              </w:rPr>
              <w:t>2,684 </w:t>
            </w:r>
          </w:p>
        </w:tc>
        <w:tc>
          <w:tcPr>
            <w:tcW w:w="0" w:type="auto"/>
            <w:tcBorders>
              <w:top w:val="single" w:sz="8" w:space="0" w:color="B6B6B6"/>
            </w:tcBorders>
            <w:shd w:val="clear" w:color="auto" w:fill="auto"/>
            <w:tcMar>
              <w:top w:w="40" w:type="dxa"/>
              <w:left w:w="0" w:type="dxa"/>
              <w:bottom w:w="40" w:type="dxa"/>
              <w:right w:w="20" w:type="dxa"/>
            </w:tcMar>
            <w:vAlign w:val="bottom"/>
          </w:tcPr>
          <w:p w14:paraId="669C5C45" w14:textId="77777777" w:rsidR="00066C63" w:rsidRDefault="00066C63">
            <w:pPr>
              <w:jc w:val="right"/>
              <w:rPr>
                <w:rFonts w:ascii="宋体"/>
              </w:rPr>
            </w:pPr>
          </w:p>
        </w:tc>
      </w:tr>
      <w:tr w:rsidR="00066C63" w14:paraId="669C5C4D" w14:textId="77777777">
        <w:tc>
          <w:tcPr>
            <w:tcW w:w="0" w:type="auto"/>
            <w:gridSpan w:val="3"/>
            <w:tcBorders>
              <w:top w:val="single" w:sz="8" w:space="0" w:color="B6B6B6"/>
            </w:tcBorders>
            <w:shd w:val="clear" w:color="auto" w:fill="auto"/>
            <w:tcMar>
              <w:top w:w="40" w:type="dxa"/>
              <w:left w:w="155" w:type="dxa"/>
              <w:bottom w:w="40" w:type="dxa"/>
              <w:right w:w="20" w:type="dxa"/>
            </w:tcMar>
            <w:vAlign w:val="bottom"/>
          </w:tcPr>
          <w:p w14:paraId="669C5C47" w14:textId="77777777" w:rsidR="00066C63" w:rsidRDefault="009656F6">
            <w:pPr>
              <w:textAlignment w:val="bottom"/>
            </w:pPr>
            <w:r>
              <w:rPr>
                <w:rFonts w:ascii="Arial" w:eastAsia="宋体" w:hAnsi="Arial" w:cs="Arial"/>
                <w:color w:val="000000"/>
                <w:sz w:val="17"/>
                <w:szCs w:val="17"/>
              </w:rPr>
              <w:t>Redeemable preferred stock</w:t>
            </w:r>
          </w:p>
        </w:tc>
        <w:tc>
          <w:tcPr>
            <w:tcW w:w="0" w:type="auto"/>
            <w:gridSpan w:val="2"/>
            <w:tcBorders>
              <w:top w:val="single" w:sz="8" w:space="0" w:color="B6B6B6"/>
            </w:tcBorders>
            <w:shd w:val="clear" w:color="auto" w:fill="FFF1E7"/>
            <w:tcMar>
              <w:top w:w="40" w:type="dxa"/>
              <w:left w:w="20" w:type="dxa"/>
              <w:bottom w:w="40" w:type="dxa"/>
              <w:right w:w="0" w:type="dxa"/>
            </w:tcMar>
            <w:vAlign w:val="bottom"/>
          </w:tcPr>
          <w:p w14:paraId="669C5C48" w14:textId="77777777" w:rsidR="00066C63" w:rsidRDefault="009656F6">
            <w:pPr>
              <w:jc w:val="right"/>
              <w:textAlignment w:val="bottom"/>
            </w:pPr>
            <w:r>
              <w:rPr>
                <w:rFonts w:ascii="Arial" w:eastAsia="宋体" w:hAnsi="Arial" w:cs="Arial"/>
                <w:color w:val="000000"/>
                <w:sz w:val="17"/>
                <w:szCs w:val="17"/>
              </w:rPr>
              <w:t>— </w:t>
            </w:r>
          </w:p>
        </w:tc>
        <w:tc>
          <w:tcPr>
            <w:tcW w:w="0" w:type="auto"/>
            <w:tcBorders>
              <w:top w:val="single" w:sz="8" w:space="0" w:color="B6B6B6"/>
            </w:tcBorders>
            <w:shd w:val="clear" w:color="auto" w:fill="FFF1E7"/>
            <w:tcMar>
              <w:top w:w="40" w:type="dxa"/>
              <w:left w:w="0" w:type="dxa"/>
              <w:bottom w:w="40" w:type="dxa"/>
              <w:right w:w="20" w:type="dxa"/>
            </w:tcMar>
            <w:vAlign w:val="bottom"/>
          </w:tcPr>
          <w:p w14:paraId="669C5C49" w14:textId="77777777" w:rsidR="00066C63" w:rsidRDefault="00066C63">
            <w:pPr>
              <w:jc w:val="right"/>
              <w:rPr>
                <w:rFonts w:ascii="宋体"/>
              </w:rPr>
            </w:pPr>
          </w:p>
        </w:tc>
        <w:tc>
          <w:tcPr>
            <w:tcW w:w="0" w:type="auto"/>
            <w:gridSpan w:val="3"/>
            <w:tcBorders>
              <w:top w:val="single" w:sz="8" w:space="0" w:color="B6B6B6"/>
            </w:tcBorders>
            <w:shd w:val="clear" w:color="auto" w:fill="auto"/>
            <w:tcMar>
              <w:top w:w="0" w:type="dxa"/>
              <w:left w:w="20" w:type="dxa"/>
              <w:bottom w:w="0" w:type="dxa"/>
              <w:right w:w="20" w:type="dxa"/>
            </w:tcMar>
          </w:tcPr>
          <w:p w14:paraId="669C5C4A" w14:textId="77777777" w:rsidR="00066C63" w:rsidRDefault="00066C63">
            <w:pPr>
              <w:rPr>
                <w:rFonts w:ascii="宋体"/>
              </w:rPr>
            </w:pPr>
          </w:p>
        </w:tc>
        <w:tc>
          <w:tcPr>
            <w:tcW w:w="0" w:type="auto"/>
            <w:gridSpan w:val="2"/>
            <w:tcBorders>
              <w:top w:val="single" w:sz="8" w:space="0" w:color="B6B6B6"/>
            </w:tcBorders>
            <w:shd w:val="clear" w:color="auto" w:fill="auto"/>
            <w:tcMar>
              <w:top w:w="40" w:type="dxa"/>
              <w:left w:w="20" w:type="dxa"/>
              <w:bottom w:w="40" w:type="dxa"/>
              <w:right w:w="0" w:type="dxa"/>
            </w:tcMar>
            <w:vAlign w:val="bottom"/>
          </w:tcPr>
          <w:p w14:paraId="669C5C4B" w14:textId="77777777" w:rsidR="00066C63" w:rsidRDefault="009656F6">
            <w:pPr>
              <w:jc w:val="right"/>
              <w:textAlignment w:val="bottom"/>
            </w:pPr>
            <w:r>
              <w:rPr>
                <w:rFonts w:ascii="Arial" w:eastAsia="宋体" w:hAnsi="Arial" w:cs="Arial"/>
                <w:color w:val="000000"/>
                <w:sz w:val="17"/>
                <w:szCs w:val="17"/>
              </w:rPr>
              <w:t>— </w:t>
            </w:r>
          </w:p>
        </w:tc>
        <w:tc>
          <w:tcPr>
            <w:tcW w:w="0" w:type="auto"/>
            <w:tcBorders>
              <w:top w:val="single" w:sz="8" w:space="0" w:color="B6B6B6"/>
            </w:tcBorders>
            <w:shd w:val="clear" w:color="auto" w:fill="auto"/>
            <w:tcMar>
              <w:top w:w="40" w:type="dxa"/>
              <w:left w:w="0" w:type="dxa"/>
              <w:bottom w:w="40" w:type="dxa"/>
              <w:right w:w="20" w:type="dxa"/>
            </w:tcMar>
            <w:vAlign w:val="bottom"/>
          </w:tcPr>
          <w:p w14:paraId="669C5C4C" w14:textId="77777777" w:rsidR="00066C63" w:rsidRDefault="00066C63">
            <w:pPr>
              <w:jc w:val="right"/>
              <w:rPr>
                <w:rFonts w:ascii="宋体"/>
              </w:rPr>
            </w:pPr>
          </w:p>
        </w:tc>
      </w:tr>
      <w:tr w:rsidR="00066C63" w14:paraId="669C5C52" w14:textId="77777777">
        <w:tc>
          <w:tcPr>
            <w:tcW w:w="0" w:type="auto"/>
            <w:gridSpan w:val="3"/>
            <w:tcBorders>
              <w:top w:val="single" w:sz="8" w:space="0" w:color="B6B6B6"/>
            </w:tcBorders>
            <w:shd w:val="clear" w:color="auto" w:fill="auto"/>
            <w:tcMar>
              <w:top w:w="40" w:type="dxa"/>
              <w:left w:w="155" w:type="dxa"/>
              <w:bottom w:w="40" w:type="dxa"/>
              <w:right w:w="20" w:type="dxa"/>
            </w:tcMar>
            <w:vAlign w:val="bottom"/>
          </w:tcPr>
          <w:p w14:paraId="669C5C4E" w14:textId="77777777" w:rsidR="00066C63" w:rsidRDefault="009656F6">
            <w:pPr>
              <w:textAlignment w:val="bottom"/>
            </w:pPr>
            <w:r>
              <w:rPr>
                <w:rFonts w:ascii="Arial" w:eastAsia="宋体" w:hAnsi="Arial" w:cs="Arial"/>
                <w:color w:val="000000"/>
                <w:sz w:val="17"/>
                <w:szCs w:val="17"/>
              </w:rPr>
              <w:t>Shareholders' equity:</w:t>
            </w:r>
          </w:p>
        </w:tc>
        <w:tc>
          <w:tcPr>
            <w:tcW w:w="0" w:type="auto"/>
            <w:gridSpan w:val="3"/>
            <w:tcBorders>
              <w:top w:val="single" w:sz="8" w:space="0" w:color="B6B6B6"/>
            </w:tcBorders>
            <w:shd w:val="clear" w:color="auto" w:fill="FFF1E7"/>
            <w:tcMar>
              <w:top w:w="0" w:type="dxa"/>
              <w:left w:w="20" w:type="dxa"/>
              <w:bottom w:w="0" w:type="dxa"/>
              <w:right w:w="20" w:type="dxa"/>
            </w:tcMar>
          </w:tcPr>
          <w:p w14:paraId="669C5C4F" w14:textId="77777777" w:rsidR="00066C63" w:rsidRDefault="00066C63">
            <w:pPr>
              <w:rPr>
                <w:rFonts w:ascii="宋体"/>
              </w:rPr>
            </w:pPr>
          </w:p>
        </w:tc>
        <w:tc>
          <w:tcPr>
            <w:tcW w:w="0" w:type="auto"/>
            <w:gridSpan w:val="3"/>
            <w:tcBorders>
              <w:top w:val="single" w:sz="8" w:space="0" w:color="B6B6B6"/>
            </w:tcBorders>
            <w:shd w:val="clear" w:color="auto" w:fill="auto"/>
            <w:tcMar>
              <w:top w:w="0" w:type="dxa"/>
              <w:left w:w="20" w:type="dxa"/>
              <w:bottom w:w="0" w:type="dxa"/>
              <w:right w:w="20" w:type="dxa"/>
            </w:tcMar>
          </w:tcPr>
          <w:p w14:paraId="669C5C50" w14:textId="77777777" w:rsidR="00066C63" w:rsidRDefault="00066C63">
            <w:pPr>
              <w:rPr>
                <w:rFonts w:ascii="宋体"/>
              </w:rPr>
            </w:pPr>
          </w:p>
        </w:tc>
        <w:tc>
          <w:tcPr>
            <w:tcW w:w="0" w:type="auto"/>
            <w:gridSpan w:val="3"/>
            <w:tcBorders>
              <w:top w:val="single" w:sz="8" w:space="0" w:color="B6B6B6"/>
            </w:tcBorders>
            <w:shd w:val="clear" w:color="auto" w:fill="auto"/>
            <w:tcMar>
              <w:top w:w="0" w:type="dxa"/>
              <w:left w:w="20" w:type="dxa"/>
              <w:bottom w:w="0" w:type="dxa"/>
              <w:right w:w="20" w:type="dxa"/>
            </w:tcMar>
          </w:tcPr>
          <w:p w14:paraId="669C5C51" w14:textId="77777777" w:rsidR="00066C63" w:rsidRDefault="00066C63">
            <w:pPr>
              <w:rPr>
                <w:rFonts w:ascii="宋体"/>
              </w:rPr>
            </w:pPr>
          </w:p>
        </w:tc>
      </w:tr>
      <w:tr w:rsidR="00066C63" w14:paraId="669C5C57" w14:textId="77777777">
        <w:tc>
          <w:tcPr>
            <w:tcW w:w="0" w:type="auto"/>
            <w:gridSpan w:val="3"/>
            <w:tcBorders>
              <w:top w:val="single" w:sz="8" w:space="0" w:color="B6B6B6"/>
            </w:tcBorders>
            <w:shd w:val="clear" w:color="auto" w:fill="auto"/>
            <w:tcMar>
              <w:top w:w="40" w:type="dxa"/>
              <w:left w:w="155" w:type="dxa"/>
              <w:bottom w:w="40" w:type="dxa"/>
              <w:right w:w="20" w:type="dxa"/>
            </w:tcMar>
            <w:vAlign w:val="bottom"/>
          </w:tcPr>
          <w:p w14:paraId="669C5C53" w14:textId="77777777" w:rsidR="00066C63" w:rsidRDefault="009656F6">
            <w:pPr>
              <w:textAlignment w:val="bottom"/>
            </w:pPr>
            <w:r>
              <w:rPr>
                <w:rFonts w:ascii="Arial" w:eastAsia="宋体" w:hAnsi="Arial" w:cs="Arial"/>
                <w:color w:val="000000"/>
                <w:sz w:val="17"/>
                <w:szCs w:val="17"/>
              </w:rPr>
              <w:t>Common stock at stated value:</w:t>
            </w:r>
          </w:p>
        </w:tc>
        <w:tc>
          <w:tcPr>
            <w:tcW w:w="0" w:type="auto"/>
            <w:gridSpan w:val="3"/>
            <w:tcBorders>
              <w:top w:val="single" w:sz="8" w:space="0" w:color="B6B6B6"/>
            </w:tcBorders>
            <w:shd w:val="clear" w:color="auto" w:fill="FFF1E7"/>
            <w:tcMar>
              <w:top w:w="0" w:type="dxa"/>
              <w:left w:w="20" w:type="dxa"/>
              <w:bottom w:w="0" w:type="dxa"/>
              <w:right w:w="20" w:type="dxa"/>
            </w:tcMar>
          </w:tcPr>
          <w:p w14:paraId="669C5C54" w14:textId="77777777" w:rsidR="00066C63" w:rsidRDefault="00066C63">
            <w:pPr>
              <w:rPr>
                <w:rFonts w:ascii="宋体"/>
              </w:rPr>
            </w:pPr>
          </w:p>
        </w:tc>
        <w:tc>
          <w:tcPr>
            <w:tcW w:w="0" w:type="auto"/>
            <w:gridSpan w:val="3"/>
            <w:tcBorders>
              <w:top w:val="single" w:sz="8" w:space="0" w:color="B6B6B6"/>
            </w:tcBorders>
            <w:shd w:val="clear" w:color="auto" w:fill="auto"/>
            <w:tcMar>
              <w:top w:w="0" w:type="dxa"/>
              <w:left w:w="20" w:type="dxa"/>
              <w:bottom w:w="0" w:type="dxa"/>
              <w:right w:w="20" w:type="dxa"/>
            </w:tcMar>
          </w:tcPr>
          <w:p w14:paraId="669C5C55" w14:textId="77777777" w:rsidR="00066C63" w:rsidRDefault="00066C63">
            <w:pPr>
              <w:rPr>
                <w:rFonts w:ascii="宋体"/>
              </w:rPr>
            </w:pPr>
          </w:p>
        </w:tc>
        <w:tc>
          <w:tcPr>
            <w:tcW w:w="0" w:type="auto"/>
            <w:gridSpan w:val="3"/>
            <w:tcBorders>
              <w:top w:val="single" w:sz="8" w:space="0" w:color="B6B6B6"/>
            </w:tcBorders>
            <w:shd w:val="clear" w:color="auto" w:fill="auto"/>
            <w:tcMar>
              <w:top w:w="0" w:type="dxa"/>
              <w:left w:w="20" w:type="dxa"/>
              <w:bottom w:w="0" w:type="dxa"/>
              <w:right w:w="20" w:type="dxa"/>
            </w:tcMar>
          </w:tcPr>
          <w:p w14:paraId="669C5C56" w14:textId="77777777" w:rsidR="00066C63" w:rsidRDefault="00066C63">
            <w:pPr>
              <w:rPr>
                <w:rFonts w:ascii="宋体"/>
              </w:rPr>
            </w:pPr>
          </w:p>
        </w:tc>
      </w:tr>
      <w:tr w:rsidR="00066C63" w14:paraId="669C5C5E" w14:textId="77777777">
        <w:tc>
          <w:tcPr>
            <w:tcW w:w="0" w:type="auto"/>
            <w:gridSpan w:val="3"/>
            <w:tcBorders>
              <w:top w:val="single" w:sz="8" w:space="0" w:color="B6B6B6"/>
            </w:tcBorders>
            <w:shd w:val="clear" w:color="auto" w:fill="auto"/>
            <w:tcMar>
              <w:top w:w="40" w:type="dxa"/>
              <w:left w:w="20" w:type="dxa"/>
              <w:bottom w:w="40" w:type="dxa"/>
              <w:right w:w="20" w:type="dxa"/>
            </w:tcMar>
            <w:vAlign w:val="bottom"/>
          </w:tcPr>
          <w:p w14:paraId="669C5C58" w14:textId="77777777" w:rsidR="00066C63" w:rsidRDefault="009656F6">
            <w:pPr>
              <w:textAlignment w:val="bottom"/>
            </w:pPr>
            <w:r>
              <w:rPr>
                <w:rFonts w:ascii="Arial" w:eastAsia="宋体" w:hAnsi="Arial" w:cs="Arial"/>
                <w:color w:val="000000"/>
                <w:sz w:val="17"/>
                <w:szCs w:val="17"/>
              </w:rPr>
              <w:t xml:space="preserve">Class A convertible — 305 and 315 shares </w:t>
            </w:r>
            <w:r>
              <w:rPr>
                <w:rFonts w:ascii="Arial" w:eastAsia="宋体" w:hAnsi="Arial" w:cs="Arial"/>
                <w:color w:val="000000"/>
                <w:sz w:val="17"/>
                <w:szCs w:val="17"/>
              </w:rPr>
              <w:t>outstanding</w:t>
            </w:r>
          </w:p>
        </w:tc>
        <w:tc>
          <w:tcPr>
            <w:tcW w:w="0" w:type="auto"/>
            <w:gridSpan w:val="2"/>
            <w:tcBorders>
              <w:top w:val="single" w:sz="8" w:space="0" w:color="B6B6B6"/>
            </w:tcBorders>
            <w:shd w:val="clear" w:color="auto" w:fill="FFF1E7"/>
            <w:tcMar>
              <w:top w:w="40" w:type="dxa"/>
              <w:left w:w="20" w:type="dxa"/>
              <w:bottom w:w="40" w:type="dxa"/>
              <w:right w:w="0" w:type="dxa"/>
            </w:tcMar>
            <w:vAlign w:val="bottom"/>
          </w:tcPr>
          <w:p w14:paraId="669C5C59" w14:textId="77777777" w:rsidR="00066C63" w:rsidRDefault="009656F6">
            <w:pPr>
              <w:jc w:val="right"/>
              <w:textAlignment w:val="bottom"/>
            </w:pPr>
            <w:r>
              <w:rPr>
                <w:rFonts w:ascii="Arial" w:eastAsia="宋体" w:hAnsi="Arial" w:cs="Arial"/>
                <w:color w:val="000000"/>
                <w:sz w:val="17"/>
                <w:szCs w:val="17"/>
              </w:rPr>
              <w:t>— </w:t>
            </w:r>
          </w:p>
        </w:tc>
        <w:tc>
          <w:tcPr>
            <w:tcW w:w="0" w:type="auto"/>
            <w:tcBorders>
              <w:top w:val="single" w:sz="8" w:space="0" w:color="B6B6B6"/>
            </w:tcBorders>
            <w:shd w:val="clear" w:color="auto" w:fill="FFF1E7"/>
            <w:tcMar>
              <w:top w:w="40" w:type="dxa"/>
              <w:left w:w="0" w:type="dxa"/>
              <w:bottom w:w="40" w:type="dxa"/>
              <w:right w:w="20" w:type="dxa"/>
            </w:tcMar>
            <w:vAlign w:val="bottom"/>
          </w:tcPr>
          <w:p w14:paraId="669C5C5A" w14:textId="77777777" w:rsidR="00066C63" w:rsidRDefault="00066C63">
            <w:pPr>
              <w:jc w:val="right"/>
              <w:rPr>
                <w:rFonts w:ascii="宋体"/>
              </w:rPr>
            </w:pPr>
          </w:p>
        </w:tc>
        <w:tc>
          <w:tcPr>
            <w:tcW w:w="0" w:type="auto"/>
            <w:gridSpan w:val="3"/>
            <w:tcBorders>
              <w:top w:val="single" w:sz="8" w:space="0" w:color="B6B6B6"/>
            </w:tcBorders>
            <w:shd w:val="clear" w:color="auto" w:fill="auto"/>
            <w:tcMar>
              <w:top w:w="0" w:type="dxa"/>
              <w:left w:w="20" w:type="dxa"/>
              <w:bottom w:w="0" w:type="dxa"/>
              <w:right w:w="20" w:type="dxa"/>
            </w:tcMar>
          </w:tcPr>
          <w:p w14:paraId="669C5C5B" w14:textId="77777777" w:rsidR="00066C63" w:rsidRDefault="00066C63">
            <w:pPr>
              <w:rPr>
                <w:rFonts w:ascii="宋体"/>
              </w:rPr>
            </w:pPr>
          </w:p>
        </w:tc>
        <w:tc>
          <w:tcPr>
            <w:tcW w:w="0" w:type="auto"/>
            <w:gridSpan w:val="2"/>
            <w:tcBorders>
              <w:top w:val="single" w:sz="8" w:space="0" w:color="B6B6B6"/>
            </w:tcBorders>
            <w:shd w:val="clear" w:color="auto" w:fill="auto"/>
            <w:tcMar>
              <w:top w:w="40" w:type="dxa"/>
              <w:left w:w="20" w:type="dxa"/>
              <w:bottom w:w="40" w:type="dxa"/>
              <w:right w:w="0" w:type="dxa"/>
            </w:tcMar>
            <w:vAlign w:val="bottom"/>
          </w:tcPr>
          <w:p w14:paraId="669C5C5C" w14:textId="77777777" w:rsidR="00066C63" w:rsidRDefault="009656F6">
            <w:pPr>
              <w:jc w:val="right"/>
              <w:textAlignment w:val="bottom"/>
            </w:pPr>
            <w:r>
              <w:rPr>
                <w:rFonts w:ascii="Arial" w:eastAsia="宋体" w:hAnsi="Arial" w:cs="Arial"/>
                <w:color w:val="000000"/>
                <w:sz w:val="17"/>
                <w:szCs w:val="17"/>
              </w:rPr>
              <w:t>— </w:t>
            </w:r>
          </w:p>
        </w:tc>
        <w:tc>
          <w:tcPr>
            <w:tcW w:w="0" w:type="auto"/>
            <w:tcBorders>
              <w:top w:val="single" w:sz="8" w:space="0" w:color="B6B6B6"/>
            </w:tcBorders>
            <w:shd w:val="clear" w:color="auto" w:fill="auto"/>
            <w:tcMar>
              <w:top w:w="40" w:type="dxa"/>
              <w:left w:w="0" w:type="dxa"/>
              <w:bottom w:w="40" w:type="dxa"/>
              <w:right w:w="20" w:type="dxa"/>
            </w:tcMar>
            <w:vAlign w:val="bottom"/>
          </w:tcPr>
          <w:p w14:paraId="669C5C5D" w14:textId="77777777" w:rsidR="00066C63" w:rsidRDefault="00066C63">
            <w:pPr>
              <w:jc w:val="right"/>
              <w:rPr>
                <w:rFonts w:ascii="宋体"/>
              </w:rPr>
            </w:pPr>
          </w:p>
        </w:tc>
      </w:tr>
      <w:tr w:rsidR="00066C63" w14:paraId="669C5C65" w14:textId="77777777">
        <w:tc>
          <w:tcPr>
            <w:tcW w:w="0" w:type="auto"/>
            <w:gridSpan w:val="3"/>
            <w:tcBorders>
              <w:top w:val="single" w:sz="8" w:space="0" w:color="B6B6B6"/>
            </w:tcBorders>
            <w:shd w:val="clear" w:color="auto" w:fill="auto"/>
            <w:tcMar>
              <w:top w:w="40" w:type="dxa"/>
              <w:left w:w="20" w:type="dxa"/>
              <w:bottom w:w="40" w:type="dxa"/>
              <w:right w:w="20" w:type="dxa"/>
            </w:tcMar>
            <w:vAlign w:val="bottom"/>
          </w:tcPr>
          <w:p w14:paraId="669C5C5F" w14:textId="77777777" w:rsidR="00066C63" w:rsidRDefault="009656F6">
            <w:pPr>
              <w:textAlignment w:val="bottom"/>
            </w:pPr>
            <w:r>
              <w:rPr>
                <w:rFonts w:ascii="Arial" w:eastAsia="宋体" w:hAnsi="Arial" w:cs="Arial"/>
                <w:color w:val="000000"/>
                <w:sz w:val="17"/>
                <w:szCs w:val="17"/>
              </w:rPr>
              <w:t>Class B — 1,274 and 1,243 shares outstanding</w:t>
            </w:r>
          </w:p>
        </w:tc>
        <w:tc>
          <w:tcPr>
            <w:tcW w:w="0" w:type="auto"/>
            <w:gridSpan w:val="2"/>
            <w:tcBorders>
              <w:top w:val="single" w:sz="8" w:space="0" w:color="B6B6B6"/>
            </w:tcBorders>
            <w:shd w:val="clear" w:color="auto" w:fill="FFF1E7"/>
            <w:tcMar>
              <w:top w:w="40" w:type="dxa"/>
              <w:left w:w="20" w:type="dxa"/>
              <w:bottom w:w="40" w:type="dxa"/>
              <w:right w:w="0" w:type="dxa"/>
            </w:tcMar>
            <w:vAlign w:val="bottom"/>
          </w:tcPr>
          <w:p w14:paraId="669C5C60" w14:textId="77777777" w:rsidR="00066C63" w:rsidRDefault="009656F6">
            <w:pPr>
              <w:jc w:val="right"/>
              <w:textAlignment w:val="bottom"/>
            </w:pPr>
            <w:r>
              <w:rPr>
                <w:rFonts w:ascii="Arial" w:eastAsia="宋体" w:hAnsi="Arial" w:cs="Arial"/>
                <w:color w:val="000000"/>
                <w:sz w:val="17"/>
                <w:szCs w:val="17"/>
              </w:rPr>
              <w:t>3 </w:t>
            </w:r>
          </w:p>
        </w:tc>
        <w:tc>
          <w:tcPr>
            <w:tcW w:w="0" w:type="auto"/>
            <w:tcBorders>
              <w:top w:val="single" w:sz="8" w:space="0" w:color="B6B6B6"/>
            </w:tcBorders>
            <w:shd w:val="clear" w:color="auto" w:fill="FFF1E7"/>
            <w:tcMar>
              <w:top w:w="40" w:type="dxa"/>
              <w:left w:w="0" w:type="dxa"/>
              <w:bottom w:w="40" w:type="dxa"/>
              <w:right w:w="20" w:type="dxa"/>
            </w:tcMar>
            <w:vAlign w:val="bottom"/>
          </w:tcPr>
          <w:p w14:paraId="669C5C61" w14:textId="77777777" w:rsidR="00066C63" w:rsidRDefault="00066C63">
            <w:pPr>
              <w:jc w:val="right"/>
              <w:rPr>
                <w:rFonts w:ascii="宋体"/>
              </w:rPr>
            </w:pPr>
          </w:p>
        </w:tc>
        <w:tc>
          <w:tcPr>
            <w:tcW w:w="0" w:type="auto"/>
            <w:gridSpan w:val="3"/>
            <w:tcBorders>
              <w:top w:val="single" w:sz="8" w:space="0" w:color="B6B6B6"/>
            </w:tcBorders>
            <w:shd w:val="clear" w:color="auto" w:fill="auto"/>
            <w:tcMar>
              <w:top w:w="0" w:type="dxa"/>
              <w:left w:w="20" w:type="dxa"/>
              <w:bottom w:w="0" w:type="dxa"/>
              <w:right w:w="20" w:type="dxa"/>
            </w:tcMar>
          </w:tcPr>
          <w:p w14:paraId="669C5C62" w14:textId="77777777" w:rsidR="00066C63" w:rsidRDefault="00066C63">
            <w:pPr>
              <w:rPr>
                <w:rFonts w:ascii="宋体"/>
              </w:rPr>
            </w:pPr>
          </w:p>
        </w:tc>
        <w:tc>
          <w:tcPr>
            <w:tcW w:w="0" w:type="auto"/>
            <w:gridSpan w:val="2"/>
            <w:tcBorders>
              <w:top w:val="single" w:sz="8" w:space="0" w:color="B6B6B6"/>
            </w:tcBorders>
            <w:shd w:val="clear" w:color="auto" w:fill="auto"/>
            <w:tcMar>
              <w:top w:w="40" w:type="dxa"/>
              <w:left w:w="20" w:type="dxa"/>
              <w:bottom w:w="40" w:type="dxa"/>
              <w:right w:w="0" w:type="dxa"/>
            </w:tcMar>
            <w:vAlign w:val="bottom"/>
          </w:tcPr>
          <w:p w14:paraId="669C5C63" w14:textId="77777777" w:rsidR="00066C63" w:rsidRDefault="009656F6">
            <w:pPr>
              <w:jc w:val="right"/>
              <w:textAlignment w:val="bottom"/>
            </w:pPr>
            <w:r>
              <w:rPr>
                <w:rFonts w:ascii="Arial" w:eastAsia="宋体" w:hAnsi="Arial" w:cs="Arial"/>
                <w:color w:val="000000"/>
                <w:sz w:val="17"/>
                <w:szCs w:val="17"/>
              </w:rPr>
              <w:t>3 </w:t>
            </w:r>
          </w:p>
        </w:tc>
        <w:tc>
          <w:tcPr>
            <w:tcW w:w="0" w:type="auto"/>
            <w:tcBorders>
              <w:top w:val="single" w:sz="8" w:space="0" w:color="B6B6B6"/>
            </w:tcBorders>
            <w:shd w:val="clear" w:color="auto" w:fill="auto"/>
            <w:tcMar>
              <w:top w:w="40" w:type="dxa"/>
              <w:left w:w="0" w:type="dxa"/>
              <w:bottom w:w="40" w:type="dxa"/>
              <w:right w:w="20" w:type="dxa"/>
            </w:tcMar>
            <w:vAlign w:val="bottom"/>
          </w:tcPr>
          <w:p w14:paraId="669C5C64" w14:textId="77777777" w:rsidR="00066C63" w:rsidRDefault="00066C63">
            <w:pPr>
              <w:jc w:val="right"/>
              <w:rPr>
                <w:rFonts w:ascii="宋体"/>
              </w:rPr>
            </w:pPr>
          </w:p>
        </w:tc>
      </w:tr>
      <w:tr w:rsidR="00066C63" w14:paraId="669C5C6C" w14:textId="77777777">
        <w:tc>
          <w:tcPr>
            <w:tcW w:w="0" w:type="auto"/>
            <w:gridSpan w:val="3"/>
            <w:tcBorders>
              <w:top w:val="single" w:sz="8" w:space="0" w:color="B6B6B6"/>
            </w:tcBorders>
            <w:shd w:val="clear" w:color="auto" w:fill="auto"/>
            <w:tcMar>
              <w:top w:w="40" w:type="dxa"/>
              <w:left w:w="155" w:type="dxa"/>
              <w:bottom w:w="40" w:type="dxa"/>
              <w:right w:w="20" w:type="dxa"/>
            </w:tcMar>
            <w:vAlign w:val="bottom"/>
          </w:tcPr>
          <w:p w14:paraId="669C5C66" w14:textId="77777777" w:rsidR="00066C63" w:rsidRDefault="009656F6">
            <w:pPr>
              <w:textAlignment w:val="bottom"/>
            </w:pPr>
            <w:r>
              <w:rPr>
                <w:rFonts w:ascii="Arial" w:eastAsia="宋体" w:hAnsi="Arial" w:cs="Arial"/>
                <w:color w:val="000000"/>
                <w:sz w:val="17"/>
                <w:szCs w:val="17"/>
              </w:rPr>
              <w:t>Capital in excess of stated value</w:t>
            </w:r>
          </w:p>
        </w:tc>
        <w:tc>
          <w:tcPr>
            <w:tcW w:w="0" w:type="auto"/>
            <w:gridSpan w:val="2"/>
            <w:tcBorders>
              <w:top w:val="single" w:sz="8" w:space="0" w:color="B6B6B6"/>
            </w:tcBorders>
            <w:shd w:val="clear" w:color="auto" w:fill="FFF1E7"/>
            <w:tcMar>
              <w:top w:w="40" w:type="dxa"/>
              <w:left w:w="20" w:type="dxa"/>
              <w:bottom w:w="40" w:type="dxa"/>
              <w:right w:w="0" w:type="dxa"/>
            </w:tcMar>
            <w:vAlign w:val="bottom"/>
          </w:tcPr>
          <w:p w14:paraId="669C5C67" w14:textId="77777777" w:rsidR="00066C63" w:rsidRDefault="009656F6">
            <w:pPr>
              <w:jc w:val="right"/>
              <w:textAlignment w:val="bottom"/>
            </w:pPr>
            <w:r>
              <w:rPr>
                <w:rFonts w:ascii="Arial" w:eastAsia="宋体" w:hAnsi="Arial" w:cs="Arial"/>
                <w:color w:val="000000"/>
                <w:sz w:val="17"/>
                <w:szCs w:val="17"/>
              </w:rPr>
              <w:t>9,645 </w:t>
            </w:r>
          </w:p>
        </w:tc>
        <w:tc>
          <w:tcPr>
            <w:tcW w:w="0" w:type="auto"/>
            <w:tcBorders>
              <w:top w:val="single" w:sz="8" w:space="0" w:color="B6B6B6"/>
            </w:tcBorders>
            <w:shd w:val="clear" w:color="auto" w:fill="FFF1E7"/>
            <w:tcMar>
              <w:top w:w="40" w:type="dxa"/>
              <w:left w:w="0" w:type="dxa"/>
              <w:bottom w:w="40" w:type="dxa"/>
              <w:right w:w="20" w:type="dxa"/>
            </w:tcMar>
            <w:vAlign w:val="bottom"/>
          </w:tcPr>
          <w:p w14:paraId="669C5C68" w14:textId="77777777" w:rsidR="00066C63" w:rsidRDefault="00066C63">
            <w:pPr>
              <w:jc w:val="right"/>
              <w:rPr>
                <w:rFonts w:ascii="宋体"/>
              </w:rPr>
            </w:pPr>
          </w:p>
        </w:tc>
        <w:tc>
          <w:tcPr>
            <w:tcW w:w="0" w:type="auto"/>
            <w:gridSpan w:val="3"/>
            <w:tcBorders>
              <w:top w:val="single" w:sz="8" w:space="0" w:color="B6B6B6"/>
            </w:tcBorders>
            <w:shd w:val="clear" w:color="auto" w:fill="auto"/>
            <w:tcMar>
              <w:top w:w="0" w:type="dxa"/>
              <w:left w:w="20" w:type="dxa"/>
              <w:bottom w:w="0" w:type="dxa"/>
              <w:right w:w="20" w:type="dxa"/>
            </w:tcMar>
          </w:tcPr>
          <w:p w14:paraId="669C5C69" w14:textId="77777777" w:rsidR="00066C63" w:rsidRDefault="00066C63">
            <w:pPr>
              <w:rPr>
                <w:rFonts w:ascii="宋体"/>
              </w:rPr>
            </w:pPr>
          </w:p>
        </w:tc>
        <w:tc>
          <w:tcPr>
            <w:tcW w:w="0" w:type="auto"/>
            <w:gridSpan w:val="2"/>
            <w:tcBorders>
              <w:top w:val="single" w:sz="8" w:space="0" w:color="B6B6B6"/>
            </w:tcBorders>
            <w:shd w:val="clear" w:color="auto" w:fill="auto"/>
            <w:tcMar>
              <w:top w:w="40" w:type="dxa"/>
              <w:left w:w="20" w:type="dxa"/>
              <w:bottom w:w="40" w:type="dxa"/>
              <w:right w:w="0" w:type="dxa"/>
            </w:tcMar>
            <w:vAlign w:val="bottom"/>
          </w:tcPr>
          <w:p w14:paraId="669C5C6A" w14:textId="77777777" w:rsidR="00066C63" w:rsidRDefault="009656F6">
            <w:pPr>
              <w:jc w:val="right"/>
              <w:textAlignment w:val="bottom"/>
            </w:pPr>
            <w:r>
              <w:rPr>
                <w:rFonts w:ascii="Arial" w:eastAsia="宋体" w:hAnsi="Arial" w:cs="Arial"/>
                <w:color w:val="000000"/>
                <w:sz w:val="17"/>
                <w:szCs w:val="17"/>
              </w:rPr>
              <w:t>8,299 </w:t>
            </w:r>
          </w:p>
        </w:tc>
        <w:tc>
          <w:tcPr>
            <w:tcW w:w="0" w:type="auto"/>
            <w:tcBorders>
              <w:top w:val="single" w:sz="8" w:space="0" w:color="B6B6B6"/>
            </w:tcBorders>
            <w:shd w:val="clear" w:color="auto" w:fill="auto"/>
            <w:tcMar>
              <w:top w:w="40" w:type="dxa"/>
              <w:left w:w="0" w:type="dxa"/>
              <w:bottom w:w="40" w:type="dxa"/>
              <w:right w:w="20" w:type="dxa"/>
            </w:tcMar>
            <w:vAlign w:val="bottom"/>
          </w:tcPr>
          <w:p w14:paraId="669C5C6B" w14:textId="77777777" w:rsidR="00066C63" w:rsidRDefault="00066C63">
            <w:pPr>
              <w:jc w:val="right"/>
              <w:rPr>
                <w:rFonts w:ascii="宋体"/>
              </w:rPr>
            </w:pPr>
          </w:p>
        </w:tc>
      </w:tr>
      <w:tr w:rsidR="00066C63" w14:paraId="669C5C73" w14:textId="77777777">
        <w:tc>
          <w:tcPr>
            <w:tcW w:w="0" w:type="auto"/>
            <w:gridSpan w:val="3"/>
            <w:tcBorders>
              <w:top w:val="single" w:sz="8" w:space="0" w:color="B6B6B6"/>
            </w:tcBorders>
            <w:shd w:val="clear" w:color="auto" w:fill="auto"/>
            <w:tcMar>
              <w:top w:w="40" w:type="dxa"/>
              <w:left w:w="155" w:type="dxa"/>
              <w:bottom w:w="40" w:type="dxa"/>
              <w:right w:w="20" w:type="dxa"/>
            </w:tcMar>
            <w:vAlign w:val="bottom"/>
          </w:tcPr>
          <w:p w14:paraId="669C5C6D" w14:textId="77777777" w:rsidR="00066C63" w:rsidRDefault="009656F6">
            <w:pPr>
              <w:textAlignment w:val="bottom"/>
            </w:pPr>
            <w:r>
              <w:rPr>
                <w:rFonts w:ascii="Arial" w:eastAsia="宋体" w:hAnsi="Arial" w:cs="Arial"/>
                <w:color w:val="000000"/>
                <w:sz w:val="17"/>
                <w:szCs w:val="17"/>
              </w:rPr>
              <w:t>Accumulated other comprehensive income (loss)</w:t>
            </w:r>
          </w:p>
        </w:tc>
        <w:tc>
          <w:tcPr>
            <w:tcW w:w="0" w:type="auto"/>
            <w:gridSpan w:val="2"/>
            <w:tcBorders>
              <w:top w:val="single" w:sz="8" w:space="0" w:color="B6B6B6"/>
            </w:tcBorders>
            <w:shd w:val="clear" w:color="auto" w:fill="FFF1E7"/>
            <w:tcMar>
              <w:top w:w="40" w:type="dxa"/>
              <w:left w:w="20" w:type="dxa"/>
              <w:bottom w:w="40" w:type="dxa"/>
              <w:right w:w="0" w:type="dxa"/>
            </w:tcMar>
            <w:vAlign w:val="bottom"/>
          </w:tcPr>
          <w:p w14:paraId="669C5C6E" w14:textId="77777777" w:rsidR="00066C63" w:rsidRDefault="009656F6">
            <w:pPr>
              <w:jc w:val="right"/>
              <w:textAlignment w:val="bottom"/>
            </w:pPr>
            <w:r>
              <w:rPr>
                <w:rFonts w:ascii="Arial" w:eastAsia="宋体" w:hAnsi="Arial" w:cs="Arial"/>
                <w:color w:val="000000"/>
                <w:sz w:val="17"/>
                <w:szCs w:val="17"/>
              </w:rPr>
              <w:t>(446)</w:t>
            </w:r>
          </w:p>
        </w:tc>
        <w:tc>
          <w:tcPr>
            <w:tcW w:w="0" w:type="auto"/>
            <w:tcBorders>
              <w:top w:val="single" w:sz="8" w:space="0" w:color="B6B6B6"/>
            </w:tcBorders>
            <w:shd w:val="clear" w:color="auto" w:fill="FFF1E7"/>
            <w:tcMar>
              <w:top w:w="40" w:type="dxa"/>
              <w:left w:w="0" w:type="dxa"/>
              <w:bottom w:w="40" w:type="dxa"/>
              <w:right w:w="20" w:type="dxa"/>
            </w:tcMar>
            <w:vAlign w:val="bottom"/>
          </w:tcPr>
          <w:p w14:paraId="669C5C6F" w14:textId="77777777" w:rsidR="00066C63" w:rsidRDefault="00066C63">
            <w:pPr>
              <w:jc w:val="right"/>
              <w:rPr>
                <w:rFonts w:ascii="宋体"/>
              </w:rPr>
            </w:pPr>
          </w:p>
        </w:tc>
        <w:tc>
          <w:tcPr>
            <w:tcW w:w="0" w:type="auto"/>
            <w:gridSpan w:val="3"/>
            <w:tcBorders>
              <w:top w:val="single" w:sz="8" w:space="0" w:color="B6B6B6"/>
            </w:tcBorders>
            <w:shd w:val="clear" w:color="auto" w:fill="auto"/>
            <w:tcMar>
              <w:top w:w="0" w:type="dxa"/>
              <w:left w:w="20" w:type="dxa"/>
              <w:bottom w:w="0" w:type="dxa"/>
              <w:right w:w="20" w:type="dxa"/>
            </w:tcMar>
          </w:tcPr>
          <w:p w14:paraId="669C5C70" w14:textId="77777777" w:rsidR="00066C63" w:rsidRDefault="00066C63">
            <w:pPr>
              <w:rPr>
                <w:rFonts w:ascii="宋体"/>
              </w:rPr>
            </w:pPr>
          </w:p>
        </w:tc>
        <w:tc>
          <w:tcPr>
            <w:tcW w:w="0" w:type="auto"/>
            <w:gridSpan w:val="2"/>
            <w:tcBorders>
              <w:top w:val="single" w:sz="8" w:space="0" w:color="B6B6B6"/>
            </w:tcBorders>
            <w:shd w:val="clear" w:color="auto" w:fill="auto"/>
            <w:tcMar>
              <w:top w:w="40" w:type="dxa"/>
              <w:left w:w="20" w:type="dxa"/>
              <w:bottom w:w="40" w:type="dxa"/>
              <w:right w:w="0" w:type="dxa"/>
            </w:tcMar>
            <w:vAlign w:val="bottom"/>
          </w:tcPr>
          <w:p w14:paraId="669C5C71" w14:textId="77777777" w:rsidR="00066C63" w:rsidRDefault="009656F6">
            <w:pPr>
              <w:jc w:val="right"/>
              <w:textAlignment w:val="bottom"/>
            </w:pPr>
            <w:r>
              <w:rPr>
                <w:rFonts w:ascii="Arial" w:eastAsia="宋体" w:hAnsi="Arial" w:cs="Arial"/>
                <w:color w:val="000000"/>
                <w:sz w:val="17"/>
                <w:szCs w:val="17"/>
              </w:rPr>
              <w:t>(56)</w:t>
            </w:r>
          </w:p>
        </w:tc>
        <w:tc>
          <w:tcPr>
            <w:tcW w:w="0" w:type="auto"/>
            <w:tcBorders>
              <w:top w:val="single" w:sz="8" w:space="0" w:color="B6B6B6"/>
            </w:tcBorders>
            <w:shd w:val="clear" w:color="auto" w:fill="auto"/>
            <w:tcMar>
              <w:top w:w="40" w:type="dxa"/>
              <w:left w:w="0" w:type="dxa"/>
              <w:bottom w:w="40" w:type="dxa"/>
              <w:right w:w="20" w:type="dxa"/>
            </w:tcMar>
            <w:vAlign w:val="bottom"/>
          </w:tcPr>
          <w:p w14:paraId="669C5C72" w14:textId="77777777" w:rsidR="00066C63" w:rsidRDefault="00066C63">
            <w:pPr>
              <w:jc w:val="right"/>
              <w:rPr>
                <w:rFonts w:ascii="宋体"/>
              </w:rPr>
            </w:pPr>
          </w:p>
        </w:tc>
      </w:tr>
      <w:tr w:rsidR="00066C63" w14:paraId="669C5C7A" w14:textId="77777777">
        <w:tc>
          <w:tcPr>
            <w:tcW w:w="0" w:type="auto"/>
            <w:gridSpan w:val="3"/>
            <w:tcBorders>
              <w:top w:val="single" w:sz="8" w:space="0" w:color="B6B6B6"/>
            </w:tcBorders>
            <w:shd w:val="clear" w:color="auto" w:fill="auto"/>
            <w:tcMar>
              <w:top w:w="40" w:type="dxa"/>
              <w:left w:w="155" w:type="dxa"/>
              <w:bottom w:w="40" w:type="dxa"/>
              <w:right w:w="20" w:type="dxa"/>
            </w:tcMar>
            <w:vAlign w:val="bottom"/>
          </w:tcPr>
          <w:p w14:paraId="669C5C74" w14:textId="77777777" w:rsidR="00066C63" w:rsidRDefault="009656F6">
            <w:pPr>
              <w:textAlignment w:val="bottom"/>
            </w:pPr>
            <w:r>
              <w:rPr>
                <w:rFonts w:ascii="Arial" w:eastAsia="宋体" w:hAnsi="Arial" w:cs="Arial"/>
                <w:color w:val="000000"/>
                <w:sz w:val="17"/>
                <w:szCs w:val="17"/>
              </w:rPr>
              <w:t>Retained earnings (deficit)</w:t>
            </w:r>
          </w:p>
        </w:tc>
        <w:tc>
          <w:tcPr>
            <w:tcW w:w="0" w:type="auto"/>
            <w:gridSpan w:val="2"/>
            <w:tcBorders>
              <w:top w:val="single" w:sz="8" w:space="0" w:color="B6B6B6"/>
            </w:tcBorders>
            <w:shd w:val="clear" w:color="auto" w:fill="FFF1E7"/>
            <w:tcMar>
              <w:top w:w="40" w:type="dxa"/>
              <w:left w:w="20" w:type="dxa"/>
              <w:bottom w:w="40" w:type="dxa"/>
              <w:right w:w="0" w:type="dxa"/>
            </w:tcMar>
            <w:vAlign w:val="bottom"/>
          </w:tcPr>
          <w:p w14:paraId="669C5C75" w14:textId="77777777" w:rsidR="00066C63" w:rsidRDefault="009656F6">
            <w:pPr>
              <w:jc w:val="right"/>
              <w:textAlignment w:val="bottom"/>
            </w:pPr>
            <w:r>
              <w:rPr>
                <w:rFonts w:ascii="Arial" w:eastAsia="宋体" w:hAnsi="Arial" w:cs="Arial"/>
                <w:color w:val="000000"/>
                <w:sz w:val="17"/>
                <w:szCs w:val="17"/>
              </w:rPr>
              <w:t>2,729 </w:t>
            </w:r>
          </w:p>
        </w:tc>
        <w:tc>
          <w:tcPr>
            <w:tcW w:w="0" w:type="auto"/>
            <w:tcBorders>
              <w:top w:val="single" w:sz="8" w:space="0" w:color="B6B6B6"/>
            </w:tcBorders>
            <w:shd w:val="clear" w:color="auto" w:fill="FFF1E7"/>
            <w:tcMar>
              <w:top w:w="40" w:type="dxa"/>
              <w:left w:w="0" w:type="dxa"/>
              <w:bottom w:w="40" w:type="dxa"/>
              <w:right w:w="20" w:type="dxa"/>
            </w:tcMar>
            <w:vAlign w:val="bottom"/>
          </w:tcPr>
          <w:p w14:paraId="669C5C76" w14:textId="77777777" w:rsidR="00066C63" w:rsidRDefault="00066C63">
            <w:pPr>
              <w:jc w:val="right"/>
              <w:rPr>
                <w:rFonts w:ascii="宋体"/>
              </w:rPr>
            </w:pPr>
          </w:p>
        </w:tc>
        <w:tc>
          <w:tcPr>
            <w:tcW w:w="0" w:type="auto"/>
            <w:gridSpan w:val="3"/>
            <w:tcBorders>
              <w:top w:val="single" w:sz="8" w:space="0" w:color="B6B6B6"/>
            </w:tcBorders>
            <w:shd w:val="clear" w:color="auto" w:fill="auto"/>
            <w:tcMar>
              <w:top w:w="0" w:type="dxa"/>
              <w:left w:w="20" w:type="dxa"/>
              <w:bottom w:w="0" w:type="dxa"/>
              <w:right w:w="20" w:type="dxa"/>
            </w:tcMar>
          </w:tcPr>
          <w:p w14:paraId="669C5C77" w14:textId="77777777" w:rsidR="00066C63" w:rsidRDefault="00066C63">
            <w:pPr>
              <w:rPr>
                <w:rFonts w:ascii="宋体"/>
              </w:rPr>
            </w:pPr>
          </w:p>
        </w:tc>
        <w:tc>
          <w:tcPr>
            <w:tcW w:w="0" w:type="auto"/>
            <w:gridSpan w:val="2"/>
            <w:tcBorders>
              <w:top w:val="single" w:sz="8" w:space="0" w:color="B6B6B6"/>
            </w:tcBorders>
            <w:shd w:val="clear" w:color="auto" w:fill="auto"/>
            <w:tcMar>
              <w:top w:w="40" w:type="dxa"/>
              <w:left w:w="20" w:type="dxa"/>
              <w:bottom w:w="40" w:type="dxa"/>
              <w:right w:w="0" w:type="dxa"/>
            </w:tcMar>
            <w:vAlign w:val="bottom"/>
          </w:tcPr>
          <w:p w14:paraId="669C5C78" w14:textId="77777777" w:rsidR="00066C63" w:rsidRDefault="009656F6">
            <w:pPr>
              <w:jc w:val="right"/>
              <w:textAlignment w:val="bottom"/>
            </w:pPr>
            <w:r>
              <w:rPr>
                <w:rFonts w:ascii="Arial" w:eastAsia="宋体" w:hAnsi="Arial" w:cs="Arial"/>
                <w:color w:val="000000"/>
                <w:sz w:val="17"/>
                <w:szCs w:val="17"/>
              </w:rPr>
              <w:t>(191)</w:t>
            </w:r>
          </w:p>
        </w:tc>
        <w:tc>
          <w:tcPr>
            <w:tcW w:w="0" w:type="auto"/>
            <w:tcBorders>
              <w:top w:val="single" w:sz="8" w:space="0" w:color="B6B6B6"/>
            </w:tcBorders>
            <w:shd w:val="clear" w:color="auto" w:fill="auto"/>
            <w:tcMar>
              <w:top w:w="40" w:type="dxa"/>
              <w:left w:w="0" w:type="dxa"/>
              <w:bottom w:w="40" w:type="dxa"/>
              <w:right w:w="20" w:type="dxa"/>
            </w:tcMar>
            <w:vAlign w:val="bottom"/>
          </w:tcPr>
          <w:p w14:paraId="669C5C79" w14:textId="77777777" w:rsidR="00066C63" w:rsidRDefault="00066C63">
            <w:pPr>
              <w:jc w:val="right"/>
              <w:rPr>
                <w:rFonts w:ascii="宋体"/>
              </w:rPr>
            </w:pPr>
          </w:p>
        </w:tc>
      </w:tr>
      <w:tr w:rsidR="00066C63" w14:paraId="669C5C81"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5C7B" w14:textId="77777777" w:rsidR="00066C63" w:rsidRDefault="009656F6">
            <w:pPr>
              <w:textAlignment w:val="bottom"/>
            </w:pPr>
            <w:r>
              <w:rPr>
                <w:rFonts w:ascii="Arial" w:eastAsia="宋体" w:hAnsi="Arial" w:cs="Arial"/>
                <w:color w:val="000000"/>
                <w:sz w:val="17"/>
                <w:szCs w:val="17"/>
              </w:rPr>
              <w:t xml:space="preserve">Total </w:t>
            </w:r>
            <w:r>
              <w:rPr>
                <w:rFonts w:ascii="Arial" w:eastAsia="宋体" w:hAnsi="Arial" w:cs="Arial"/>
                <w:color w:val="000000"/>
                <w:sz w:val="17"/>
                <w:szCs w:val="17"/>
              </w:rPr>
              <w:t>shareholders' equity</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669C5C7C" w14:textId="77777777" w:rsidR="00066C63" w:rsidRDefault="009656F6">
            <w:pPr>
              <w:jc w:val="right"/>
              <w:textAlignment w:val="bottom"/>
            </w:pPr>
            <w:r>
              <w:rPr>
                <w:rFonts w:ascii="Arial" w:eastAsia="宋体" w:hAnsi="Arial" w:cs="Arial"/>
                <w:color w:val="000000"/>
                <w:sz w:val="17"/>
                <w:szCs w:val="17"/>
              </w:rPr>
              <w:t>11,931 </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5C7D" w14:textId="77777777" w:rsidR="00066C63" w:rsidRDefault="00066C63">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5C7E" w14:textId="77777777" w:rsidR="00066C63" w:rsidRDefault="00066C63">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5C7F" w14:textId="77777777" w:rsidR="00066C63" w:rsidRDefault="009656F6">
            <w:pPr>
              <w:jc w:val="right"/>
              <w:textAlignment w:val="bottom"/>
            </w:pPr>
            <w:r>
              <w:rPr>
                <w:rFonts w:ascii="Arial" w:eastAsia="宋体" w:hAnsi="Arial" w:cs="Arial"/>
                <w:color w:val="000000"/>
                <w:sz w:val="17"/>
                <w:szCs w:val="17"/>
              </w:rPr>
              <w:t>8,055 </w:t>
            </w:r>
          </w:p>
        </w:tc>
        <w:tc>
          <w:tcPr>
            <w:tcW w:w="0" w:type="auto"/>
            <w:tcBorders>
              <w:top w:val="single" w:sz="8" w:space="0" w:color="E87722"/>
            </w:tcBorders>
            <w:shd w:val="clear" w:color="auto" w:fill="auto"/>
            <w:tcMar>
              <w:top w:w="40" w:type="dxa"/>
              <w:left w:w="0" w:type="dxa"/>
              <w:bottom w:w="40" w:type="dxa"/>
              <w:right w:w="20" w:type="dxa"/>
            </w:tcMar>
            <w:vAlign w:val="bottom"/>
          </w:tcPr>
          <w:p w14:paraId="669C5C80" w14:textId="77777777" w:rsidR="00066C63" w:rsidRDefault="00066C63">
            <w:pPr>
              <w:jc w:val="right"/>
              <w:rPr>
                <w:rFonts w:ascii="宋体"/>
              </w:rPr>
            </w:pPr>
          </w:p>
        </w:tc>
      </w:tr>
      <w:tr w:rsidR="00066C63" w14:paraId="669C5C8A"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669C5C82" w14:textId="77777777" w:rsidR="00066C63" w:rsidRDefault="009656F6">
            <w:pPr>
              <w:textAlignment w:val="bottom"/>
            </w:pPr>
            <w:r>
              <w:rPr>
                <w:rFonts w:ascii="Arial" w:eastAsia="宋体" w:hAnsi="Arial" w:cs="Arial"/>
                <w:b/>
                <w:bCs/>
                <w:color w:val="000000"/>
                <w:sz w:val="17"/>
                <w:szCs w:val="17"/>
              </w:rPr>
              <w:t>TOTAL LIABILITIES AND SHAREHOLDERS' EQUITY</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69C5C83"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669C5C84" w14:textId="77777777" w:rsidR="00066C63" w:rsidRDefault="009656F6">
            <w:pPr>
              <w:jc w:val="right"/>
              <w:textAlignment w:val="bottom"/>
            </w:pPr>
            <w:r>
              <w:rPr>
                <w:rFonts w:ascii="Arial" w:eastAsia="宋体" w:hAnsi="Arial" w:cs="Arial"/>
                <w:b/>
                <w:bCs/>
                <w:color w:val="000000"/>
                <w:sz w:val="17"/>
                <w:szCs w:val="17"/>
              </w:rPr>
              <w:t>36,185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69C5C85" w14:textId="77777777" w:rsidR="00066C63" w:rsidRDefault="00066C63">
            <w:pPr>
              <w:jc w:val="right"/>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tcPr>
          <w:p w14:paraId="669C5C86" w14:textId="77777777" w:rsidR="00066C63" w:rsidRDefault="00066C63">
            <w:pPr>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69C5C87"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69C5C88" w14:textId="77777777" w:rsidR="00066C63" w:rsidRDefault="009656F6">
            <w:pPr>
              <w:jc w:val="right"/>
              <w:textAlignment w:val="bottom"/>
            </w:pPr>
            <w:r>
              <w:rPr>
                <w:rFonts w:ascii="Arial" w:eastAsia="宋体" w:hAnsi="Arial" w:cs="Arial"/>
                <w:b/>
                <w:bCs/>
                <w:color w:val="000000"/>
                <w:sz w:val="17"/>
                <w:szCs w:val="17"/>
              </w:rPr>
              <w:t>31,342</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69C5C89" w14:textId="77777777" w:rsidR="00066C63" w:rsidRDefault="00066C63">
            <w:pPr>
              <w:jc w:val="right"/>
              <w:rPr>
                <w:rFonts w:ascii="宋体"/>
              </w:rPr>
            </w:pPr>
          </w:p>
        </w:tc>
      </w:tr>
    </w:tbl>
    <w:p w14:paraId="669C5C8B" w14:textId="77777777" w:rsidR="00066C63" w:rsidRDefault="009656F6">
      <w:pPr>
        <w:spacing w:before="120" w:after="120"/>
      </w:pPr>
      <w:r>
        <w:rPr>
          <w:rFonts w:ascii="Arial" w:eastAsia="宋体" w:hAnsi="Arial" w:cs="Arial"/>
          <w:i/>
          <w:iCs/>
          <w:color w:val="000000"/>
          <w:sz w:val="17"/>
          <w:szCs w:val="17"/>
        </w:rPr>
        <w:t>The accompanying Notes to the Unaudited Condensed Consolidated Financial Statements are an integral part of this statement.</w:t>
      </w:r>
    </w:p>
    <w:p w14:paraId="669C5C8C" w14:textId="77777777" w:rsidR="00066C63" w:rsidRDefault="009656F6">
      <w:pPr>
        <w:spacing w:before="120" w:after="120"/>
        <w:jc w:val="right"/>
      </w:pPr>
      <w:r>
        <w:rPr>
          <w:rFonts w:ascii="Arial" w:eastAsia="宋体" w:hAnsi="Arial" w:cs="Arial"/>
          <w:color w:val="E87722"/>
          <w:sz w:val="17"/>
          <w:szCs w:val="17"/>
        </w:rPr>
        <w:t>3</w:t>
      </w:r>
    </w:p>
    <w:p w14:paraId="669C5C8D" w14:textId="77777777" w:rsidR="00066C63" w:rsidRDefault="009656F6">
      <w:r>
        <w:pict w14:anchorId="669C7E33">
          <v:rect id="_x0000_i1029" style="width:415.3pt;height:1.5pt" o:hralign="center" o:hrstd="t" o:hr="t" fillcolor="#a0a0a0" stroked="f"/>
        </w:pict>
      </w:r>
    </w:p>
    <w:p w14:paraId="669C5C8E" w14:textId="77777777" w:rsidR="00066C63" w:rsidRDefault="00066C63"/>
    <w:p w14:paraId="669C5C8F" w14:textId="77777777" w:rsidR="00066C63" w:rsidRDefault="009656F6">
      <w:hyperlink r:id="rId46" w:anchor="i1e99cb26debe49fe8b698d0f0eb1273a_7" w:history="1">
        <w:r>
          <w:rPr>
            <w:rStyle w:val="a5"/>
            <w:rFonts w:ascii="sans-serif" w:eastAsia="sans-serif" w:hAnsi="sans-serif" w:cs="sans-serif"/>
            <w:sz w:val="17"/>
            <w:szCs w:val="17"/>
          </w:rPr>
          <w:t>Table of Contents</w:t>
        </w:r>
      </w:hyperlink>
    </w:p>
    <w:p w14:paraId="669C5C90" w14:textId="77777777" w:rsidR="00066C63" w:rsidRDefault="00066C63"/>
    <w:p w14:paraId="669C5C91" w14:textId="77777777" w:rsidR="00066C63" w:rsidRDefault="009656F6">
      <w:pPr>
        <w:spacing w:before="300"/>
      </w:pPr>
      <w:r>
        <w:rPr>
          <w:rFonts w:ascii="sans-serif" w:eastAsia="sans-serif" w:hAnsi="sans-serif" w:cs="sans-serif"/>
          <w:b/>
          <w:bCs/>
          <w:color w:val="E87722"/>
          <w:sz w:val="36"/>
          <w:szCs w:val="36"/>
        </w:rPr>
        <w:t>NIKE, INC.</w:t>
      </w:r>
    </w:p>
    <w:p w14:paraId="669C5C92" w14:textId="77777777" w:rsidR="00066C63" w:rsidRDefault="009656F6">
      <w:pPr>
        <w:spacing w:before="120" w:after="120"/>
      </w:pPr>
      <w:r>
        <w:rPr>
          <w:rFonts w:ascii="sans-serif" w:eastAsia="sans-serif" w:hAnsi="sans-serif" w:cs="sans-serif"/>
          <w:b/>
          <w:bCs/>
          <w:color w:val="000000"/>
          <w:sz w:val="28"/>
          <w:szCs w:val="28"/>
        </w:rPr>
        <w:t>UNAUDITED CONDENSED CONSOLIDATED STATEMENTS OF CASH FLOWS</w:t>
      </w:r>
    </w:p>
    <w:tbl>
      <w:tblPr>
        <w:tblW w:w="4992" w:type="pct"/>
        <w:tblCellMar>
          <w:top w:w="15" w:type="dxa"/>
          <w:left w:w="15" w:type="dxa"/>
          <w:bottom w:w="15" w:type="dxa"/>
          <w:right w:w="15" w:type="dxa"/>
        </w:tblCellMar>
        <w:tblLook w:val="04A0" w:firstRow="1" w:lastRow="0" w:firstColumn="1" w:lastColumn="0" w:noHBand="0" w:noVBand="1"/>
      </w:tblPr>
      <w:tblGrid>
        <w:gridCol w:w="44"/>
        <w:gridCol w:w="5801"/>
        <w:gridCol w:w="40"/>
        <w:gridCol w:w="116"/>
        <w:gridCol w:w="1066"/>
        <w:gridCol w:w="37"/>
        <w:gridCol w:w="116"/>
        <w:gridCol w:w="1066"/>
        <w:gridCol w:w="37"/>
      </w:tblGrid>
      <w:tr w:rsidR="00066C63" w14:paraId="669C5C9C" w14:textId="77777777">
        <w:tc>
          <w:tcPr>
            <w:tcW w:w="50" w:type="pct"/>
            <w:shd w:val="clear" w:color="auto" w:fill="auto"/>
          </w:tcPr>
          <w:p w14:paraId="669C5C93" w14:textId="77777777" w:rsidR="00066C63" w:rsidRDefault="00066C63">
            <w:pPr>
              <w:rPr>
                <w:rFonts w:ascii="宋体"/>
              </w:rPr>
            </w:pPr>
          </w:p>
        </w:tc>
        <w:tc>
          <w:tcPr>
            <w:tcW w:w="3507" w:type="pct"/>
            <w:shd w:val="clear" w:color="auto" w:fill="auto"/>
          </w:tcPr>
          <w:p w14:paraId="669C5C94" w14:textId="77777777" w:rsidR="00066C63" w:rsidRDefault="00066C63">
            <w:pPr>
              <w:rPr>
                <w:rFonts w:ascii="宋体"/>
              </w:rPr>
            </w:pPr>
          </w:p>
        </w:tc>
        <w:tc>
          <w:tcPr>
            <w:tcW w:w="5" w:type="pct"/>
            <w:shd w:val="clear" w:color="auto" w:fill="auto"/>
          </w:tcPr>
          <w:p w14:paraId="669C5C95" w14:textId="77777777" w:rsidR="00066C63" w:rsidRDefault="00066C63">
            <w:pPr>
              <w:rPr>
                <w:rFonts w:ascii="宋体"/>
              </w:rPr>
            </w:pPr>
          </w:p>
        </w:tc>
        <w:tc>
          <w:tcPr>
            <w:tcW w:w="50" w:type="pct"/>
            <w:shd w:val="clear" w:color="auto" w:fill="auto"/>
          </w:tcPr>
          <w:p w14:paraId="669C5C96" w14:textId="77777777" w:rsidR="00066C63" w:rsidRDefault="00066C63">
            <w:pPr>
              <w:rPr>
                <w:rFonts w:ascii="宋体"/>
              </w:rPr>
            </w:pPr>
          </w:p>
        </w:tc>
        <w:tc>
          <w:tcPr>
            <w:tcW w:w="663" w:type="pct"/>
            <w:shd w:val="clear" w:color="auto" w:fill="auto"/>
          </w:tcPr>
          <w:p w14:paraId="669C5C97" w14:textId="77777777" w:rsidR="00066C63" w:rsidRDefault="00066C63">
            <w:pPr>
              <w:rPr>
                <w:rFonts w:ascii="宋体"/>
              </w:rPr>
            </w:pPr>
          </w:p>
        </w:tc>
        <w:tc>
          <w:tcPr>
            <w:tcW w:w="5" w:type="pct"/>
            <w:shd w:val="clear" w:color="auto" w:fill="auto"/>
          </w:tcPr>
          <w:p w14:paraId="669C5C98" w14:textId="77777777" w:rsidR="00066C63" w:rsidRDefault="00066C63">
            <w:pPr>
              <w:rPr>
                <w:rFonts w:ascii="宋体"/>
              </w:rPr>
            </w:pPr>
          </w:p>
        </w:tc>
        <w:tc>
          <w:tcPr>
            <w:tcW w:w="50" w:type="pct"/>
            <w:shd w:val="clear" w:color="auto" w:fill="auto"/>
          </w:tcPr>
          <w:p w14:paraId="669C5C99" w14:textId="77777777" w:rsidR="00066C63" w:rsidRDefault="00066C63">
            <w:pPr>
              <w:rPr>
                <w:rFonts w:ascii="宋体"/>
              </w:rPr>
            </w:pPr>
          </w:p>
        </w:tc>
        <w:tc>
          <w:tcPr>
            <w:tcW w:w="663" w:type="pct"/>
            <w:shd w:val="clear" w:color="auto" w:fill="auto"/>
          </w:tcPr>
          <w:p w14:paraId="669C5C9A" w14:textId="77777777" w:rsidR="00066C63" w:rsidRDefault="00066C63">
            <w:pPr>
              <w:rPr>
                <w:rFonts w:ascii="宋体"/>
              </w:rPr>
            </w:pPr>
          </w:p>
        </w:tc>
        <w:tc>
          <w:tcPr>
            <w:tcW w:w="5" w:type="pct"/>
            <w:shd w:val="clear" w:color="auto" w:fill="auto"/>
          </w:tcPr>
          <w:p w14:paraId="669C5C9B" w14:textId="77777777" w:rsidR="00066C63" w:rsidRDefault="00066C63">
            <w:pPr>
              <w:rPr>
                <w:rFonts w:ascii="宋体"/>
              </w:rPr>
            </w:pPr>
          </w:p>
        </w:tc>
      </w:tr>
      <w:tr w:rsidR="00066C63" w14:paraId="669C5C9F" w14:textId="77777777">
        <w:tc>
          <w:tcPr>
            <w:tcW w:w="0" w:type="auto"/>
            <w:gridSpan w:val="3"/>
            <w:shd w:val="clear" w:color="auto" w:fill="auto"/>
            <w:tcMar>
              <w:top w:w="0" w:type="dxa"/>
              <w:left w:w="20" w:type="dxa"/>
              <w:bottom w:w="0" w:type="dxa"/>
              <w:right w:w="20" w:type="dxa"/>
            </w:tcMar>
          </w:tcPr>
          <w:p w14:paraId="669C5C9D" w14:textId="77777777" w:rsidR="00066C63" w:rsidRDefault="00066C63">
            <w:pPr>
              <w:rPr>
                <w:rFonts w:ascii="宋体"/>
              </w:rPr>
            </w:pPr>
          </w:p>
        </w:tc>
        <w:tc>
          <w:tcPr>
            <w:tcW w:w="0" w:type="auto"/>
            <w:gridSpan w:val="6"/>
            <w:shd w:val="clear" w:color="auto" w:fill="auto"/>
            <w:tcMar>
              <w:top w:w="40" w:type="dxa"/>
              <w:left w:w="20" w:type="dxa"/>
              <w:bottom w:w="40" w:type="dxa"/>
              <w:right w:w="20" w:type="dxa"/>
            </w:tcMar>
            <w:vAlign w:val="bottom"/>
          </w:tcPr>
          <w:p w14:paraId="669C5C9E" w14:textId="77777777" w:rsidR="00066C63" w:rsidRDefault="009656F6">
            <w:pPr>
              <w:jc w:val="center"/>
              <w:textAlignment w:val="bottom"/>
            </w:pPr>
            <w:r>
              <w:rPr>
                <w:rFonts w:ascii="sans-serif" w:eastAsia="sans-serif" w:hAnsi="sans-serif" w:cs="sans-serif"/>
                <w:b/>
                <w:bCs/>
                <w:color w:val="000000"/>
                <w:sz w:val="17"/>
                <w:szCs w:val="17"/>
              </w:rPr>
              <w:t xml:space="preserve">NINE MONTHS ENDED </w:t>
            </w:r>
          </w:p>
        </w:tc>
      </w:tr>
      <w:tr w:rsidR="00066C63" w14:paraId="669C5CA3" w14:textId="77777777">
        <w:tc>
          <w:tcPr>
            <w:tcW w:w="0" w:type="auto"/>
            <w:gridSpan w:val="3"/>
            <w:shd w:val="clear" w:color="auto" w:fill="auto"/>
            <w:tcMar>
              <w:top w:w="40" w:type="dxa"/>
              <w:left w:w="20" w:type="dxa"/>
              <w:bottom w:w="40" w:type="dxa"/>
              <w:right w:w="20" w:type="dxa"/>
            </w:tcMar>
            <w:vAlign w:val="bottom"/>
          </w:tcPr>
          <w:p w14:paraId="669C5CA0" w14:textId="77777777" w:rsidR="00066C63" w:rsidRDefault="009656F6">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5CA1" w14:textId="77777777" w:rsidR="00066C63" w:rsidRDefault="009656F6">
            <w:pPr>
              <w:jc w:val="center"/>
              <w:textAlignment w:val="bottom"/>
            </w:pPr>
            <w:r>
              <w:rPr>
                <w:rFonts w:ascii="sans-serif" w:eastAsia="sans-serif" w:hAnsi="sans-serif" w:cs="sans-serif"/>
                <w:b/>
                <w:bCs/>
                <w:color w:val="000000"/>
                <w:sz w:val="17"/>
                <w:szCs w:val="17"/>
              </w:rPr>
              <w:t>FEBRUARY 28, 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5CA2" w14:textId="77777777" w:rsidR="00066C63" w:rsidRDefault="009656F6">
            <w:pPr>
              <w:jc w:val="center"/>
              <w:textAlignment w:val="bottom"/>
            </w:pPr>
            <w:r>
              <w:rPr>
                <w:rFonts w:ascii="sans-serif" w:eastAsia="sans-serif" w:hAnsi="sans-serif" w:cs="sans-serif"/>
                <w:b/>
                <w:bCs/>
                <w:color w:val="000000"/>
                <w:sz w:val="17"/>
                <w:szCs w:val="17"/>
              </w:rPr>
              <w:t>FEBRUARY 29, 2020</w:t>
            </w:r>
          </w:p>
        </w:tc>
      </w:tr>
      <w:tr w:rsidR="00066C63" w14:paraId="669C5CA7"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5CA4" w14:textId="77777777" w:rsidR="00066C63" w:rsidRDefault="009656F6">
            <w:pPr>
              <w:textAlignment w:val="bottom"/>
            </w:pPr>
            <w:r>
              <w:rPr>
                <w:rFonts w:ascii="Arial" w:eastAsia="宋体" w:hAnsi="Arial" w:cs="Arial"/>
                <w:b/>
                <w:bCs/>
                <w:color w:val="000000"/>
                <w:sz w:val="17"/>
                <w:szCs w:val="17"/>
              </w:rPr>
              <w:t>Cash provided (used) by operations:</w:t>
            </w:r>
          </w:p>
        </w:tc>
        <w:tc>
          <w:tcPr>
            <w:tcW w:w="0" w:type="auto"/>
            <w:gridSpan w:val="3"/>
            <w:tcBorders>
              <w:top w:val="single" w:sz="8" w:space="0" w:color="E87722"/>
            </w:tcBorders>
            <w:shd w:val="clear" w:color="auto" w:fill="FFF1E7"/>
            <w:tcMar>
              <w:top w:w="0" w:type="dxa"/>
              <w:left w:w="20" w:type="dxa"/>
              <w:bottom w:w="0" w:type="dxa"/>
              <w:right w:w="20" w:type="dxa"/>
            </w:tcMar>
          </w:tcPr>
          <w:p w14:paraId="669C5CA5"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5CA6" w14:textId="77777777" w:rsidR="00066C63" w:rsidRDefault="00066C63">
            <w:pPr>
              <w:rPr>
                <w:rFonts w:ascii="宋体"/>
              </w:rPr>
            </w:pPr>
          </w:p>
        </w:tc>
      </w:tr>
      <w:tr w:rsidR="00066C63" w14:paraId="669C5CAF"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5CA8" w14:textId="77777777" w:rsidR="00066C63" w:rsidRDefault="009656F6">
            <w:pPr>
              <w:textAlignment w:val="bottom"/>
            </w:pPr>
            <w:r>
              <w:rPr>
                <w:rFonts w:ascii="Arial" w:eastAsia="宋体" w:hAnsi="Arial" w:cs="Arial"/>
                <w:color w:val="000000"/>
                <w:sz w:val="17"/>
                <w:szCs w:val="17"/>
              </w:rPr>
              <w:t>Net income</w:t>
            </w:r>
          </w:p>
        </w:tc>
        <w:tc>
          <w:tcPr>
            <w:tcW w:w="0" w:type="auto"/>
            <w:tcBorders>
              <w:top w:val="single" w:sz="8" w:space="0" w:color="808080"/>
            </w:tcBorders>
            <w:shd w:val="clear" w:color="auto" w:fill="FFF1E7"/>
            <w:tcMar>
              <w:top w:w="40" w:type="dxa"/>
              <w:left w:w="20" w:type="dxa"/>
              <w:bottom w:w="40" w:type="dxa"/>
              <w:right w:w="0" w:type="dxa"/>
            </w:tcMar>
            <w:vAlign w:val="bottom"/>
          </w:tcPr>
          <w:p w14:paraId="669C5CA9"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669C5CAA" w14:textId="77777777" w:rsidR="00066C63" w:rsidRDefault="009656F6">
            <w:pPr>
              <w:jc w:val="right"/>
              <w:textAlignment w:val="bottom"/>
            </w:pPr>
            <w:r>
              <w:rPr>
                <w:rFonts w:ascii="Arial" w:eastAsia="宋体" w:hAnsi="Arial" w:cs="Arial"/>
                <w:color w:val="000000"/>
                <w:sz w:val="17"/>
                <w:szCs w:val="17"/>
              </w:rPr>
              <w:t>4,218 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5CAB" w14:textId="77777777" w:rsidR="00066C63" w:rsidRDefault="00066C63">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669C5CAC"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669C5CAD" w14:textId="77777777" w:rsidR="00066C63" w:rsidRDefault="009656F6">
            <w:pPr>
              <w:jc w:val="right"/>
              <w:textAlignment w:val="bottom"/>
            </w:pPr>
            <w:r>
              <w:rPr>
                <w:rFonts w:ascii="Arial" w:eastAsia="宋体" w:hAnsi="Arial" w:cs="Arial"/>
                <w:color w:val="000000"/>
                <w:sz w:val="17"/>
                <w:szCs w:val="17"/>
              </w:rPr>
              <w:t>3,329 </w:t>
            </w:r>
          </w:p>
        </w:tc>
        <w:tc>
          <w:tcPr>
            <w:tcW w:w="0" w:type="auto"/>
            <w:tcBorders>
              <w:top w:val="single" w:sz="8" w:space="0" w:color="808080"/>
            </w:tcBorders>
            <w:shd w:val="clear" w:color="auto" w:fill="auto"/>
            <w:tcMar>
              <w:top w:w="40" w:type="dxa"/>
              <w:left w:w="0" w:type="dxa"/>
              <w:bottom w:w="40" w:type="dxa"/>
              <w:right w:w="20" w:type="dxa"/>
            </w:tcMar>
            <w:vAlign w:val="bottom"/>
          </w:tcPr>
          <w:p w14:paraId="669C5CAE" w14:textId="77777777" w:rsidR="00066C63" w:rsidRDefault="00066C63">
            <w:pPr>
              <w:jc w:val="right"/>
              <w:rPr>
                <w:rFonts w:ascii="宋体"/>
              </w:rPr>
            </w:pPr>
          </w:p>
        </w:tc>
      </w:tr>
      <w:tr w:rsidR="00066C63" w14:paraId="669C5CB3"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5CB0" w14:textId="77777777" w:rsidR="00066C63" w:rsidRDefault="009656F6">
            <w:pPr>
              <w:textAlignment w:val="bottom"/>
            </w:pPr>
            <w:r>
              <w:rPr>
                <w:rFonts w:ascii="Arial" w:eastAsia="宋体" w:hAnsi="Arial" w:cs="Arial"/>
                <w:color w:val="000000"/>
                <w:sz w:val="17"/>
                <w:szCs w:val="17"/>
              </w:rPr>
              <w:t>Adjustments to reconcile net income to net cash provided (used) by operations:</w:t>
            </w:r>
          </w:p>
        </w:tc>
        <w:tc>
          <w:tcPr>
            <w:tcW w:w="0" w:type="auto"/>
            <w:gridSpan w:val="3"/>
            <w:tcBorders>
              <w:top w:val="single" w:sz="8" w:space="0" w:color="808080"/>
            </w:tcBorders>
            <w:shd w:val="clear" w:color="auto" w:fill="FFF1E7"/>
            <w:tcMar>
              <w:top w:w="0" w:type="dxa"/>
              <w:left w:w="20" w:type="dxa"/>
              <w:bottom w:w="0" w:type="dxa"/>
              <w:right w:w="20" w:type="dxa"/>
            </w:tcMar>
          </w:tcPr>
          <w:p w14:paraId="669C5CB1" w14:textId="77777777" w:rsidR="00066C63" w:rsidRDefault="00066C63">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5CB2" w14:textId="77777777" w:rsidR="00066C63" w:rsidRDefault="00066C63">
            <w:pPr>
              <w:rPr>
                <w:rFonts w:ascii="宋体"/>
              </w:rPr>
            </w:pPr>
          </w:p>
        </w:tc>
      </w:tr>
      <w:tr w:rsidR="00066C63" w14:paraId="669C5CB9"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5CB4" w14:textId="77777777" w:rsidR="00066C63" w:rsidRDefault="009656F6">
            <w:pPr>
              <w:textAlignment w:val="bottom"/>
            </w:pPr>
            <w:r>
              <w:rPr>
                <w:rFonts w:ascii="Arial" w:eastAsia="宋体" w:hAnsi="Arial" w:cs="Arial"/>
                <w:color w:val="000000"/>
                <w:sz w:val="17"/>
                <w:szCs w:val="17"/>
              </w:rPr>
              <w:t>Depreciation</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5CB5" w14:textId="77777777" w:rsidR="00066C63" w:rsidRDefault="009656F6">
            <w:pPr>
              <w:jc w:val="right"/>
              <w:textAlignment w:val="bottom"/>
            </w:pPr>
            <w:r>
              <w:rPr>
                <w:rFonts w:ascii="Arial" w:eastAsia="宋体" w:hAnsi="Arial" w:cs="Arial"/>
                <w:color w:val="000000"/>
                <w:sz w:val="17"/>
                <w:szCs w:val="17"/>
              </w:rPr>
              <w:t>543 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5CB6"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5CB7" w14:textId="77777777" w:rsidR="00066C63" w:rsidRDefault="009656F6">
            <w:pPr>
              <w:jc w:val="right"/>
              <w:textAlignment w:val="bottom"/>
            </w:pPr>
            <w:r>
              <w:rPr>
                <w:rFonts w:ascii="Arial" w:eastAsia="宋体" w:hAnsi="Arial" w:cs="Arial"/>
                <w:color w:val="000000"/>
                <w:sz w:val="17"/>
                <w:szCs w:val="17"/>
              </w:rPr>
              <w:t>513 </w:t>
            </w:r>
          </w:p>
        </w:tc>
        <w:tc>
          <w:tcPr>
            <w:tcW w:w="0" w:type="auto"/>
            <w:tcBorders>
              <w:top w:val="single" w:sz="8" w:space="0" w:color="808080"/>
            </w:tcBorders>
            <w:shd w:val="clear" w:color="auto" w:fill="auto"/>
            <w:tcMar>
              <w:top w:w="40" w:type="dxa"/>
              <w:left w:w="0" w:type="dxa"/>
              <w:bottom w:w="40" w:type="dxa"/>
              <w:right w:w="20" w:type="dxa"/>
            </w:tcMar>
            <w:vAlign w:val="bottom"/>
          </w:tcPr>
          <w:p w14:paraId="669C5CB8" w14:textId="77777777" w:rsidR="00066C63" w:rsidRDefault="00066C63">
            <w:pPr>
              <w:jc w:val="right"/>
              <w:rPr>
                <w:rFonts w:ascii="宋体"/>
              </w:rPr>
            </w:pPr>
          </w:p>
        </w:tc>
      </w:tr>
      <w:tr w:rsidR="00066C63" w14:paraId="669C5CBF"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5CBA" w14:textId="77777777" w:rsidR="00066C63" w:rsidRDefault="009656F6">
            <w:pPr>
              <w:textAlignment w:val="bottom"/>
            </w:pPr>
            <w:r>
              <w:rPr>
                <w:rFonts w:ascii="Arial" w:eastAsia="宋体" w:hAnsi="Arial" w:cs="Arial"/>
                <w:color w:val="000000"/>
                <w:sz w:val="17"/>
                <w:szCs w:val="17"/>
              </w:rPr>
              <w:t>Deferred income taxes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5CBB" w14:textId="77777777" w:rsidR="00066C63" w:rsidRDefault="009656F6">
            <w:pPr>
              <w:jc w:val="right"/>
              <w:textAlignment w:val="bottom"/>
            </w:pPr>
            <w:r>
              <w:rPr>
                <w:rFonts w:ascii="Arial" w:eastAsia="宋体" w:hAnsi="Arial" w:cs="Arial"/>
                <w:color w:val="000000"/>
                <w:sz w:val="17"/>
                <w:szCs w:val="17"/>
              </w:rPr>
              <w:t>(291)</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5CBC"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5CBD" w14:textId="77777777" w:rsidR="00066C63" w:rsidRDefault="009656F6">
            <w:pPr>
              <w:jc w:val="right"/>
              <w:textAlignment w:val="bottom"/>
            </w:pPr>
            <w:r>
              <w:rPr>
                <w:rFonts w:ascii="Arial" w:eastAsia="宋体" w:hAnsi="Arial" w:cs="Arial"/>
                <w:color w:val="000000"/>
                <w:sz w:val="17"/>
                <w:szCs w:val="17"/>
              </w:rPr>
              <w:t>(372)</w:t>
            </w:r>
          </w:p>
        </w:tc>
        <w:tc>
          <w:tcPr>
            <w:tcW w:w="0" w:type="auto"/>
            <w:tcBorders>
              <w:top w:val="single" w:sz="8" w:space="0" w:color="808080"/>
            </w:tcBorders>
            <w:shd w:val="clear" w:color="auto" w:fill="auto"/>
            <w:tcMar>
              <w:top w:w="40" w:type="dxa"/>
              <w:left w:w="0" w:type="dxa"/>
              <w:bottom w:w="40" w:type="dxa"/>
              <w:right w:w="20" w:type="dxa"/>
            </w:tcMar>
            <w:vAlign w:val="bottom"/>
          </w:tcPr>
          <w:p w14:paraId="669C5CBE" w14:textId="77777777" w:rsidR="00066C63" w:rsidRDefault="00066C63">
            <w:pPr>
              <w:jc w:val="right"/>
              <w:rPr>
                <w:rFonts w:ascii="宋体"/>
              </w:rPr>
            </w:pPr>
          </w:p>
        </w:tc>
      </w:tr>
      <w:tr w:rsidR="00066C63" w14:paraId="669C5CC5"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5CC0" w14:textId="77777777" w:rsidR="00066C63" w:rsidRDefault="009656F6">
            <w:pPr>
              <w:textAlignment w:val="bottom"/>
            </w:pPr>
            <w:r>
              <w:rPr>
                <w:rFonts w:ascii="Arial" w:eastAsia="宋体" w:hAnsi="Arial" w:cs="Arial"/>
                <w:color w:val="000000"/>
                <w:sz w:val="17"/>
                <w:szCs w:val="17"/>
              </w:rPr>
              <w:t>Stock-based compensation</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5CC1" w14:textId="77777777" w:rsidR="00066C63" w:rsidRDefault="009656F6">
            <w:pPr>
              <w:jc w:val="right"/>
              <w:textAlignment w:val="bottom"/>
            </w:pPr>
            <w:r>
              <w:rPr>
                <w:rFonts w:ascii="Arial" w:eastAsia="宋体" w:hAnsi="Arial" w:cs="Arial"/>
                <w:color w:val="000000"/>
                <w:sz w:val="17"/>
                <w:szCs w:val="17"/>
              </w:rPr>
              <w:t>467 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5CC2"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5CC3" w14:textId="77777777" w:rsidR="00066C63" w:rsidRDefault="009656F6">
            <w:pPr>
              <w:jc w:val="right"/>
              <w:textAlignment w:val="bottom"/>
            </w:pPr>
            <w:r>
              <w:rPr>
                <w:rFonts w:ascii="Arial" w:eastAsia="宋体" w:hAnsi="Arial" w:cs="Arial"/>
                <w:color w:val="000000"/>
                <w:sz w:val="17"/>
                <w:szCs w:val="17"/>
              </w:rPr>
              <w:t>303 </w:t>
            </w:r>
          </w:p>
        </w:tc>
        <w:tc>
          <w:tcPr>
            <w:tcW w:w="0" w:type="auto"/>
            <w:tcBorders>
              <w:top w:val="single" w:sz="8" w:space="0" w:color="808080"/>
            </w:tcBorders>
            <w:shd w:val="clear" w:color="auto" w:fill="auto"/>
            <w:tcMar>
              <w:top w:w="40" w:type="dxa"/>
              <w:left w:w="0" w:type="dxa"/>
              <w:bottom w:w="40" w:type="dxa"/>
              <w:right w:w="20" w:type="dxa"/>
            </w:tcMar>
            <w:vAlign w:val="bottom"/>
          </w:tcPr>
          <w:p w14:paraId="669C5CC4" w14:textId="77777777" w:rsidR="00066C63" w:rsidRDefault="00066C63">
            <w:pPr>
              <w:jc w:val="right"/>
              <w:rPr>
                <w:rFonts w:ascii="宋体"/>
              </w:rPr>
            </w:pPr>
          </w:p>
        </w:tc>
      </w:tr>
      <w:tr w:rsidR="00066C63" w14:paraId="669C5CCB"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5CC6" w14:textId="77777777" w:rsidR="00066C63" w:rsidRDefault="009656F6">
            <w:pPr>
              <w:textAlignment w:val="bottom"/>
            </w:pPr>
            <w:r>
              <w:rPr>
                <w:rFonts w:ascii="Arial" w:eastAsia="宋体" w:hAnsi="Arial" w:cs="Arial"/>
                <w:color w:val="000000"/>
                <w:sz w:val="17"/>
                <w:szCs w:val="17"/>
              </w:rPr>
              <w:t>Amortization, impairment and other</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5CC7" w14:textId="77777777" w:rsidR="00066C63" w:rsidRDefault="009656F6">
            <w:pPr>
              <w:jc w:val="right"/>
              <w:textAlignment w:val="bottom"/>
            </w:pPr>
            <w:r>
              <w:rPr>
                <w:rFonts w:ascii="Arial" w:eastAsia="宋体" w:hAnsi="Arial" w:cs="Arial"/>
                <w:color w:val="000000"/>
                <w:sz w:val="17"/>
                <w:szCs w:val="17"/>
              </w:rPr>
              <w:t>33 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5CC8"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5CC9" w14:textId="77777777" w:rsidR="00066C63" w:rsidRDefault="009656F6">
            <w:pPr>
              <w:jc w:val="right"/>
              <w:textAlignment w:val="bottom"/>
            </w:pPr>
            <w:r>
              <w:rPr>
                <w:rFonts w:ascii="Arial" w:eastAsia="宋体" w:hAnsi="Arial" w:cs="Arial"/>
                <w:color w:val="000000"/>
                <w:sz w:val="17"/>
                <w:szCs w:val="17"/>
              </w:rPr>
              <w:t>383 </w:t>
            </w:r>
          </w:p>
        </w:tc>
        <w:tc>
          <w:tcPr>
            <w:tcW w:w="0" w:type="auto"/>
            <w:tcBorders>
              <w:top w:val="single" w:sz="8" w:space="0" w:color="808080"/>
            </w:tcBorders>
            <w:shd w:val="clear" w:color="auto" w:fill="auto"/>
            <w:tcMar>
              <w:top w:w="40" w:type="dxa"/>
              <w:left w:w="0" w:type="dxa"/>
              <w:bottom w:w="40" w:type="dxa"/>
              <w:right w:w="20" w:type="dxa"/>
            </w:tcMar>
            <w:vAlign w:val="bottom"/>
          </w:tcPr>
          <w:p w14:paraId="669C5CCA" w14:textId="77777777" w:rsidR="00066C63" w:rsidRDefault="00066C63">
            <w:pPr>
              <w:jc w:val="right"/>
              <w:rPr>
                <w:rFonts w:ascii="宋体"/>
              </w:rPr>
            </w:pPr>
          </w:p>
        </w:tc>
      </w:tr>
      <w:tr w:rsidR="00066C63" w14:paraId="669C5CD1"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5CCC" w14:textId="77777777" w:rsidR="00066C63" w:rsidRDefault="009656F6">
            <w:pPr>
              <w:textAlignment w:val="bottom"/>
            </w:pPr>
            <w:r>
              <w:rPr>
                <w:rFonts w:ascii="Arial" w:eastAsia="宋体" w:hAnsi="Arial" w:cs="Arial"/>
                <w:color w:val="000000"/>
                <w:sz w:val="17"/>
                <w:szCs w:val="17"/>
              </w:rPr>
              <w:t>Net foreign currency adjustments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5CCD" w14:textId="77777777" w:rsidR="00066C63" w:rsidRDefault="009656F6">
            <w:pPr>
              <w:jc w:val="right"/>
              <w:textAlignment w:val="bottom"/>
            </w:pPr>
            <w:r>
              <w:rPr>
                <w:rFonts w:ascii="Arial" w:eastAsia="宋体" w:hAnsi="Arial" w:cs="Arial"/>
                <w:color w:val="000000"/>
                <w:sz w:val="17"/>
                <w:szCs w:val="17"/>
              </w:rPr>
              <w:t>(130)</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5CCE"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5CCF" w14:textId="77777777" w:rsidR="00066C63" w:rsidRDefault="009656F6">
            <w:pPr>
              <w:jc w:val="right"/>
              <w:textAlignment w:val="bottom"/>
            </w:pPr>
            <w:r>
              <w:rPr>
                <w:rFonts w:ascii="Arial" w:eastAsia="宋体" w:hAnsi="Arial" w:cs="Arial"/>
                <w:color w:val="000000"/>
                <w:sz w:val="17"/>
                <w:szCs w:val="17"/>
              </w:rPr>
              <w:t>(49)</w:t>
            </w:r>
          </w:p>
        </w:tc>
        <w:tc>
          <w:tcPr>
            <w:tcW w:w="0" w:type="auto"/>
            <w:tcBorders>
              <w:top w:val="single" w:sz="8" w:space="0" w:color="808080"/>
            </w:tcBorders>
            <w:shd w:val="clear" w:color="auto" w:fill="auto"/>
            <w:tcMar>
              <w:top w:w="40" w:type="dxa"/>
              <w:left w:w="0" w:type="dxa"/>
              <w:bottom w:w="40" w:type="dxa"/>
              <w:right w:w="20" w:type="dxa"/>
            </w:tcMar>
            <w:vAlign w:val="bottom"/>
          </w:tcPr>
          <w:p w14:paraId="669C5CD0" w14:textId="77777777" w:rsidR="00066C63" w:rsidRDefault="00066C63">
            <w:pPr>
              <w:jc w:val="right"/>
              <w:rPr>
                <w:rFonts w:ascii="宋体"/>
              </w:rPr>
            </w:pPr>
          </w:p>
        </w:tc>
      </w:tr>
      <w:tr w:rsidR="00066C63" w14:paraId="669C5CD5"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5CD2" w14:textId="77777777" w:rsidR="00066C63" w:rsidRDefault="009656F6">
            <w:pPr>
              <w:textAlignment w:val="bottom"/>
            </w:pPr>
            <w:r>
              <w:rPr>
                <w:rFonts w:ascii="Arial" w:eastAsia="宋体" w:hAnsi="Arial" w:cs="Arial"/>
                <w:color w:val="000000"/>
                <w:sz w:val="17"/>
                <w:szCs w:val="17"/>
              </w:rPr>
              <w:t xml:space="preserve">Changes in certain working capital components and other assets and </w:t>
            </w:r>
            <w:r>
              <w:rPr>
                <w:rFonts w:ascii="Arial" w:eastAsia="宋体" w:hAnsi="Arial" w:cs="Arial"/>
                <w:color w:val="000000"/>
                <w:sz w:val="17"/>
                <w:szCs w:val="17"/>
              </w:rPr>
              <w:t>liabilities:</w:t>
            </w:r>
          </w:p>
        </w:tc>
        <w:tc>
          <w:tcPr>
            <w:tcW w:w="0" w:type="auto"/>
            <w:gridSpan w:val="3"/>
            <w:tcBorders>
              <w:top w:val="single" w:sz="8" w:space="0" w:color="808080"/>
            </w:tcBorders>
            <w:shd w:val="clear" w:color="auto" w:fill="FFF1E7"/>
            <w:tcMar>
              <w:top w:w="0" w:type="dxa"/>
              <w:left w:w="20" w:type="dxa"/>
              <w:bottom w:w="0" w:type="dxa"/>
              <w:right w:w="20" w:type="dxa"/>
            </w:tcMar>
          </w:tcPr>
          <w:p w14:paraId="669C5CD3" w14:textId="77777777" w:rsidR="00066C63" w:rsidRDefault="00066C63">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5CD4" w14:textId="77777777" w:rsidR="00066C63" w:rsidRDefault="00066C63">
            <w:pPr>
              <w:rPr>
                <w:rFonts w:ascii="宋体"/>
              </w:rPr>
            </w:pPr>
          </w:p>
        </w:tc>
      </w:tr>
      <w:tr w:rsidR="00066C63" w14:paraId="669C5CDB"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5CD6" w14:textId="77777777" w:rsidR="00066C63" w:rsidRDefault="009656F6">
            <w:pPr>
              <w:textAlignment w:val="bottom"/>
            </w:pPr>
            <w:r>
              <w:rPr>
                <w:rFonts w:ascii="Arial" w:eastAsia="宋体" w:hAnsi="Arial" w:cs="Arial"/>
                <w:color w:val="000000"/>
                <w:sz w:val="17"/>
                <w:szCs w:val="17"/>
              </w:rPr>
              <w:t>(Increase) decrease in accounts receivable</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5CD7" w14:textId="77777777" w:rsidR="00066C63" w:rsidRDefault="009656F6">
            <w:pPr>
              <w:jc w:val="right"/>
              <w:textAlignment w:val="bottom"/>
            </w:pPr>
            <w:r>
              <w:rPr>
                <w:rFonts w:ascii="Arial" w:eastAsia="宋体" w:hAnsi="Arial" w:cs="Arial"/>
                <w:color w:val="000000"/>
                <w:sz w:val="17"/>
                <w:szCs w:val="17"/>
              </w:rPr>
              <w:t>(837)</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5CD8"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5CD9" w14:textId="77777777" w:rsidR="00066C63" w:rsidRDefault="009656F6">
            <w:pPr>
              <w:jc w:val="right"/>
              <w:textAlignment w:val="bottom"/>
            </w:pPr>
            <w:r>
              <w:rPr>
                <w:rFonts w:ascii="Arial" w:eastAsia="宋体" w:hAnsi="Arial" w:cs="Arial"/>
                <w:color w:val="000000"/>
                <w:sz w:val="17"/>
                <w:szCs w:val="17"/>
              </w:rPr>
              <w:t>(475)</w:t>
            </w:r>
          </w:p>
        </w:tc>
        <w:tc>
          <w:tcPr>
            <w:tcW w:w="0" w:type="auto"/>
            <w:tcBorders>
              <w:top w:val="single" w:sz="8" w:space="0" w:color="808080"/>
            </w:tcBorders>
            <w:shd w:val="clear" w:color="auto" w:fill="auto"/>
            <w:tcMar>
              <w:top w:w="40" w:type="dxa"/>
              <w:left w:w="0" w:type="dxa"/>
              <w:bottom w:w="40" w:type="dxa"/>
              <w:right w:w="20" w:type="dxa"/>
            </w:tcMar>
            <w:vAlign w:val="bottom"/>
          </w:tcPr>
          <w:p w14:paraId="669C5CDA" w14:textId="77777777" w:rsidR="00066C63" w:rsidRDefault="00066C63">
            <w:pPr>
              <w:jc w:val="right"/>
              <w:rPr>
                <w:rFonts w:ascii="宋体"/>
              </w:rPr>
            </w:pPr>
          </w:p>
        </w:tc>
      </w:tr>
      <w:tr w:rsidR="00066C63" w14:paraId="669C5CE1"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5CDC" w14:textId="77777777" w:rsidR="00066C63" w:rsidRDefault="009656F6">
            <w:pPr>
              <w:textAlignment w:val="bottom"/>
            </w:pPr>
            <w:r>
              <w:rPr>
                <w:rFonts w:ascii="Arial" w:eastAsia="宋体" w:hAnsi="Arial" w:cs="Arial"/>
                <w:color w:val="000000"/>
                <w:sz w:val="17"/>
                <w:szCs w:val="17"/>
              </w:rPr>
              <w:t>(Increase) decrease in inventories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5CDD" w14:textId="77777777" w:rsidR="00066C63" w:rsidRDefault="009656F6">
            <w:pPr>
              <w:jc w:val="right"/>
              <w:textAlignment w:val="bottom"/>
            </w:pPr>
            <w:r>
              <w:rPr>
                <w:rFonts w:ascii="Arial" w:eastAsia="宋体" w:hAnsi="Arial" w:cs="Arial"/>
                <w:color w:val="000000"/>
                <w:sz w:val="17"/>
                <w:szCs w:val="17"/>
              </w:rPr>
              <w:t>674 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5CDE"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5CDF" w14:textId="77777777" w:rsidR="00066C63" w:rsidRDefault="009656F6">
            <w:pPr>
              <w:jc w:val="right"/>
              <w:textAlignment w:val="bottom"/>
            </w:pPr>
            <w:r>
              <w:rPr>
                <w:rFonts w:ascii="Arial" w:eastAsia="宋体" w:hAnsi="Arial" w:cs="Arial"/>
                <w:color w:val="000000"/>
                <w:sz w:val="17"/>
                <w:szCs w:val="17"/>
              </w:rPr>
              <w:t>(455)</w:t>
            </w:r>
          </w:p>
        </w:tc>
        <w:tc>
          <w:tcPr>
            <w:tcW w:w="0" w:type="auto"/>
            <w:tcBorders>
              <w:top w:val="single" w:sz="8" w:space="0" w:color="808080"/>
            </w:tcBorders>
            <w:shd w:val="clear" w:color="auto" w:fill="auto"/>
            <w:tcMar>
              <w:top w:w="40" w:type="dxa"/>
              <w:left w:w="0" w:type="dxa"/>
              <w:bottom w:w="40" w:type="dxa"/>
              <w:right w:w="20" w:type="dxa"/>
            </w:tcMar>
            <w:vAlign w:val="bottom"/>
          </w:tcPr>
          <w:p w14:paraId="669C5CE0" w14:textId="77777777" w:rsidR="00066C63" w:rsidRDefault="00066C63">
            <w:pPr>
              <w:jc w:val="right"/>
              <w:rPr>
                <w:rFonts w:ascii="宋体"/>
              </w:rPr>
            </w:pPr>
          </w:p>
        </w:tc>
      </w:tr>
      <w:tr w:rsidR="00066C63" w14:paraId="669C5CE7"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5CE2" w14:textId="77777777" w:rsidR="00066C63" w:rsidRDefault="009656F6">
            <w:pPr>
              <w:textAlignment w:val="bottom"/>
            </w:pPr>
            <w:r>
              <w:rPr>
                <w:rFonts w:ascii="Arial" w:eastAsia="宋体" w:hAnsi="Arial" w:cs="Arial"/>
                <w:color w:val="000000"/>
                <w:sz w:val="17"/>
                <w:szCs w:val="17"/>
              </w:rPr>
              <w:t>(Increase) decrease in prepaid expenses, operating lease right-of-use assets and other current and non-current assets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5CE3" w14:textId="77777777" w:rsidR="00066C63" w:rsidRDefault="009656F6">
            <w:pPr>
              <w:jc w:val="right"/>
              <w:textAlignment w:val="bottom"/>
            </w:pPr>
            <w:r>
              <w:rPr>
                <w:rFonts w:ascii="Arial" w:eastAsia="宋体" w:hAnsi="Arial" w:cs="Arial"/>
                <w:color w:val="000000"/>
                <w:sz w:val="17"/>
                <w:szCs w:val="17"/>
              </w:rPr>
              <w:t>(406)</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5CE4"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5CE5" w14:textId="77777777" w:rsidR="00066C63" w:rsidRDefault="009656F6">
            <w:pPr>
              <w:jc w:val="right"/>
              <w:textAlignment w:val="bottom"/>
            </w:pPr>
            <w:r>
              <w:rPr>
                <w:rFonts w:ascii="Arial" w:eastAsia="宋体" w:hAnsi="Arial" w:cs="Arial"/>
                <w:color w:val="000000"/>
                <w:sz w:val="17"/>
                <w:szCs w:val="17"/>
              </w:rPr>
              <w:t>(494)</w:t>
            </w:r>
          </w:p>
        </w:tc>
        <w:tc>
          <w:tcPr>
            <w:tcW w:w="0" w:type="auto"/>
            <w:tcBorders>
              <w:top w:val="single" w:sz="8" w:space="0" w:color="808080"/>
            </w:tcBorders>
            <w:shd w:val="clear" w:color="auto" w:fill="auto"/>
            <w:tcMar>
              <w:top w:w="40" w:type="dxa"/>
              <w:left w:w="0" w:type="dxa"/>
              <w:bottom w:w="40" w:type="dxa"/>
              <w:right w:w="20" w:type="dxa"/>
            </w:tcMar>
            <w:vAlign w:val="bottom"/>
          </w:tcPr>
          <w:p w14:paraId="669C5CE6" w14:textId="77777777" w:rsidR="00066C63" w:rsidRDefault="00066C63">
            <w:pPr>
              <w:jc w:val="right"/>
              <w:rPr>
                <w:rFonts w:ascii="宋体"/>
              </w:rPr>
            </w:pPr>
          </w:p>
        </w:tc>
      </w:tr>
      <w:tr w:rsidR="00066C63" w14:paraId="669C5CED"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5CE8" w14:textId="77777777" w:rsidR="00066C63" w:rsidRDefault="009656F6">
            <w:pPr>
              <w:textAlignment w:val="bottom"/>
            </w:pPr>
            <w:r>
              <w:rPr>
                <w:rFonts w:ascii="Arial" w:eastAsia="宋体" w:hAnsi="Arial" w:cs="Arial"/>
                <w:color w:val="000000"/>
                <w:sz w:val="17"/>
                <w:szCs w:val="17"/>
              </w:rPr>
              <w:t>Increase (decrease) in accounts payable, accrued liabilities, operating lease liabilities and other current and non-current liabilities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5CE9" w14:textId="77777777" w:rsidR="00066C63" w:rsidRDefault="009656F6">
            <w:pPr>
              <w:jc w:val="right"/>
              <w:textAlignment w:val="bottom"/>
            </w:pPr>
            <w:r>
              <w:rPr>
                <w:rFonts w:ascii="Arial" w:eastAsia="宋体" w:hAnsi="Arial" w:cs="Arial"/>
                <w:color w:val="000000"/>
                <w:sz w:val="17"/>
                <w:szCs w:val="17"/>
              </w:rPr>
              <w:t>374 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5CEA"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5CEB" w14:textId="77777777" w:rsidR="00066C63" w:rsidRDefault="009656F6">
            <w:pPr>
              <w:jc w:val="right"/>
              <w:textAlignment w:val="bottom"/>
            </w:pPr>
            <w:r>
              <w:rPr>
                <w:rFonts w:ascii="Arial" w:eastAsia="宋体" w:hAnsi="Arial" w:cs="Arial"/>
                <w:color w:val="000000"/>
                <w:sz w:val="17"/>
                <w:szCs w:val="17"/>
              </w:rPr>
              <w:t>(197)</w:t>
            </w:r>
          </w:p>
        </w:tc>
        <w:tc>
          <w:tcPr>
            <w:tcW w:w="0" w:type="auto"/>
            <w:tcBorders>
              <w:top w:val="single" w:sz="8" w:space="0" w:color="808080"/>
            </w:tcBorders>
            <w:shd w:val="clear" w:color="auto" w:fill="auto"/>
            <w:tcMar>
              <w:top w:w="40" w:type="dxa"/>
              <w:left w:w="0" w:type="dxa"/>
              <w:bottom w:w="40" w:type="dxa"/>
              <w:right w:w="20" w:type="dxa"/>
            </w:tcMar>
            <w:vAlign w:val="bottom"/>
          </w:tcPr>
          <w:p w14:paraId="669C5CEC" w14:textId="77777777" w:rsidR="00066C63" w:rsidRDefault="00066C63">
            <w:pPr>
              <w:jc w:val="right"/>
              <w:rPr>
                <w:rFonts w:ascii="宋体"/>
              </w:rPr>
            </w:pPr>
          </w:p>
        </w:tc>
      </w:tr>
      <w:tr w:rsidR="00066C63" w14:paraId="669C5CF3"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5CEE" w14:textId="77777777" w:rsidR="00066C63" w:rsidRDefault="009656F6">
            <w:pPr>
              <w:textAlignment w:val="bottom"/>
            </w:pPr>
            <w:r>
              <w:rPr>
                <w:rFonts w:ascii="Arial" w:eastAsia="宋体" w:hAnsi="Arial" w:cs="Arial"/>
                <w:color w:val="000000"/>
                <w:sz w:val="17"/>
                <w:szCs w:val="17"/>
              </w:rPr>
              <w:t>Cash provided (used) by operations</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669C5CEF" w14:textId="77777777" w:rsidR="00066C63" w:rsidRDefault="009656F6">
            <w:pPr>
              <w:jc w:val="right"/>
              <w:textAlignment w:val="bottom"/>
            </w:pPr>
            <w:r>
              <w:rPr>
                <w:rFonts w:ascii="Arial" w:eastAsia="宋体" w:hAnsi="Arial" w:cs="Arial"/>
                <w:color w:val="000000"/>
                <w:sz w:val="17"/>
                <w:szCs w:val="17"/>
              </w:rPr>
              <w:t>4,645 </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5CF0" w14:textId="77777777" w:rsidR="00066C63" w:rsidRDefault="00066C63">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5CF1" w14:textId="77777777" w:rsidR="00066C63" w:rsidRDefault="009656F6">
            <w:pPr>
              <w:jc w:val="right"/>
              <w:textAlignment w:val="bottom"/>
            </w:pPr>
            <w:r>
              <w:rPr>
                <w:rFonts w:ascii="Arial" w:eastAsia="宋体" w:hAnsi="Arial" w:cs="Arial"/>
                <w:color w:val="000000"/>
                <w:sz w:val="17"/>
                <w:szCs w:val="17"/>
              </w:rPr>
              <w:t>2,486 </w:t>
            </w:r>
          </w:p>
        </w:tc>
        <w:tc>
          <w:tcPr>
            <w:tcW w:w="0" w:type="auto"/>
            <w:tcBorders>
              <w:top w:val="single" w:sz="8" w:space="0" w:color="E87722"/>
            </w:tcBorders>
            <w:shd w:val="clear" w:color="auto" w:fill="auto"/>
            <w:tcMar>
              <w:top w:w="40" w:type="dxa"/>
              <w:left w:w="0" w:type="dxa"/>
              <w:bottom w:w="40" w:type="dxa"/>
              <w:right w:w="20" w:type="dxa"/>
            </w:tcMar>
            <w:vAlign w:val="bottom"/>
          </w:tcPr>
          <w:p w14:paraId="669C5CF2" w14:textId="77777777" w:rsidR="00066C63" w:rsidRDefault="00066C63">
            <w:pPr>
              <w:jc w:val="right"/>
              <w:rPr>
                <w:rFonts w:ascii="宋体"/>
              </w:rPr>
            </w:pPr>
          </w:p>
        </w:tc>
      </w:tr>
      <w:tr w:rsidR="00066C63" w14:paraId="669C5CF7"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5CF4" w14:textId="77777777" w:rsidR="00066C63" w:rsidRDefault="009656F6">
            <w:pPr>
              <w:textAlignment w:val="bottom"/>
            </w:pPr>
            <w:r>
              <w:rPr>
                <w:rFonts w:ascii="Arial" w:eastAsia="宋体" w:hAnsi="Arial" w:cs="Arial"/>
                <w:b/>
                <w:bCs/>
                <w:color w:val="000000"/>
                <w:sz w:val="17"/>
                <w:szCs w:val="17"/>
              </w:rPr>
              <w:t xml:space="preserve">Cash provided (used) by investing </w:t>
            </w:r>
            <w:r>
              <w:rPr>
                <w:rFonts w:ascii="Arial" w:eastAsia="宋体" w:hAnsi="Arial" w:cs="Arial"/>
                <w:b/>
                <w:bCs/>
                <w:color w:val="000000"/>
                <w:sz w:val="17"/>
                <w:szCs w:val="17"/>
              </w:rPr>
              <w:t>activities:</w:t>
            </w:r>
          </w:p>
        </w:tc>
        <w:tc>
          <w:tcPr>
            <w:tcW w:w="0" w:type="auto"/>
            <w:gridSpan w:val="3"/>
            <w:tcBorders>
              <w:top w:val="single" w:sz="8" w:space="0" w:color="808080"/>
            </w:tcBorders>
            <w:shd w:val="clear" w:color="auto" w:fill="FFF1E7"/>
            <w:tcMar>
              <w:top w:w="0" w:type="dxa"/>
              <w:left w:w="20" w:type="dxa"/>
              <w:bottom w:w="0" w:type="dxa"/>
              <w:right w:w="20" w:type="dxa"/>
            </w:tcMar>
          </w:tcPr>
          <w:p w14:paraId="669C5CF5" w14:textId="77777777" w:rsidR="00066C63" w:rsidRDefault="00066C63">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5CF6" w14:textId="77777777" w:rsidR="00066C63" w:rsidRDefault="00066C63">
            <w:pPr>
              <w:rPr>
                <w:rFonts w:ascii="宋体"/>
              </w:rPr>
            </w:pPr>
          </w:p>
        </w:tc>
      </w:tr>
      <w:tr w:rsidR="00066C63" w14:paraId="669C5CFD"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5CF8" w14:textId="77777777" w:rsidR="00066C63" w:rsidRDefault="009656F6">
            <w:pPr>
              <w:textAlignment w:val="bottom"/>
            </w:pPr>
            <w:r>
              <w:rPr>
                <w:rFonts w:ascii="Arial" w:eastAsia="宋体" w:hAnsi="Arial" w:cs="Arial"/>
                <w:color w:val="000000"/>
                <w:sz w:val="17"/>
                <w:szCs w:val="17"/>
              </w:rPr>
              <w:t>Purchases of short-term investments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5CF9" w14:textId="77777777" w:rsidR="00066C63" w:rsidRDefault="009656F6">
            <w:pPr>
              <w:jc w:val="right"/>
              <w:textAlignment w:val="bottom"/>
            </w:pPr>
            <w:r>
              <w:rPr>
                <w:rFonts w:ascii="Arial" w:eastAsia="宋体" w:hAnsi="Arial" w:cs="Arial"/>
                <w:color w:val="000000"/>
                <w:sz w:val="17"/>
                <w:szCs w:val="17"/>
              </w:rPr>
              <w:t>(7,441)</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5CFA"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5CFB" w14:textId="77777777" w:rsidR="00066C63" w:rsidRDefault="009656F6">
            <w:pPr>
              <w:jc w:val="right"/>
              <w:textAlignment w:val="bottom"/>
            </w:pPr>
            <w:r>
              <w:rPr>
                <w:rFonts w:ascii="Arial" w:eastAsia="宋体" w:hAnsi="Arial" w:cs="Arial"/>
                <w:color w:val="000000"/>
                <w:sz w:val="17"/>
                <w:szCs w:val="17"/>
              </w:rPr>
              <w:t>(1,775)</w:t>
            </w:r>
          </w:p>
        </w:tc>
        <w:tc>
          <w:tcPr>
            <w:tcW w:w="0" w:type="auto"/>
            <w:tcBorders>
              <w:top w:val="single" w:sz="8" w:space="0" w:color="808080"/>
            </w:tcBorders>
            <w:shd w:val="clear" w:color="auto" w:fill="auto"/>
            <w:tcMar>
              <w:top w:w="40" w:type="dxa"/>
              <w:left w:w="0" w:type="dxa"/>
              <w:bottom w:w="40" w:type="dxa"/>
              <w:right w:w="20" w:type="dxa"/>
            </w:tcMar>
            <w:vAlign w:val="bottom"/>
          </w:tcPr>
          <w:p w14:paraId="669C5CFC" w14:textId="77777777" w:rsidR="00066C63" w:rsidRDefault="00066C63">
            <w:pPr>
              <w:jc w:val="right"/>
              <w:rPr>
                <w:rFonts w:ascii="宋体"/>
              </w:rPr>
            </w:pPr>
          </w:p>
        </w:tc>
      </w:tr>
      <w:tr w:rsidR="00066C63" w14:paraId="669C5D03"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5CFE" w14:textId="77777777" w:rsidR="00066C63" w:rsidRDefault="009656F6">
            <w:pPr>
              <w:textAlignment w:val="bottom"/>
            </w:pPr>
            <w:r>
              <w:rPr>
                <w:rFonts w:ascii="Arial" w:eastAsia="宋体" w:hAnsi="Arial" w:cs="Arial"/>
                <w:color w:val="000000"/>
                <w:sz w:val="17"/>
                <w:szCs w:val="17"/>
              </w:rPr>
              <w:t>Maturities of short-term investments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5CFF" w14:textId="77777777" w:rsidR="00066C63" w:rsidRDefault="009656F6">
            <w:pPr>
              <w:jc w:val="right"/>
              <w:textAlignment w:val="bottom"/>
            </w:pPr>
            <w:r>
              <w:rPr>
                <w:rFonts w:ascii="Arial" w:eastAsia="宋体" w:hAnsi="Arial" w:cs="Arial"/>
                <w:color w:val="000000"/>
                <w:sz w:val="17"/>
                <w:szCs w:val="17"/>
              </w:rPr>
              <w:t>2,203 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5D00"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5D01" w14:textId="77777777" w:rsidR="00066C63" w:rsidRDefault="009656F6">
            <w:pPr>
              <w:jc w:val="right"/>
              <w:textAlignment w:val="bottom"/>
            </w:pPr>
            <w:r>
              <w:rPr>
                <w:rFonts w:ascii="Arial" w:eastAsia="宋体" w:hAnsi="Arial" w:cs="Arial"/>
                <w:color w:val="000000"/>
                <w:sz w:val="17"/>
                <w:szCs w:val="17"/>
              </w:rPr>
              <w:t>20 </w:t>
            </w:r>
          </w:p>
        </w:tc>
        <w:tc>
          <w:tcPr>
            <w:tcW w:w="0" w:type="auto"/>
            <w:tcBorders>
              <w:top w:val="single" w:sz="8" w:space="0" w:color="808080"/>
            </w:tcBorders>
            <w:shd w:val="clear" w:color="auto" w:fill="auto"/>
            <w:tcMar>
              <w:top w:w="40" w:type="dxa"/>
              <w:left w:w="0" w:type="dxa"/>
              <w:bottom w:w="40" w:type="dxa"/>
              <w:right w:w="20" w:type="dxa"/>
            </w:tcMar>
            <w:vAlign w:val="bottom"/>
          </w:tcPr>
          <w:p w14:paraId="669C5D02" w14:textId="77777777" w:rsidR="00066C63" w:rsidRDefault="00066C63">
            <w:pPr>
              <w:jc w:val="right"/>
              <w:rPr>
                <w:rFonts w:ascii="宋体"/>
              </w:rPr>
            </w:pPr>
          </w:p>
        </w:tc>
      </w:tr>
      <w:tr w:rsidR="00066C63" w14:paraId="669C5D09"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5D04" w14:textId="77777777" w:rsidR="00066C63" w:rsidRDefault="009656F6">
            <w:pPr>
              <w:textAlignment w:val="bottom"/>
            </w:pPr>
            <w:r>
              <w:rPr>
                <w:rFonts w:ascii="Arial" w:eastAsia="宋体" w:hAnsi="Arial" w:cs="Arial"/>
                <w:color w:val="000000"/>
                <w:sz w:val="17"/>
                <w:szCs w:val="17"/>
              </w:rPr>
              <w:t>Sales of short-term investments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5D05" w14:textId="77777777" w:rsidR="00066C63" w:rsidRDefault="009656F6">
            <w:pPr>
              <w:jc w:val="right"/>
              <w:textAlignment w:val="bottom"/>
            </w:pPr>
            <w:r>
              <w:rPr>
                <w:rFonts w:ascii="Arial" w:eastAsia="宋体" w:hAnsi="Arial" w:cs="Arial"/>
                <w:color w:val="000000"/>
                <w:sz w:val="17"/>
                <w:szCs w:val="17"/>
              </w:rPr>
              <w:t>1,588 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5D06"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5D07" w14:textId="77777777" w:rsidR="00066C63" w:rsidRDefault="009656F6">
            <w:pPr>
              <w:jc w:val="right"/>
              <w:textAlignment w:val="bottom"/>
            </w:pPr>
            <w:r>
              <w:rPr>
                <w:rFonts w:ascii="Arial" w:eastAsia="宋体" w:hAnsi="Arial" w:cs="Arial"/>
                <w:color w:val="000000"/>
                <w:sz w:val="17"/>
                <w:szCs w:val="17"/>
              </w:rPr>
              <w:t>1,764 </w:t>
            </w:r>
          </w:p>
        </w:tc>
        <w:tc>
          <w:tcPr>
            <w:tcW w:w="0" w:type="auto"/>
            <w:tcBorders>
              <w:top w:val="single" w:sz="8" w:space="0" w:color="808080"/>
            </w:tcBorders>
            <w:shd w:val="clear" w:color="auto" w:fill="auto"/>
            <w:tcMar>
              <w:top w:w="40" w:type="dxa"/>
              <w:left w:w="0" w:type="dxa"/>
              <w:bottom w:w="40" w:type="dxa"/>
              <w:right w:w="20" w:type="dxa"/>
            </w:tcMar>
            <w:vAlign w:val="bottom"/>
          </w:tcPr>
          <w:p w14:paraId="669C5D08" w14:textId="77777777" w:rsidR="00066C63" w:rsidRDefault="00066C63">
            <w:pPr>
              <w:jc w:val="right"/>
              <w:rPr>
                <w:rFonts w:ascii="宋体"/>
              </w:rPr>
            </w:pPr>
          </w:p>
        </w:tc>
      </w:tr>
      <w:tr w:rsidR="00066C63" w14:paraId="669C5D0F"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5D0A" w14:textId="77777777" w:rsidR="00066C63" w:rsidRDefault="009656F6">
            <w:pPr>
              <w:textAlignment w:val="bottom"/>
            </w:pPr>
            <w:r>
              <w:rPr>
                <w:rFonts w:ascii="Arial" w:eastAsia="宋体" w:hAnsi="Arial" w:cs="Arial"/>
                <w:color w:val="000000"/>
                <w:sz w:val="17"/>
                <w:szCs w:val="17"/>
              </w:rPr>
              <w:t>Additions to property, plant and equipment</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5D0B" w14:textId="77777777" w:rsidR="00066C63" w:rsidRDefault="009656F6">
            <w:pPr>
              <w:jc w:val="right"/>
              <w:textAlignment w:val="bottom"/>
            </w:pPr>
            <w:r>
              <w:rPr>
                <w:rFonts w:ascii="Arial" w:eastAsia="宋体" w:hAnsi="Arial" w:cs="Arial"/>
                <w:color w:val="000000"/>
                <w:sz w:val="17"/>
                <w:szCs w:val="17"/>
              </w:rPr>
              <w:t>(521)</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5D0C"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5D0D" w14:textId="77777777" w:rsidR="00066C63" w:rsidRDefault="009656F6">
            <w:pPr>
              <w:jc w:val="right"/>
              <w:textAlignment w:val="bottom"/>
            </w:pPr>
            <w:r>
              <w:rPr>
                <w:rFonts w:ascii="Arial" w:eastAsia="宋体" w:hAnsi="Arial" w:cs="Arial"/>
                <w:color w:val="000000"/>
                <w:sz w:val="17"/>
                <w:szCs w:val="17"/>
              </w:rPr>
              <w:t>(797)</w:t>
            </w:r>
          </w:p>
        </w:tc>
        <w:tc>
          <w:tcPr>
            <w:tcW w:w="0" w:type="auto"/>
            <w:tcBorders>
              <w:top w:val="single" w:sz="8" w:space="0" w:color="808080"/>
            </w:tcBorders>
            <w:shd w:val="clear" w:color="auto" w:fill="auto"/>
            <w:tcMar>
              <w:top w:w="40" w:type="dxa"/>
              <w:left w:w="0" w:type="dxa"/>
              <w:bottom w:w="40" w:type="dxa"/>
              <w:right w:w="20" w:type="dxa"/>
            </w:tcMar>
            <w:vAlign w:val="bottom"/>
          </w:tcPr>
          <w:p w14:paraId="669C5D0E" w14:textId="77777777" w:rsidR="00066C63" w:rsidRDefault="00066C63">
            <w:pPr>
              <w:jc w:val="right"/>
              <w:rPr>
                <w:rFonts w:ascii="宋体"/>
              </w:rPr>
            </w:pPr>
          </w:p>
        </w:tc>
      </w:tr>
      <w:tr w:rsidR="00066C63" w14:paraId="669C5D15"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5D10" w14:textId="77777777" w:rsidR="00066C63" w:rsidRDefault="009656F6">
            <w:pPr>
              <w:textAlignment w:val="bottom"/>
            </w:pPr>
            <w:r>
              <w:rPr>
                <w:rFonts w:ascii="Arial" w:eastAsia="宋体" w:hAnsi="Arial" w:cs="Arial"/>
                <w:color w:val="000000"/>
                <w:sz w:val="17"/>
                <w:szCs w:val="17"/>
              </w:rPr>
              <w:t xml:space="preserve">Other investing </w:t>
            </w:r>
            <w:r>
              <w:rPr>
                <w:rFonts w:ascii="Arial" w:eastAsia="宋体" w:hAnsi="Arial" w:cs="Arial"/>
                <w:color w:val="000000"/>
                <w:sz w:val="17"/>
                <w:szCs w:val="17"/>
              </w:rPr>
              <w:t>activities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5D11" w14:textId="77777777" w:rsidR="00066C63" w:rsidRDefault="009656F6">
            <w:pPr>
              <w:jc w:val="right"/>
              <w:textAlignment w:val="bottom"/>
            </w:pPr>
            <w:r>
              <w:rPr>
                <w:rFonts w:ascii="Arial" w:eastAsia="宋体" w:hAnsi="Arial" w:cs="Arial"/>
                <w:color w:val="000000"/>
                <w:sz w:val="17"/>
                <w:szCs w:val="17"/>
              </w:rPr>
              <w:t>184 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5D12"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5D13" w14:textId="77777777" w:rsidR="00066C63" w:rsidRDefault="009656F6">
            <w:pPr>
              <w:jc w:val="right"/>
              <w:textAlignment w:val="bottom"/>
            </w:pPr>
            <w:r>
              <w:rPr>
                <w:rFonts w:ascii="Arial" w:eastAsia="宋体" w:hAnsi="Arial" w:cs="Arial"/>
                <w:color w:val="000000"/>
                <w:sz w:val="17"/>
                <w:szCs w:val="17"/>
              </w:rPr>
              <w:t>30 </w:t>
            </w:r>
          </w:p>
        </w:tc>
        <w:tc>
          <w:tcPr>
            <w:tcW w:w="0" w:type="auto"/>
            <w:tcBorders>
              <w:top w:val="single" w:sz="8" w:space="0" w:color="808080"/>
            </w:tcBorders>
            <w:shd w:val="clear" w:color="auto" w:fill="auto"/>
            <w:tcMar>
              <w:top w:w="40" w:type="dxa"/>
              <w:left w:w="0" w:type="dxa"/>
              <w:bottom w:w="40" w:type="dxa"/>
              <w:right w:w="20" w:type="dxa"/>
            </w:tcMar>
            <w:vAlign w:val="bottom"/>
          </w:tcPr>
          <w:p w14:paraId="669C5D14" w14:textId="77777777" w:rsidR="00066C63" w:rsidRDefault="00066C63">
            <w:pPr>
              <w:jc w:val="right"/>
              <w:rPr>
                <w:rFonts w:ascii="宋体"/>
              </w:rPr>
            </w:pPr>
          </w:p>
        </w:tc>
      </w:tr>
      <w:tr w:rsidR="00066C63" w14:paraId="669C5D1B"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5D16" w14:textId="77777777" w:rsidR="00066C63" w:rsidRDefault="009656F6">
            <w:pPr>
              <w:textAlignment w:val="bottom"/>
            </w:pPr>
            <w:r>
              <w:rPr>
                <w:rFonts w:ascii="Arial" w:eastAsia="宋体" w:hAnsi="Arial" w:cs="Arial"/>
                <w:color w:val="000000"/>
                <w:sz w:val="17"/>
                <w:szCs w:val="17"/>
              </w:rPr>
              <w:t>Cash provided (used) by investing activities</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669C5D17" w14:textId="77777777" w:rsidR="00066C63" w:rsidRDefault="009656F6">
            <w:pPr>
              <w:jc w:val="right"/>
              <w:textAlignment w:val="bottom"/>
            </w:pPr>
            <w:r>
              <w:rPr>
                <w:rFonts w:ascii="Arial" w:eastAsia="宋体" w:hAnsi="Arial" w:cs="Arial"/>
                <w:color w:val="000000"/>
                <w:sz w:val="17"/>
                <w:szCs w:val="17"/>
              </w:rPr>
              <w:t>(3,987)</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5D18" w14:textId="77777777" w:rsidR="00066C63" w:rsidRDefault="00066C63">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5D19" w14:textId="77777777" w:rsidR="00066C63" w:rsidRDefault="009656F6">
            <w:pPr>
              <w:jc w:val="right"/>
              <w:textAlignment w:val="bottom"/>
            </w:pPr>
            <w:r>
              <w:rPr>
                <w:rFonts w:ascii="Arial" w:eastAsia="宋体" w:hAnsi="Arial" w:cs="Arial"/>
                <w:color w:val="000000"/>
                <w:sz w:val="17"/>
                <w:szCs w:val="17"/>
              </w:rPr>
              <w:t>(758)</w:t>
            </w:r>
          </w:p>
        </w:tc>
        <w:tc>
          <w:tcPr>
            <w:tcW w:w="0" w:type="auto"/>
            <w:tcBorders>
              <w:top w:val="single" w:sz="8" w:space="0" w:color="E87722"/>
            </w:tcBorders>
            <w:shd w:val="clear" w:color="auto" w:fill="auto"/>
            <w:tcMar>
              <w:top w:w="40" w:type="dxa"/>
              <w:left w:w="0" w:type="dxa"/>
              <w:bottom w:w="40" w:type="dxa"/>
              <w:right w:w="20" w:type="dxa"/>
            </w:tcMar>
            <w:vAlign w:val="bottom"/>
          </w:tcPr>
          <w:p w14:paraId="669C5D1A" w14:textId="77777777" w:rsidR="00066C63" w:rsidRDefault="00066C63">
            <w:pPr>
              <w:jc w:val="right"/>
              <w:rPr>
                <w:rFonts w:ascii="宋体"/>
              </w:rPr>
            </w:pPr>
          </w:p>
        </w:tc>
      </w:tr>
      <w:tr w:rsidR="00066C63" w14:paraId="669C5D1F"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5D1C" w14:textId="77777777" w:rsidR="00066C63" w:rsidRDefault="009656F6">
            <w:pPr>
              <w:textAlignment w:val="bottom"/>
            </w:pPr>
            <w:r>
              <w:rPr>
                <w:rFonts w:ascii="Arial" w:eastAsia="宋体" w:hAnsi="Arial" w:cs="Arial"/>
                <w:b/>
                <w:bCs/>
                <w:color w:val="000000"/>
                <w:sz w:val="17"/>
                <w:szCs w:val="17"/>
              </w:rPr>
              <w:t>Cash provided (used) by financing activities:</w:t>
            </w:r>
          </w:p>
        </w:tc>
        <w:tc>
          <w:tcPr>
            <w:tcW w:w="0" w:type="auto"/>
            <w:gridSpan w:val="3"/>
            <w:tcBorders>
              <w:top w:val="single" w:sz="8" w:space="0" w:color="808080"/>
            </w:tcBorders>
            <w:shd w:val="clear" w:color="auto" w:fill="FFF1E7"/>
            <w:tcMar>
              <w:top w:w="0" w:type="dxa"/>
              <w:left w:w="20" w:type="dxa"/>
              <w:bottom w:w="0" w:type="dxa"/>
              <w:right w:w="20" w:type="dxa"/>
            </w:tcMar>
          </w:tcPr>
          <w:p w14:paraId="669C5D1D" w14:textId="77777777" w:rsidR="00066C63" w:rsidRDefault="00066C63">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5D1E" w14:textId="77777777" w:rsidR="00066C63" w:rsidRDefault="00066C63">
            <w:pPr>
              <w:rPr>
                <w:rFonts w:ascii="宋体"/>
              </w:rPr>
            </w:pPr>
          </w:p>
        </w:tc>
      </w:tr>
      <w:tr w:rsidR="00066C63" w14:paraId="669C5D25"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5D20" w14:textId="77777777" w:rsidR="00066C63" w:rsidRDefault="009656F6">
            <w:pPr>
              <w:textAlignment w:val="bottom"/>
            </w:pPr>
            <w:r>
              <w:rPr>
                <w:rFonts w:ascii="Arial" w:eastAsia="宋体" w:hAnsi="Arial" w:cs="Arial"/>
                <w:color w:val="000000"/>
                <w:sz w:val="17"/>
                <w:szCs w:val="17"/>
              </w:rPr>
              <w:t>Increase (decrease) in notes payable</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5D21" w14:textId="77777777" w:rsidR="00066C63" w:rsidRDefault="009656F6">
            <w:pPr>
              <w:jc w:val="right"/>
              <w:textAlignment w:val="bottom"/>
            </w:pPr>
            <w:r>
              <w:rPr>
                <w:rFonts w:ascii="Arial" w:eastAsia="宋体" w:hAnsi="Arial" w:cs="Arial"/>
                <w:color w:val="000000"/>
                <w:sz w:val="17"/>
                <w:szCs w:val="17"/>
              </w:rPr>
              <w:t>(51)</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5D22"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5D23" w14:textId="77777777" w:rsidR="00066C63" w:rsidRDefault="009656F6">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left w:w="0" w:type="dxa"/>
              <w:bottom w:w="40" w:type="dxa"/>
              <w:right w:w="20" w:type="dxa"/>
            </w:tcMar>
            <w:vAlign w:val="bottom"/>
          </w:tcPr>
          <w:p w14:paraId="669C5D24" w14:textId="77777777" w:rsidR="00066C63" w:rsidRDefault="00066C63">
            <w:pPr>
              <w:jc w:val="right"/>
              <w:rPr>
                <w:rFonts w:ascii="宋体"/>
              </w:rPr>
            </w:pPr>
          </w:p>
        </w:tc>
      </w:tr>
      <w:tr w:rsidR="00066C63" w14:paraId="669C5D2B"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5D26" w14:textId="77777777" w:rsidR="00066C63" w:rsidRDefault="009656F6">
            <w:pPr>
              <w:textAlignment w:val="bottom"/>
            </w:pPr>
            <w:r>
              <w:rPr>
                <w:rFonts w:ascii="Arial" w:eastAsia="宋体" w:hAnsi="Arial" w:cs="Arial"/>
                <w:color w:val="000000"/>
                <w:sz w:val="17"/>
                <w:szCs w:val="17"/>
              </w:rPr>
              <w:t>Repayment of borrowings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5D27" w14:textId="77777777" w:rsidR="00066C63" w:rsidRDefault="009656F6">
            <w:pPr>
              <w:jc w:val="right"/>
              <w:textAlignment w:val="bottom"/>
            </w:pPr>
            <w:r>
              <w:rPr>
                <w:rFonts w:ascii="Arial" w:eastAsia="宋体" w:hAnsi="Arial" w:cs="Arial"/>
                <w:color w:val="000000"/>
                <w:sz w:val="17"/>
                <w:szCs w:val="17"/>
              </w:rPr>
              <w:t>(196)</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5D28"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5D29" w14:textId="77777777" w:rsidR="00066C63" w:rsidRDefault="009656F6">
            <w:pPr>
              <w:jc w:val="right"/>
              <w:textAlignment w:val="bottom"/>
            </w:pPr>
            <w:r>
              <w:rPr>
                <w:rFonts w:ascii="Arial" w:eastAsia="宋体" w:hAnsi="Arial" w:cs="Arial"/>
                <w:color w:val="000000"/>
                <w:sz w:val="17"/>
                <w:szCs w:val="17"/>
              </w:rPr>
              <w:t>(5)</w:t>
            </w:r>
          </w:p>
        </w:tc>
        <w:tc>
          <w:tcPr>
            <w:tcW w:w="0" w:type="auto"/>
            <w:tcBorders>
              <w:top w:val="single" w:sz="8" w:space="0" w:color="808080"/>
            </w:tcBorders>
            <w:shd w:val="clear" w:color="auto" w:fill="auto"/>
            <w:tcMar>
              <w:top w:w="40" w:type="dxa"/>
              <w:left w:w="0" w:type="dxa"/>
              <w:bottom w:w="40" w:type="dxa"/>
              <w:right w:w="20" w:type="dxa"/>
            </w:tcMar>
            <w:vAlign w:val="bottom"/>
          </w:tcPr>
          <w:p w14:paraId="669C5D2A" w14:textId="77777777" w:rsidR="00066C63" w:rsidRDefault="00066C63">
            <w:pPr>
              <w:jc w:val="right"/>
              <w:rPr>
                <w:rFonts w:ascii="宋体"/>
              </w:rPr>
            </w:pPr>
          </w:p>
        </w:tc>
      </w:tr>
      <w:tr w:rsidR="00066C63" w14:paraId="669C5D31"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5D2C" w14:textId="77777777" w:rsidR="00066C63" w:rsidRDefault="009656F6">
            <w:pPr>
              <w:textAlignment w:val="bottom"/>
            </w:pPr>
            <w:r>
              <w:rPr>
                <w:rFonts w:ascii="Arial" w:eastAsia="宋体" w:hAnsi="Arial" w:cs="Arial"/>
                <w:color w:val="000000"/>
                <w:sz w:val="17"/>
                <w:szCs w:val="17"/>
              </w:rPr>
              <w:t xml:space="preserve">Proceeds from exercise of stock </w:t>
            </w:r>
            <w:r>
              <w:rPr>
                <w:rFonts w:ascii="Arial" w:eastAsia="宋体" w:hAnsi="Arial" w:cs="Arial"/>
                <w:color w:val="000000"/>
                <w:sz w:val="17"/>
                <w:szCs w:val="17"/>
              </w:rPr>
              <w:t>options and other stock issuances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5D2D" w14:textId="77777777" w:rsidR="00066C63" w:rsidRDefault="009656F6">
            <w:pPr>
              <w:jc w:val="right"/>
              <w:textAlignment w:val="bottom"/>
            </w:pPr>
            <w:r>
              <w:rPr>
                <w:rFonts w:ascii="Arial" w:eastAsia="宋体" w:hAnsi="Arial" w:cs="Arial"/>
                <w:color w:val="000000"/>
                <w:sz w:val="17"/>
                <w:szCs w:val="17"/>
              </w:rPr>
              <w:t>969 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5D2E"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5D2F" w14:textId="77777777" w:rsidR="00066C63" w:rsidRDefault="009656F6">
            <w:pPr>
              <w:jc w:val="right"/>
              <w:textAlignment w:val="bottom"/>
            </w:pPr>
            <w:r>
              <w:rPr>
                <w:rFonts w:ascii="Arial" w:eastAsia="宋体" w:hAnsi="Arial" w:cs="Arial"/>
                <w:color w:val="000000"/>
                <w:sz w:val="17"/>
                <w:szCs w:val="17"/>
              </w:rPr>
              <w:t>678 </w:t>
            </w:r>
          </w:p>
        </w:tc>
        <w:tc>
          <w:tcPr>
            <w:tcW w:w="0" w:type="auto"/>
            <w:tcBorders>
              <w:top w:val="single" w:sz="8" w:space="0" w:color="808080"/>
            </w:tcBorders>
            <w:shd w:val="clear" w:color="auto" w:fill="auto"/>
            <w:tcMar>
              <w:top w:w="40" w:type="dxa"/>
              <w:left w:w="0" w:type="dxa"/>
              <w:bottom w:w="40" w:type="dxa"/>
              <w:right w:w="20" w:type="dxa"/>
            </w:tcMar>
            <w:vAlign w:val="bottom"/>
          </w:tcPr>
          <w:p w14:paraId="669C5D30" w14:textId="77777777" w:rsidR="00066C63" w:rsidRDefault="00066C63">
            <w:pPr>
              <w:jc w:val="right"/>
              <w:rPr>
                <w:rFonts w:ascii="宋体"/>
              </w:rPr>
            </w:pPr>
          </w:p>
        </w:tc>
      </w:tr>
      <w:tr w:rsidR="00066C63" w14:paraId="669C5D37"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5D32" w14:textId="77777777" w:rsidR="00066C63" w:rsidRDefault="009656F6">
            <w:pPr>
              <w:textAlignment w:val="bottom"/>
            </w:pPr>
            <w:r>
              <w:rPr>
                <w:rFonts w:ascii="Arial" w:eastAsia="宋体" w:hAnsi="Arial" w:cs="Arial"/>
                <w:color w:val="000000"/>
                <w:sz w:val="17"/>
                <w:szCs w:val="17"/>
              </w:rPr>
              <w:t>Repurchase of common stock</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5D33" w14:textId="77777777" w:rsidR="00066C63" w:rsidRDefault="009656F6">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5D34"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5D35" w14:textId="77777777" w:rsidR="00066C63" w:rsidRDefault="009656F6">
            <w:pPr>
              <w:jc w:val="right"/>
              <w:textAlignment w:val="bottom"/>
            </w:pPr>
            <w:r>
              <w:rPr>
                <w:rFonts w:ascii="Arial" w:eastAsia="宋体" w:hAnsi="Arial" w:cs="Arial"/>
                <w:color w:val="000000"/>
                <w:sz w:val="17"/>
                <w:szCs w:val="17"/>
              </w:rPr>
              <w:t>(2,865)</w:t>
            </w:r>
          </w:p>
        </w:tc>
        <w:tc>
          <w:tcPr>
            <w:tcW w:w="0" w:type="auto"/>
            <w:tcBorders>
              <w:top w:val="single" w:sz="8" w:space="0" w:color="808080"/>
            </w:tcBorders>
            <w:shd w:val="clear" w:color="auto" w:fill="auto"/>
            <w:tcMar>
              <w:top w:w="40" w:type="dxa"/>
              <w:left w:w="0" w:type="dxa"/>
              <w:bottom w:w="40" w:type="dxa"/>
              <w:right w:w="20" w:type="dxa"/>
            </w:tcMar>
            <w:vAlign w:val="bottom"/>
          </w:tcPr>
          <w:p w14:paraId="669C5D36" w14:textId="77777777" w:rsidR="00066C63" w:rsidRDefault="00066C63">
            <w:pPr>
              <w:jc w:val="right"/>
              <w:rPr>
                <w:rFonts w:ascii="宋体"/>
              </w:rPr>
            </w:pPr>
          </w:p>
        </w:tc>
      </w:tr>
      <w:tr w:rsidR="00066C63" w14:paraId="669C5D3D"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5D38" w14:textId="77777777" w:rsidR="00066C63" w:rsidRDefault="009656F6">
            <w:pPr>
              <w:textAlignment w:val="bottom"/>
            </w:pPr>
            <w:r>
              <w:rPr>
                <w:rFonts w:ascii="Arial" w:eastAsia="宋体" w:hAnsi="Arial" w:cs="Arial"/>
                <w:color w:val="000000"/>
                <w:sz w:val="17"/>
                <w:szCs w:val="17"/>
              </w:rPr>
              <w:t>Dividends — common and preferred</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5D39" w14:textId="77777777" w:rsidR="00066C63" w:rsidRDefault="009656F6">
            <w:pPr>
              <w:jc w:val="right"/>
              <w:textAlignment w:val="bottom"/>
            </w:pPr>
            <w:r>
              <w:rPr>
                <w:rFonts w:ascii="Arial" w:eastAsia="宋体" w:hAnsi="Arial" w:cs="Arial"/>
                <w:color w:val="000000"/>
                <w:sz w:val="17"/>
                <w:szCs w:val="17"/>
              </w:rPr>
              <w:t>(1,203)</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5D3A"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5D3B" w14:textId="77777777" w:rsidR="00066C63" w:rsidRDefault="009656F6">
            <w:pPr>
              <w:jc w:val="right"/>
              <w:textAlignment w:val="bottom"/>
            </w:pPr>
            <w:r>
              <w:rPr>
                <w:rFonts w:ascii="Arial" w:eastAsia="宋体" w:hAnsi="Arial" w:cs="Arial"/>
                <w:color w:val="000000"/>
                <w:sz w:val="17"/>
                <w:szCs w:val="17"/>
              </w:rPr>
              <w:t>(1,071)</w:t>
            </w:r>
          </w:p>
        </w:tc>
        <w:tc>
          <w:tcPr>
            <w:tcW w:w="0" w:type="auto"/>
            <w:tcBorders>
              <w:top w:val="single" w:sz="8" w:space="0" w:color="808080"/>
            </w:tcBorders>
            <w:shd w:val="clear" w:color="auto" w:fill="auto"/>
            <w:tcMar>
              <w:top w:w="40" w:type="dxa"/>
              <w:left w:w="0" w:type="dxa"/>
              <w:bottom w:w="40" w:type="dxa"/>
              <w:right w:w="20" w:type="dxa"/>
            </w:tcMar>
            <w:vAlign w:val="bottom"/>
          </w:tcPr>
          <w:p w14:paraId="669C5D3C" w14:textId="77777777" w:rsidR="00066C63" w:rsidRDefault="00066C63">
            <w:pPr>
              <w:jc w:val="right"/>
              <w:rPr>
                <w:rFonts w:ascii="宋体"/>
              </w:rPr>
            </w:pPr>
          </w:p>
        </w:tc>
      </w:tr>
      <w:tr w:rsidR="00066C63" w14:paraId="669C5D43"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5D3E" w14:textId="77777777" w:rsidR="00066C63" w:rsidRDefault="009656F6">
            <w:pPr>
              <w:textAlignment w:val="bottom"/>
            </w:pPr>
            <w:r>
              <w:rPr>
                <w:rFonts w:ascii="Arial" w:eastAsia="宋体" w:hAnsi="Arial" w:cs="Arial"/>
                <w:color w:val="000000"/>
                <w:sz w:val="17"/>
                <w:szCs w:val="17"/>
              </w:rPr>
              <w:t>Other financing activities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5D3F" w14:textId="77777777" w:rsidR="00066C63" w:rsidRDefault="009656F6">
            <w:pPr>
              <w:jc w:val="right"/>
              <w:textAlignment w:val="bottom"/>
            </w:pPr>
            <w:r>
              <w:rPr>
                <w:rFonts w:ascii="Arial" w:eastAsia="宋体" w:hAnsi="Arial" w:cs="Arial"/>
                <w:color w:val="000000"/>
                <w:sz w:val="17"/>
                <w:szCs w:val="17"/>
              </w:rPr>
              <w:t>(131)</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5D40"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5D41" w14:textId="77777777" w:rsidR="00066C63" w:rsidRDefault="009656F6">
            <w:pPr>
              <w:jc w:val="right"/>
              <w:textAlignment w:val="bottom"/>
            </w:pPr>
            <w:r>
              <w:rPr>
                <w:rFonts w:ascii="Arial" w:eastAsia="宋体" w:hAnsi="Arial" w:cs="Arial"/>
                <w:color w:val="000000"/>
                <w:sz w:val="17"/>
                <w:szCs w:val="17"/>
              </w:rPr>
              <w:t>(47)</w:t>
            </w:r>
          </w:p>
        </w:tc>
        <w:tc>
          <w:tcPr>
            <w:tcW w:w="0" w:type="auto"/>
            <w:tcBorders>
              <w:top w:val="single" w:sz="8" w:space="0" w:color="808080"/>
            </w:tcBorders>
            <w:shd w:val="clear" w:color="auto" w:fill="auto"/>
            <w:tcMar>
              <w:top w:w="40" w:type="dxa"/>
              <w:left w:w="0" w:type="dxa"/>
              <w:bottom w:w="40" w:type="dxa"/>
              <w:right w:w="20" w:type="dxa"/>
            </w:tcMar>
            <w:vAlign w:val="bottom"/>
          </w:tcPr>
          <w:p w14:paraId="669C5D42" w14:textId="77777777" w:rsidR="00066C63" w:rsidRDefault="00066C63">
            <w:pPr>
              <w:jc w:val="right"/>
              <w:rPr>
                <w:rFonts w:ascii="宋体"/>
              </w:rPr>
            </w:pPr>
          </w:p>
        </w:tc>
      </w:tr>
      <w:tr w:rsidR="00066C63" w14:paraId="669C5D49"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5D44" w14:textId="77777777" w:rsidR="00066C63" w:rsidRDefault="009656F6">
            <w:pPr>
              <w:textAlignment w:val="bottom"/>
            </w:pPr>
            <w:r>
              <w:rPr>
                <w:rFonts w:ascii="Arial" w:eastAsia="宋体" w:hAnsi="Arial" w:cs="Arial"/>
                <w:color w:val="000000"/>
                <w:sz w:val="17"/>
                <w:szCs w:val="17"/>
              </w:rPr>
              <w:t>Cash provided (used) by financing activities</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669C5D45" w14:textId="77777777" w:rsidR="00066C63" w:rsidRDefault="009656F6">
            <w:pPr>
              <w:jc w:val="right"/>
              <w:textAlignment w:val="bottom"/>
            </w:pPr>
            <w:r>
              <w:rPr>
                <w:rFonts w:ascii="Arial" w:eastAsia="宋体" w:hAnsi="Arial" w:cs="Arial"/>
                <w:color w:val="000000"/>
                <w:sz w:val="17"/>
                <w:szCs w:val="17"/>
              </w:rPr>
              <w:t>(612)</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5D46" w14:textId="77777777" w:rsidR="00066C63" w:rsidRDefault="00066C63">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5D47" w14:textId="77777777" w:rsidR="00066C63" w:rsidRDefault="009656F6">
            <w:pPr>
              <w:jc w:val="right"/>
              <w:textAlignment w:val="bottom"/>
            </w:pPr>
            <w:r>
              <w:rPr>
                <w:rFonts w:ascii="Arial" w:eastAsia="宋体" w:hAnsi="Arial" w:cs="Arial"/>
                <w:color w:val="000000"/>
                <w:sz w:val="17"/>
                <w:szCs w:val="17"/>
              </w:rPr>
              <w:t>(3,310)</w:t>
            </w:r>
          </w:p>
        </w:tc>
        <w:tc>
          <w:tcPr>
            <w:tcW w:w="0" w:type="auto"/>
            <w:tcBorders>
              <w:top w:val="single" w:sz="8" w:space="0" w:color="E87722"/>
            </w:tcBorders>
            <w:shd w:val="clear" w:color="auto" w:fill="auto"/>
            <w:tcMar>
              <w:top w:w="40" w:type="dxa"/>
              <w:left w:w="0" w:type="dxa"/>
              <w:bottom w:w="40" w:type="dxa"/>
              <w:right w:w="20" w:type="dxa"/>
            </w:tcMar>
            <w:vAlign w:val="bottom"/>
          </w:tcPr>
          <w:p w14:paraId="669C5D48" w14:textId="77777777" w:rsidR="00066C63" w:rsidRDefault="00066C63">
            <w:pPr>
              <w:jc w:val="right"/>
              <w:rPr>
                <w:rFonts w:ascii="宋体"/>
              </w:rPr>
            </w:pPr>
          </w:p>
        </w:tc>
      </w:tr>
      <w:tr w:rsidR="00066C63" w14:paraId="669C5D4F"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5D4A" w14:textId="77777777" w:rsidR="00066C63" w:rsidRDefault="009656F6">
            <w:pPr>
              <w:textAlignment w:val="bottom"/>
            </w:pPr>
            <w:r>
              <w:rPr>
                <w:rFonts w:ascii="Arial" w:eastAsia="宋体" w:hAnsi="Arial" w:cs="Arial"/>
                <w:color w:val="000000"/>
                <w:sz w:val="17"/>
                <w:szCs w:val="17"/>
              </w:rPr>
              <w:t xml:space="preserve">Effect of </w:t>
            </w:r>
            <w:r>
              <w:rPr>
                <w:rFonts w:ascii="Arial" w:eastAsia="宋体" w:hAnsi="Arial" w:cs="Arial"/>
                <w:color w:val="000000"/>
                <w:sz w:val="17"/>
                <w:szCs w:val="17"/>
              </w:rPr>
              <w:t>exchange rate changes on cash and equivalents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5D4B" w14:textId="77777777" w:rsidR="00066C63" w:rsidRDefault="009656F6">
            <w:pPr>
              <w:jc w:val="right"/>
              <w:textAlignment w:val="bottom"/>
            </w:pPr>
            <w:r>
              <w:rPr>
                <w:rFonts w:ascii="Arial" w:eastAsia="宋体" w:hAnsi="Arial" w:cs="Arial"/>
                <w:color w:val="000000"/>
                <w:sz w:val="17"/>
                <w:szCs w:val="17"/>
              </w:rPr>
              <w:t>122 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5D4C"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5D4D" w14:textId="77777777" w:rsidR="00066C63" w:rsidRDefault="009656F6">
            <w:pPr>
              <w:jc w:val="right"/>
              <w:textAlignment w:val="bottom"/>
            </w:pPr>
            <w:r>
              <w:rPr>
                <w:rFonts w:ascii="Arial" w:eastAsia="宋体" w:hAnsi="Arial" w:cs="Arial"/>
                <w:color w:val="000000"/>
                <w:sz w:val="17"/>
                <w:szCs w:val="17"/>
              </w:rPr>
              <w:t>(21)</w:t>
            </w:r>
          </w:p>
        </w:tc>
        <w:tc>
          <w:tcPr>
            <w:tcW w:w="0" w:type="auto"/>
            <w:tcBorders>
              <w:top w:val="single" w:sz="8" w:space="0" w:color="808080"/>
            </w:tcBorders>
            <w:shd w:val="clear" w:color="auto" w:fill="auto"/>
            <w:tcMar>
              <w:top w:w="40" w:type="dxa"/>
              <w:left w:w="0" w:type="dxa"/>
              <w:bottom w:w="40" w:type="dxa"/>
              <w:right w:w="20" w:type="dxa"/>
            </w:tcMar>
            <w:vAlign w:val="bottom"/>
          </w:tcPr>
          <w:p w14:paraId="669C5D4E" w14:textId="77777777" w:rsidR="00066C63" w:rsidRDefault="00066C63">
            <w:pPr>
              <w:jc w:val="right"/>
              <w:rPr>
                <w:rFonts w:ascii="宋体"/>
              </w:rPr>
            </w:pPr>
          </w:p>
        </w:tc>
      </w:tr>
      <w:tr w:rsidR="00066C63" w14:paraId="669C5D55"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5D50" w14:textId="77777777" w:rsidR="00066C63" w:rsidRDefault="009656F6">
            <w:pPr>
              <w:textAlignment w:val="bottom"/>
            </w:pPr>
            <w:r>
              <w:rPr>
                <w:rFonts w:ascii="Arial" w:eastAsia="宋体" w:hAnsi="Arial" w:cs="Arial"/>
                <w:color w:val="000000"/>
                <w:sz w:val="17"/>
                <w:szCs w:val="17"/>
              </w:rPr>
              <w:t>Net increase (decrease) in cash and equivalents</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669C5D51" w14:textId="77777777" w:rsidR="00066C63" w:rsidRDefault="009656F6">
            <w:pPr>
              <w:jc w:val="right"/>
              <w:textAlignment w:val="bottom"/>
            </w:pPr>
            <w:r>
              <w:rPr>
                <w:rFonts w:ascii="Arial" w:eastAsia="宋体" w:hAnsi="Arial" w:cs="Arial"/>
                <w:color w:val="000000"/>
                <w:sz w:val="17"/>
                <w:szCs w:val="17"/>
              </w:rPr>
              <w:t>168 </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5D52" w14:textId="77777777" w:rsidR="00066C63" w:rsidRDefault="00066C63">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5D53" w14:textId="77777777" w:rsidR="00066C63" w:rsidRDefault="009656F6">
            <w:pPr>
              <w:jc w:val="right"/>
              <w:textAlignment w:val="bottom"/>
            </w:pPr>
            <w:r>
              <w:rPr>
                <w:rFonts w:ascii="Arial" w:eastAsia="宋体" w:hAnsi="Arial" w:cs="Arial"/>
                <w:color w:val="000000"/>
                <w:sz w:val="17"/>
                <w:szCs w:val="17"/>
              </w:rPr>
              <w:t>(1,603)</w:t>
            </w:r>
          </w:p>
        </w:tc>
        <w:tc>
          <w:tcPr>
            <w:tcW w:w="0" w:type="auto"/>
            <w:tcBorders>
              <w:top w:val="single" w:sz="8" w:space="0" w:color="E87722"/>
            </w:tcBorders>
            <w:shd w:val="clear" w:color="auto" w:fill="auto"/>
            <w:tcMar>
              <w:top w:w="40" w:type="dxa"/>
              <w:left w:w="0" w:type="dxa"/>
              <w:bottom w:w="40" w:type="dxa"/>
              <w:right w:w="20" w:type="dxa"/>
            </w:tcMar>
            <w:vAlign w:val="bottom"/>
          </w:tcPr>
          <w:p w14:paraId="669C5D54" w14:textId="77777777" w:rsidR="00066C63" w:rsidRDefault="00066C63">
            <w:pPr>
              <w:jc w:val="right"/>
              <w:rPr>
                <w:rFonts w:ascii="宋体"/>
              </w:rPr>
            </w:pPr>
          </w:p>
        </w:tc>
      </w:tr>
      <w:tr w:rsidR="00066C63" w14:paraId="669C5D5B"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5D56" w14:textId="77777777" w:rsidR="00066C63" w:rsidRDefault="009656F6">
            <w:pPr>
              <w:textAlignment w:val="bottom"/>
            </w:pPr>
            <w:r>
              <w:rPr>
                <w:rFonts w:ascii="Arial" w:eastAsia="宋体" w:hAnsi="Arial" w:cs="Arial"/>
                <w:color w:val="000000"/>
                <w:sz w:val="17"/>
                <w:szCs w:val="17"/>
              </w:rPr>
              <w:t>Cash and equivalents, beginning of period</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5D57" w14:textId="77777777" w:rsidR="00066C63" w:rsidRDefault="009656F6">
            <w:pPr>
              <w:jc w:val="right"/>
              <w:textAlignment w:val="bottom"/>
            </w:pPr>
            <w:r>
              <w:rPr>
                <w:rFonts w:ascii="Arial" w:eastAsia="宋体" w:hAnsi="Arial" w:cs="Arial"/>
                <w:color w:val="000000"/>
                <w:sz w:val="17"/>
                <w:szCs w:val="17"/>
              </w:rPr>
              <w:t>8,348 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5D58"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5D59" w14:textId="77777777" w:rsidR="00066C63" w:rsidRDefault="009656F6">
            <w:pPr>
              <w:jc w:val="right"/>
              <w:textAlignment w:val="bottom"/>
            </w:pPr>
            <w:r>
              <w:rPr>
                <w:rFonts w:ascii="Arial" w:eastAsia="宋体" w:hAnsi="Arial" w:cs="Arial"/>
                <w:color w:val="000000"/>
                <w:sz w:val="17"/>
                <w:szCs w:val="17"/>
              </w:rPr>
              <w:t>4,466 </w:t>
            </w:r>
          </w:p>
        </w:tc>
        <w:tc>
          <w:tcPr>
            <w:tcW w:w="0" w:type="auto"/>
            <w:tcBorders>
              <w:top w:val="single" w:sz="8" w:space="0" w:color="808080"/>
            </w:tcBorders>
            <w:shd w:val="clear" w:color="auto" w:fill="auto"/>
            <w:tcMar>
              <w:top w:w="40" w:type="dxa"/>
              <w:left w:w="0" w:type="dxa"/>
              <w:bottom w:w="40" w:type="dxa"/>
              <w:right w:w="20" w:type="dxa"/>
            </w:tcMar>
            <w:vAlign w:val="bottom"/>
          </w:tcPr>
          <w:p w14:paraId="669C5D5A" w14:textId="77777777" w:rsidR="00066C63" w:rsidRDefault="00066C63">
            <w:pPr>
              <w:jc w:val="right"/>
              <w:rPr>
                <w:rFonts w:ascii="宋体"/>
              </w:rPr>
            </w:pPr>
          </w:p>
        </w:tc>
      </w:tr>
      <w:tr w:rsidR="00066C63" w14:paraId="669C5D63"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5D5C" w14:textId="77777777" w:rsidR="00066C63" w:rsidRDefault="009656F6">
            <w:pPr>
              <w:textAlignment w:val="bottom"/>
            </w:pPr>
            <w:r>
              <w:rPr>
                <w:rFonts w:ascii="Arial" w:eastAsia="宋体" w:hAnsi="Arial" w:cs="Arial"/>
                <w:b/>
                <w:bCs/>
                <w:color w:val="000000"/>
                <w:sz w:val="17"/>
                <w:szCs w:val="17"/>
              </w:rPr>
              <w:t>CASH AND EQUIVALENTS, END OF PERIOD</w:t>
            </w:r>
          </w:p>
        </w:tc>
        <w:tc>
          <w:tcPr>
            <w:tcW w:w="0" w:type="auto"/>
            <w:tcBorders>
              <w:top w:val="single" w:sz="8" w:space="0" w:color="E87722"/>
            </w:tcBorders>
            <w:shd w:val="clear" w:color="auto" w:fill="FFF1E7"/>
            <w:tcMar>
              <w:top w:w="40" w:type="dxa"/>
              <w:left w:w="20" w:type="dxa"/>
              <w:bottom w:w="40" w:type="dxa"/>
              <w:right w:w="0" w:type="dxa"/>
            </w:tcMar>
            <w:vAlign w:val="bottom"/>
          </w:tcPr>
          <w:p w14:paraId="669C5D5D"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669C5D5E" w14:textId="77777777" w:rsidR="00066C63" w:rsidRDefault="009656F6">
            <w:pPr>
              <w:jc w:val="right"/>
              <w:textAlignment w:val="bottom"/>
            </w:pPr>
            <w:r>
              <w:rPr>
                <w:rFonts w:ascii="Arial" w:eastAsia="宋体" w:hAnsi="Arial" w:cs="Arial"/>
                <w:b/>
                <w:bCs/>
                <w:color w:val="000000"/>
                <w:sz w:val="17"/>
                <w:szCs w:val="17"/>
              </w:rPr>
              <w:t>8,516</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5D5F" w14:textId="77777777" w:rsidR="00066C63" w:rsidRDefault="00066C63">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69C5D60"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69C5D61" w14:textId="77777777" w:rsidR="00066C63" w:rsidRDefault="009656F6">
            <w:pPr>
              <w:jc w:val="right"/>
              <w:textAlignment w:val="bottom"/>
            </w:pPr>
            <w:r>
              <w:rPr>
                <w:rFonts w:ascii="Arial" w:eastAsia="宋体" w:hAnsi="Arial" w:cs="Arial"/>
                <w:b/>
                <w:bCs/>
                <w:color w:val="000000"/>
                <w:sz w:val="17"/>
                <w:szCs w:val="17"/>
              </w:rPr>
              <w:t>2,863</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5D62" w14:textId="77777777" w:rsidR="00066C63" w:rsidRDefault="00066C63">
            <w:pPr>
              <w:jc w:val="right"/>
              <w:rPr>
                <w:rFonts w:ascii="宋体"/>
              </w:rPr>
            </w:pPr>
          </w:p>
        </w:tc>
      </w:tr>
      <w:tr w:rsidR="00066C63" w14:paraId="669C5D67"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5D64" w14:textId="77777777" w:rsidR="00066C63" w:rsidRDefault="009656F6">
            <w:pPr>
              <w:textAlignment w:val="bottom"/>
            </w:pPr>
            <w:r>
              <w:rPr>
                <w:rFonts w:ascii="Arial" w:eastAsia="宋体" w:hAnsi="Arial" w:cs="Arial"/>
                <w:b/>
                <w:bCs/>
                <w:color w:val="000000"/>
                <w:sz w:val="17"/>
                <w:szCs w:val="17"/>
              </w:rPr>
              <w:t>Supplemental disclosure of cash flow information:</w:t>
            </w:r>
          </w:p>
        </w:tc>
        <w:tc>
          <w:tcPr>
            <w:tcW w:w="0" w:type="auto"/>
            <w:gridSpan w:val="3"/>
            <w:tcBorders>
              <w:top w:val="single" w:sz="8" w:space="0" w:color="E87722"/>
            </w:tcBorders>
            <w:shd w:val="clear" w:color="auto" w:fill="FFF1E7"/>
            <w:tcMar>
              <w:top w:w="0" w:type="dxa"/>
              <w:left w:w="20" w:type="dxa"/>
              <w:bottom w:w="0" w:type="dxa"/>
              <w:right w:w="20" w:type="dxa"/>
            </w:tcMar>
          </w:tcPr>
          <w:p w14:paraId="669C5D65"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5D66" w14:textId="77777777" w:rsidR="00066C63" w:rsidRDefault="00066C63">
            <w:pPr>
              <w:rPr>
                <w:rFonts w:ascii="宋体"/>
              </w:rPr>
            </w:pPr>
          </w:p>
        </w:tc>
      </w:tr>
      <w:tr w:rsidR="00066C63" w14:paraId="669C5D6F"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5D68" w14:textId="77777777" w:rsidR="00066C63" w:rsidRDefault="009656F6">
            <w:pPr>
              <w:textAlignment w:val="bottom"/>
            </w:pPr>
            <w:r>
              <w:rPr>
                <w:rFonts w:ascii="Arial" w:eastAsia="宋体" w:hAnsi="Arial" w:cs="Arial"/>
                <w:color w:val="000000"/>
                <w:sz w:val="17"/>
                <w:szCs w:val="17"/>
              </w:rPr>
              <w:t>Non-cash additions to property, plant and equipment</w:t>
            </w:r>
          </w:p>
        </w:tc>
        <w:tc>
          <w:tcPr>
            <w:tcW w:w="0" w:type="auto"/>
            <w:tcBorders>
              <w:top w:val="single" w:sz="8" w:space="0" w:color="808080"/>
            </w:tcBorders>
            <w:shd w:val="clear" w:color="auto" w:fill="FFF1E7"/>
            <w:tcMar>
              <w:top w:w="40" w:type="dxa"/>
              <w:left w:w="20" w:type="dxa"/>
              <w:bottom w:w="40" w:type="dxa"/>
              <w:right w:w="0" w:type="dxa"/>
            </w:tcMar>
            <w:vAlign w:val="bottom"/>
          </w:tcPr>
          <w:p w14:paraId="669C5D69"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669C5D6A" w14:textId="77777777" w:rsidR="00066C63" w:rsidRDefault="009656F6">
            <w:pPr>
              <w:jc w:val="right"/>
              <w:textAlignment w:val="bottom"/>
            </w:pPr>
            <w:r>
              <w:rPr>
                <w:rFonts w:ascii="Arial" w:eastAsia="宋体" w:hAnsi="Arial" w:cs="Arial"/>
                <w:color w:val="000000"/>
                <w:sz w:val="17"/>
                <w:szCs w:val="17"/>
              </w:rPr>
              <w:t>116 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5D6B" w14:textId="77777777" w:rsidR="00066C63" w:rsidRDefault="00066C63">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669C5D6C"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669C5D6D" w14:textId="77777777" w:rsidR="00066C63" w:rsidRDefault="009656F6">
            <w:pPr>
              <w:jc w:val="right"/>
              <w:textAlignment w:val="bottom"/>
            </w:pPr>
            <w:r>
              <w:rPr>
                <w:rFonts w:ascii="Arial" w:eastAsia="宋体" w:hAnsi="Arial" w:cs="Arial"/>
                <w:color w:val="000000"/>
                <w:sz w:val="17"/>
                <w:szCs w:val="17"/>
              </w:rPr>
              <w:t>115 </w:t>
            </w:r>
          </w:p>
        </w:tc>
        <w:tc>
          <w:tcPr>
            <w:tcW w:w="0" w:type="auto"/>
            <w:tcBorders>
              <w:top w:val="single" w:sz="8" w:space="0" w:color="808080"/>
            </w:tcBorders>
            <w:shd w:val="clear" w:color="auto" w:fill="auto"/>
            <w:tcMar>
              <w:top w:w="40" w:type="dxa"/>
              <w:left w:w="0" w:type="dxa"/>
              <w:bottom w:w="40" w:type="dxa"/>
              <w:right w:w="20" w:type="dxa"/>
            </w:tcMar>
            <w:vAlign w:val="bottom"/>
          </w:tcPr>
          <w:p w14:paraId="669C5D6E" w14:textId="77777777" w:rsidR="00066C63" w:rsidRDefault="00066C63">
            <w:pPr>
              <w:jc w:val="right"/>
              <w:rPr>
                <w:rFonts w:ascii="宋体"/>
              </w:rPr>
            </w:pPr>
          </w:p>
        </w:tc>
      </w:tr>
      <w:tr w:rsidR="00066C63" w14:paraId="669C5D75" w14:textId="77777777">
        <w:tc>
          <w:tcPr>
            <w:tcW w:w="0" w:type="auto"/>
            <w:gridSpan w:val="3"/>
            <w:tcBorders>
              <w:top w:val="single" w:sz="8" w:space="0" w:color="808080"/>
              <w:bottom w:val="single" w:sz="8" w:space="0" w:color="E87722"/>
            </w:tcBorders>
            <w:shd w:val="clear" w:color="auto" w:fill="auto"/>
            <w:tcMar>
              <w:top w:w="40" w:type="dxa"/>
              <w:left w:w="20" w:type="dxa"/>
              <w:bottom w:w="40" w:type="dxa"/>
              <w:right w:w="20" w:type="dxa"/>
            </w:tcMar>
            <w:vAlign w:val="bottom"/>
          </w:tcPr>
          <w:p w14:paraId="669C5D70" w14:textId="77777777" w:rsidR="00066C63" w:rsidRDefault="009656F6">
            <w:pPr>
              <w:textAlignment w:val="bottom"/>
            </w:pPr>
            <w:r>
              <w:rPr>
                <w:rFonts w:ascii="Arial" w:eastAsia="宋体" w:hAnsi="Arial" w:cs="Arial"/>
                <w:color w:val="000000"/>
                <w:sz w:val="17"/>
                <w:szCs w:val="17"/>
              </w:rPr>
              <w:t>Dividends declared and not paid</w:t>
            </w:r>
          </w:p>
        </w:tc>
        <w:tc>
          <w:tcPr>
            <w:tcW w:w="0" w:type="auto"/>
            <w:gridSpan w:val="2"/>
            <w:tcBorders>
              <w:top w:val="single" w:sz="8" w:space="0" w:color="808080"/>
              <w:bottom w:val="single" w:sz="8" w:space="0" w:color="E87722"/>
            </w:tcBorders>
            <w:shd w:val="clear" w:color="auto" w:fill="FFF1E7"/>
            <w:tcMar>
              <w:top w:w="40" w:type="dxa"/>
              <w:left w:w="20" w:type="dxa"/>
              <w:bottom w:w="40" w:type="dxa"/>
              <w:right w:w="0" w:type="dxa"/>
            </w:tcMar>
            <w:vAlign w:val="bottom"/>
          </w:tcPr>
          <w:p w14:paraId="669C5D71" w14:textId="77777777" w:rsidR="00066C63" w:rsidRDefault="009656F6">
            <w:pPr>
              <w:jc w:val="right"/>
              <w:textAlignment w:val="bottom"/>
            </w:pPr>
            <w:r>
              <w:rPr>
                <w:rFonts w:ascii="Arial" w:eastAsia="宋体" w:hAnsi="Arial" w:cs="Arial"/>
                <w:color w:val="000000"/>
                <w:sz w:val="17"/>
                <w:szCs w:val="17"/>
              </w:rPr>
              <w:t>437 </w:t>
            </w:r>
          </w:p>
        </w:tc>
        <w:tc>
          <w:tcPr>
            <w:tcW w:w="0" w:type="auto"/>
            <w:tcBorders>
              <w:top w:val="single" w:sz="8" w:space="0" w:color="808080"/>
              <w:bottom w:val="single" w:sz="8" w:space="0" w:color="E87722"/>
            </w:tcBorders>
            <w:shd w:val="clear" w:color="auto" w:fill="FFF1E7"/>
            <w:tcMar>
              <w:top w:w="40" w:type="dxa"/>
              <w:left w:w="0" w:type="dxa"/>
              <w:bottom w:w="40" w:type="dxa"/>
              <w:right w:w="20" w:type="dxa"/>
            </w:tcMar>
            <w:vAlign w:val="bottom"/>
          </w:tcPr>
          <w:p w14:paraId="669C5D72" w14:textId="77777777" w:rsidR="00066C63" w:rsidRDefault="00066C63">
            <w:pPr>
              <w:jc w:val="right"/>
              <w:rPr>
                <w:rFonts w:ascii="宋体"/>
              </w:rPr>
            </w:pPr>
          </w:p>
        </w:tc>
        <w:tc>
          <w:tcPr>
            <w:tcW w:w="0" w:type="auto"/>
            <w:gridSpan w:val="2"/>
            <w:tcBorders>
              <w:top w:val="single" w:sz="8" w:space="0" w:color="808080"/>
              <w:bottom w:val="single" w:sz="8" w:space="0" w:color="E87722"/>
            </w:tcBorders>
            <w:shd w:val="clear" w:color="auto" w:fill="auto"/>
            <w:tcMar>
              <w:top w:w="40" w:type="dxa"/>
              <w:left w:w="20" w:type="dxa"/>
              <w:bottom w:w="40" w:type="dxa"/>
              <w:right w:w="0" w:type="dxa"/>
            </w:tcMar>
            <w:vAlign w:val="bottom"/>
          </w:tcPr>
          <w:p w14:paraId="669C5D73" w14:textId="77777777" w:rsidR="00066C63" w:rsidRDefault="009656F6">
            <w:pPr>
              <w:jc w:val="right"/>
              <w:textAlignment w:val="bottom"/>
            </w:pPr>
            <w:r>
              <w:rPr>
                <w:rFonts w:ascii="Arial" w:eastAsia="宋体" w:hAnsi="Arial" w:cs="Arial"/>
                <w:color w:val="000000"/>
                <w:sz w:val="17"/>
                <w:szCs w:val="17"/>
              </w:rPr>
              <w:t>384 </w:t>
            </w:r>
          </w:p>
        </w:tc>
        <w:tc>
          <w:tcPr>
            <w:tcW w:w="0" w:type="auto"/>
            <w:tcBorders>
              <w:top w:val="single" w:sz="8" w:space="0" w:color="808080"/>
              <w:bottom w:val="single" w:sz="8" w:space="0" w:color="E87722"/>
            </w:tcBorders>
            <w:shd w:val="clear" w:color="auto" w:fill="auto"/>
            <w:tcMar>
              <w:top w:w="40" w:type="dxa"/>
              <w:left w:w="0" w:type="dxa"/>
              <w:bottom w:w="40" w:type="dxa"/>
              <w:right w:w="20" w:type="dxa"/>
            </w:tcMar>
            <w:vAlign w:val="bottom"/>
          </w:tcPr>
          <w:p w14:paraId="669C5D74" w14:textId="77777777" w:rsidR="00066C63" w:rsidRDefault="00066C63">
            <w:pPr>
              <w:jc w:val="right"/>
              <w:rPr>
                <w:rFonts w:ascii="宋体"/>
              </w:rPr>
            </w:pPr>
          </w:p>
        </w:tc>
      </w:tr>
    </w:tbl>
    <w:p w14:paraId="669C5D76" w14:textId="77777777" w:rsidR="00066C63" w:rsidRDefault="009656F6">
      <w:pPr>
        <w:spacing w:before="120" w:after="120"/>
      </w:pPr>
      <w:r>
        <w:rPr>
          <w:rFonts w:ascii="Arial" w:eastAsia="宋体" w:hAnsi="Arial" w:cs="Arial"/>
          <w:i/>
          <w:iCs/>
          <w:color w:val="000000"/>
          <w:sz w:val="17"/>
          <w:szCs w:val="17"/>
        </w:rPr>
        <w:t xml:space="preserve">The accompanying Notes to the Unaudited Condensed Consolidated Financial </w:t>
      </w:r>
      <w:r>
        <w:rPr>
          <w:rFonts w:ascii="Arial" w:eastAsia="宋体" w:hAnsi="Arial" w:cs="Arial"/>
          <w:i/>
          <w:iCs/>
          <w:color w:val="000000"/>
          <w:sz w:val="17"/>
          <w:szCs w:val="17"/>
        </w:rPr>
        <w:t>Statements are an integral part of this statement.</w:t>
      </w:r>
    </w:p>
    <w:p w14:paraId="669C5D77" w14:textId="77777777" w:rsidR="00066C63" w:rsidRDefault="009656F6">
      <w:pPr>
        <w:spacing w:before="120" w:after="120"/>
      </w:pPr>
      <w:r>
        <w:rPr>
          <w:rFonts w:ascii="Arial" w:eastAsia="宋体" w:hAnsi="Arial" w:cs="Arial"/>
          <w:color w:val="E87722"/>
          <w:sz w:val="17"/>
          <w:szCs w:val="17"/>
        </w:rPr>
        <w:t>4</w:t>
      </w:r>
      <w:r>
        <w:rPr>
          <w:rFonts w:ascii="sans-serif" w:eastAsia="sans-serif" w:hAnsi="sans-serif" w:cs="sans-serif"/>
          <w:color w:val="000000"/>
          <w:sz w:val="17"/>
          <w:szCs w:val="17"/>
        </w:rPr>
        <w:t xml:space="preserve"> </w:t>
      </w:r>
    </w:p>
    <w:p w14:paraId="669C5D78" w14:textId="77777777" w:rsidR="00066C63" w:rsidRDefault="009656F6">
      <w:r>
        <w:pict w14:anchorId="669C7E34">
          <v:rect id="_x0000_i1030" style="width:415.3pt;height:1.5pt" o:hralign="center" o:hrstd="t" o:hr="t" fillcolor="#a0a0a0" stroked="f"/>
        </w:pict>
      </w:r>
    </w:p>
    <w:p w14:paraId="669C5D79" w14:textId="77777777" w:rsidR="00066C63" w:rsidRDefault="00066C63"/>
    <w:p w14:paraId="669C5D7A" w14:textId="77777777" w:rsidR="00066C63" w:rsidRDefault="009656F6">
      <w:hyperlink r:id="rId47" w:anchor="i1e99cb26debe49fe8b698d0f0eb1273a_7" w:history="1">
        <w:r>
          <w:rPr>
            <w:rStyle w:val="a5"/>
            <w:rFonts w:ascii="sans-serif" w:eastAsia="sans-serif" w:hAnsi="sans-serif" w:cs="sans-serif"/>
            <w:sz w:val="17"/>
            <w:szCs w:val="17"/>
          </w:rPr>
          <w:t>Table of Contents</w:t>
        </w:r>
      </w:hyperlink>
    </w:p>
    <w:p w14:paraId="669C5D7B" w14:textId="77777777" w:rsidR="00066C63" w:rsidRDefault="00066C63"/>
    <w:p w14:paraId="669C5D7C" w14:textId="77777777" w:rsidR="00066C63" w:rsidRDefault="009656F6">
      <w:pPr>
        <w:spacing w:before="300"/>
      </w:pPr>
      <w:r>
        <w:rPr>
          <w:rFonts w:ascii="sans-serif" w:eastAsia="sans-serif" w:hAnsi="sans-serif" w:cs="sans-serif"/>
          <w:b/>
          <w:bCs/>
          <w:color w:val="E87722"/>
          <w:sz w:val="36"/>
          <w:szCs w:val="36"/>
        </w:rPr>
        <w:t>NIKE, INC.</w:t>
      </w:r>
    </w:p>
    <w:p w14:paraId="669C5D7D" w14:textId="77777777" w:rsidR="00066C63" w:rsidRDefault="009656F6">
      <w:pPr>
        <w:spacing w:before="120" w:after="120"/>
      </w:pPr>
      <w:r>
        <w:rPr>
          <w:rFonts w:ascii="sans-serif" w:eastAsia="sans-serif" w:hAnsi="sans-serif" w:cs="sans-serif"/>
          <w:b/>
          <w:bCs/>
          <w:color w:val="000000"/>
          <w:sz w:val="28"/>
          <w:szCs w:val="28"/>
        </w:rPr>
        <w:t>UNAUDITED CONDENSED CONSOLIDATED STATEMENTS OF SHAREHOLDERS' EQUITY</w:t>
      </w:r>
    </w:p>
    <w:tbl>
      <w:tblPr>
        <w:tblW w:w="4992" w:type="pct"/>
        <w:jc w:val="center"/>
        <w:tblCellMar>
          <w:top w:w="15" w:type="dxa"/>
          <w:left w:w="15" w:type="dxa"/>
          <w:bottom w:w="15" w:type="dxa"/>
          <w:right w:w="15" w:type="dxa"/>
        </w:tblCellMar>
        <w:tblLook w:val="04A0" w:firstRow="1" w:lastRow="0" w:firstColumn="1" w:lastColumn="0" w:noHBand="0" w:noVBand="1"/>
      </w:tblPr>
      <w:tblGrid>
        <w:gridCol w:w="40"/>
        <w:gridCol w:w="1636"/>
        <w:gridCol w:w="39"/>
        <w:gridCol w:w="87"/>
        <w:gridCol w:w="495"/>
        <w:gridCol w:w="36"/>
        <w:gridCol w:w="116"/>
        <w:gridCol w:w="616"/>
        <w:gridCol w:w="36"/>
        <w:gridCol w:w="36"/>
        <w:gridCol w:w="36"/>
        <w:gridCol w:w="36"/>
        <w:gridCol w:w="87"/>
        <w:gridCol w:w="495"/>
        <w:gridCol w:w="37"/>
        <w:gridCol w:w="117"/>
        <w:gridCol w:w="610"/>
        <w:gridCol w:w="37"/>
        <w:gridCol w:w="116"/>
        <w:gridCol w:w="712"/>
        <w:gridCol w:w="36"/>
        <w:gridCol w:w="116"/>
        <w:gridCol w:w="1165"/>
        <w:gridCol w:w="36"/>
        <w:gridCol w:w="116"/>
        <w:gridCol w:w="679"/>
        <w:gridCol w:w="36"/>
        <w:gridCol w:w="115"/>
        <w:gridCol w:w="568"/>
        <w:gridCol w:w="36"/>
      </w:tblGrid>
      <w:tr w:rsidR="00066C63" w14:paraId="669C5D9C" w14:textId="77777777">
        <w:trPr>
          <w:jc w:val="center"/>
        </w:trPr>
        <w:tc>
          <w:tcPr>
            <w:tcW w:w="50" w:type="pct"/>
            <w:shd w:val="clear" w:color="auto" w:fill="auto"/>
          </w:tcPr>
          <w:p w14:paraId="669C5D7E" w14:textId="77777777" w:rsidR="00066C63" w:rsidRDefault="00066C63">
            <w:pPr>
              <w:rPr>
                <w:rFonts w:ascii="宋体"/>
              </w:rPr>
            </w:pPr>
          </w:p>
        </w:tc>
        <w:tc>
          <w:tcPr>
            <w:tcW w:w="1560" w:type="pct"/>
            <w:shd w:val="clear" w:color="auto" w:fill="auto"/>
          </w:tcPr>
          <w:p w14:paraId="669C5D7F" w14:textId="77777777" w:rsidR="00066C63" w:rsidRDefault="00066C63">
            <w:pPr>
              <w:rPr>
                <w:rFonts w:ascii="宋体"/>
              </w:rPr>
            </w:pPr>
          </w:p>
        </w:tc>
        <w:tc>
          <w:tcPr>
            <w:tcW w:w="5" w:type="pct"/>
            <w:shd w:val="clear" w:color="auto" w:fill="auto"/>
          </w:tcPr>
          <w:p w14:paraId="669C5D80" w14:textId="77777777" w:rsidR="00066C63" w:rsidRDefault="00066C63">
            <w:pPr>
              <w:rPr>
                <w:rFonts w:ascii="宋体"/>
              </w:rPr>
            </w:pPr>
          </w:p>
        </w:tc>
        <w:tc>
          <w:tcPr>
            <w:tcW w:w="50" w:type="pct"/>
            <w:shd w:val="clear" w:color="auto" w:fill="auto"/>
          </w:tcPr>
          <w:p w14:paraId="669C5D81" w14:textId="77777777" w:rsidR="00066C63" w:rsidRDefault="00066C63">
            <w:pPr>
              <w:rPr>
                <w:rFonts w:ascii="宋体"/>
              </w:rPr>
            </w:pPr>
          </w:p>
        </w:tc>
        <w:tc>
          <w:tcPr>
            <w:tcW w:w="285" w:type="pct"/>
            <w:shd w:val="clear" w:color="auto" w:fill="auto"/>
          </w:tcPr>
          <w:p w14:paraId="669C5D82" w14:textId="77777777" w:rsidR="00066C63" w:rsidRDefault="00066C63">
            <w:pPr>
              <w:rPr>
                <w:rFonts w:ascii="宋体"/>
              </w:rPr>
            </w:pPr>
          </w:p>
        </w:tc>
        <w:tc>
          <w:tcPr>
            <w:tcW w:w="5" w:type="pct"/>
            <w:shd w:val="clear" w:color="auto" w:fill="auto"/>
          </w:tcPr>
          <w:p w14:paraId="669C5D83" w14:textId="77777777" w:rsidR="00066C63" w:rsidRDefault="00066C63">
            <w:pPr>
              <w:rPr>
                <w:rFonts w:ascii="宋体"/>
              </w:rPr>
            </w:pPr>
          </w:p>
        </w:tc>
        <w:tc>
          <w:tcPr>
            <w:tcW w:w="50" w:type="pct"/>
            <w:shd w:val="clear" w:color="auto" w:fill="auto"/>
          </w:tcPr>
          <w:p w14:paraId="669C5D84" w14:textId="77777777" w:rsidR="00066C63" w:rsidRDefault="00066C63">
            <w:pPr>
              <w:rPr>
                <w:rFonts w:ascii="宋体"/>
              </w:rPr>
            </w:pPr>
          </w:p>
        </w:tc>
        <w:tc>
          <w:tcPr>
            <w:tcW w:w="346" w:type="pct"/>
            <w:shd w:val="clear" w:color="auto" w:fill="auto"/>
          </w:tcPr>
          <w:p w14:paraId="669C5D85" w14:textId="77777777" w:rsidR="00066C63" w:rsidRDefault="00066C63">
            <w:pPr>
              <w:rPr>
                <w:rFonts w:ascii="宋体"/>
              </w:rPr>
            </w:pPr>
          </w:p>
        </w:tc>
        <w:tc>
          <w:tcPr>
            <w:tcW w:w="5" w:type="pct"/>
            <w:shd w:val="clear" w:color="auto" w:fill="auto"/>
          </w:tcPr>
          <w:p w14:paraId="669C5D86" w14:textId="77777777" w:rsidR="00066C63" w:rsidRDefault="00066C63">
            <w:pPr>
              <w:rPr>
                <w:rFonts w:ascii="宋体"/>
              </w:rPr>
            </w:pPr>
          </w:p>
        </w:tc>
        <w:tc>
          <w:tcPr>
            <w:tcW w:w="5" w:type="pct"/>
            <w:shd w:val="clear" w:color="auto" w:fill="auto"/>
          </w:tcPr>
          <w:p w14:paraId="669C5D87" w14:textId="77777777" w:rsidR="00066C63" w:rsidRDefault="00066C63">
            <w:pPr>
              <w:rPr>
                <w:rFonts w:ascii="宋体"/>
              </w:rPr>
            </w:pPr>
          </w:p>
        </w:tc>
        <w:tc>
          <w:tcPr>
            <w:tcW w:w="28" w:type="pct"/>
            <w:shd w:val="clear" w:color="auto" w:fill="auto"/>
          </w:tcPr>
          <w:p w14:paraId="669C5D88" w14:textId="77777777" w:rsidR="00066C63" w:rsidRDefault="00066C63">
            <w:pPr>
              <w:rPr>
                <w:rFonts w:ascii="宋体"/>
              </w:rPr>
            </w:pPr>
          </w:p>
        </w:tc>
        <w:tc>
          <w:tcPr>
            <w:tcW w:w="5" w:type="pct"/>
            <w:shd w:val="clear" w:color="auto" w:fill="auto"/>
          </w:tcPr>
          <w:p w14:paraId="669C5D89" w14:textId="77777777" w:rsidR="00066C63" w:rsidRDefault="00066C63">
            <w:pPr>
              <w:rPr>
                <w:rFonts w:ascii="宋体"/>
              </w:rPr>
            </w:pPr>
          </w:p>
        </w:tc>
        <w:tc>
          <w:tcPr>
            <w:tcW w:w="50" w:type="pct"/>
            <w:shd w:val="clear" w:color="auto" w:fill="auto"/>
          </w:tcPr>
          <w:p w14:paraId="669C5D8A" w14:textId="77777777" w:rsidR="00066C63" w:rsidRDefault="00066C63">
            <w:pPr>
              <w:rPr>
                <w:rFonts w:ascii="宋体"/>
              </w:rPr>
            </w:pPr>
          </w:p>
        </w:tc>
        <w:tc>
          <w:tcPr>
            <w:tcW w:w="285" w:type="pct"/>
            <w:shd w:val="clear" w:color="auto" w:fill="auto"/>
          </w:tcPr>
          <w:p w14:paraId="669C5D8B" w14:textId="77777777" w:rsidR="00066C63" w:rsidRDefault="00066C63">
            <w:pPr>
              <w:rPr>
                <w:rFonts w:ascii="宋体"/>
              </w:rPr>
            </w:pPr>
          </w:p>
        </w:tc>
        <w:tc>
          <w:tcPr>
            <w:tcW w:w="5" w:type="pct"/>
            <w:shd w:val="clear" w:color="auto" w:fill="auto"/>
          </w:tcPr>
          <w:p w14:paraId="669C5D8C" w14:textId="77777777" w:rsidR="00066C63" w:rsidRDefault="00066C63">
            <w:pPr>
              <w:rPr>
                <w:rFonts w:ascii="宋体"/>
              </w:rPr>
            </w:pPr>
          </w:p>
        </w:tc>
        <w:tc>
          <w:tcPr>
            <w:tcW w:w="50" w:type="pct"/>
            <w:shd w:val="clear" w:color="auto" w:fill="auto"/>
          </w:tcPr>
          <w:p w14:paraId="669C5D8D" w14:textId="77777777" w:rsidR="00066C63" w:rsidRDefault="00066C63">
            <w:pPr>
              <w:rPr>
                <w:rFonts w:ascii="宋体"/>
              </w:rPr>
            </w:pPr>
          </w:p>
        </w:tc>
        <w:tc>
          <w:tcPr>
            <w:tcW w:w="323" w:type="pct"/>
            <w:shd w:val="clear" w:color="auto" w:fill="auto"/>
          </w:tcPr>
          <w:p w14:paraId="669C5D8E" w14:textId="77777777" w:rsidR="00066C63" w:rsidRDefault="00066C63">
            <w:pPr>
              <w:rPr>
                <w:rFonts w:ascii="宋体"/>
              </w:rPr>
            </w:pPr>
          </w:p>
        </w:tc>
        <w:tc>
          <w:tcPr>
            <w:tcW w:w="5" w:type="pct"/>
            <w:shd w:val="clear" w:color="auto" w:fill="auto"/>
          </w:tcPr>
          <w:p w14:paraId="669C5D8F" w14:textId="77777777" w:rsidR="00066C63" w:rsidRDefault="00066C63">
            <w:pPr>
              <w:rPr>
                <w:rFonts w:ascii="宋体"/>
              </w:rPr>
            </w:pPr>
          </w:p>
        </w:tc>
        <w:tc>
          <w:tcPr>
            <w:tcW w:w="50" w:type="pct"/>
            <w:shd w:val="clear" w:color="auto" w:fill="auto"/>
          </w:tcPr>
          <w:p w14:paraId="669C5D90" w14:textId="77777777" w:rsidR="00066C63" w:rsidRDefault="00066C63">
            <w:pPr>
              <w:rPr>
                <w:rFonts w:ascii="宋体"/>
              </w:rPr>
            </w:pPr>
          </w:p>
        </w:tc>
        <w:tc>
          <w:tcPr>
            <w:tcW w:w="385" w:type="pct"/>
            <w:shd w:val="clear" w:color="auto" w:fill="auto"/>
          </w:tcPr>
          <w:p w14:paraId="669C5D91" w14:textId="77777777" w:rsidR="00066C63" w:rsidRDefault="00066C63">
            <w:pPr>
              <w:rPr>
                <w:rFonts w:ascii="宋体"/>
              </w:rPr>
            </w:pPr>
          </w:p>
        </w:tc>
        <w:tc>
          <w:tcPr>
            <w:tcW w:w="5" w:type="pct"/>
            <w:shd w:val="clear" w:color="auto" w:fill="auto"/>
          </w:tcPr>
          <w:p w14:paraId="669C5D92" w14:textId="77777777" w:rsidR="00066C63" w:rsidRDefault="00066C63">
            <w:pPr>
              <w:rPr>
                <w:rFonts w:ascii="宋体"/>
              </w:rPr>
            </w:pPr>
          </w:p>
        </w:tc>
        <w:tc>
          <w:tcPr>
            <w:tcW w:w="50" w:type="pct"/>
            <w:shd w:val="clear" w:color="auto" w:fill="auto"/>
          </w:tcPr>
          <w:p w14:paraId="669C5D93" w14:textId="77777777" w:rsidR="00066C63" w:rsidRDefault="00066C63">
            <w:pPr>
              <w:rPr>
                <w:rFonts w:ascii="宋体"/>
              </w:rPr>
            </w:pPr>
          </w:p>
        </w:tc>
        <w:tc>
          <w:tcPr>
            <w:tcW w:w="586" w:type="pct"/>
            <w:shd w:val="clear" w:color="auto" w:fill="auto"/>
          </w:tcPr>
          <w:p w14:paraId="669C5D94" w14:textId="77777777" w:rsidR="00066C63" w:rsidRDefault="00066C63">
            <w:pPr>
              <w:rPr>
                <w:rFonts w:ascii="宋体"/>
              </w:rPr>
            </w:pPr>
          </w:p>
        </w:tc>
        <w:tc>
          <w:tcPr>
            <w:tcW w:w="5" w:type="pct"/>
            <w:shd w:val="clear" w:color="auto" w:fill="auto"/>
          </w:tcPr>
          <w:p w14:paraId="669C5D95" w14:textId="77777777" w:rsidR="00066C63" w:rsidRDefault="00066C63">
            <w:pPr>
              <w:rPr>
                <w:rFonts w:ascii="宋体"/>
              </w:rPr>
            </w:pPr>
          </w:p>
        </w:tc>
        <w:tc>
          <w:tcPr>
            <w:tcW w:w="50" w:type="pct"/>
            <w:shd w:val="clear" w:color="auto" w:fill="auto"/>
          </w:tcPr>
          <w:p w14:paraId="669C5D96" w14:textId="77777777" w:rsidR="00066C63" w:rsidRDefault="00066C63">
            <w:pPr>
              <w:rPr>
                <w:rFonts w:ascii="宋体"/>
              </w:rPr>
            </w:pPr>
          </w:p>
        </w:tc>
        <w:tc>
          <w:tcPr>
            <w:tcW w:w="370" w:type="pct"/>
            <w:shd w:val="clear" w:color="auto" w:fill="auto"/>
          </w:tcPr>
          <w:p w14:paraId="669C5D97" w14:textId="77777777" w:rsidR="00066C63" w:rsidRDefault="00066C63">
            <w:pPr>
              <w:rPr>
                <w:rFonts w:ascii="宋体"/>
              </w:rPr>
            </w:pPr>
          </w:p>
        </w:tc>
        <w:tc>
          <w:tcPr>
            <w:tcW w:w="5" w:type="pct"/>
            <w:shd w:val="clear" w:color="auto" w:fill="auto"/>
          </w:tcPr>
          <w:p w14:paraId="669C5D98" w14:textId="77777777" w:rsidR="00066C63" w:rsidRDefault="00066C63">
            <w:pPr>
              <w:rPr>
                <w:rFonts w:ascii="宋体"/>
              </w:rPr>
            </w:pPr>
          </w:p>
        </w:tc>
        <w:tc>
          <w:tcPr>
            <w:tcW w:w="50" w:type="pct"/>
            <w:shd w:val="clear" w:color="auto" w:fill="auto"/>
          </w:tcPr>
          <w:p w14:paraId="669C5D99" w14:textId="77777777" w:rsidR="00066C63" w:rsidRDefault="00066C63">
            <w:pPr>
              <w:rPr>
                <w:rFonts w:ascii="宋体"/>
              </w:rPr>
            </w:pPr>
          </w:p>
        </w:tc>
        <w:tc>
          <w:tcPr>
            <w:tcW w:w="323" w:type="pct"/>
            <w:shd w:val="clear" w:color="auto" w:fill="auto"/>
          </w:tcPr>
          <w:p w14:paraId="669C5D9A" w14:textId="77777777" w:rsidR="00066C63" w:rsidRDefault="00066C63">
            <w:pPr>
              <w:rPr>
                <w:rFonts w:ascii="宋体"/>
              </w:rPr>
            </w:pPr>
          </w:p>
        </w:tc>
        <w:tc>
          <w:tcPr>
            <w:tcW w:w="5" w:type="pct"/>
            <w:shd w:val="clear" w:color="auto" w:fill="auto"/>
          </w:tcPr>
          <w:p w14:paraId="669C5D9B" w14:textId="77777777" w:rsidR="00066C63" w:rsidRDefault="00066C63">
            <w:pPr>
              <w:rPr>
                <w:rFonts w:ascii="宋体"/>
              </w:rPr>
            </w:pPr>
          </w:p>
        </w:tc>
      </w:tr>
      <w:tr w:rsidR="00066C63" w14:paraId="669C5DA3" w14:textId="77777777">
        <w:trPr>
          <w:trHeight w:val="240"/>
          <w:jc w:val="center"/>
        </w:trPr>
        <w:tc>
          <w:tcPr>
            <w:tcW w:w="0" w:type="auto"/>
            <w:gridSpan w:val="3"/>
            <w:shd w:val="clear" w:color="auto" w:fill="auto"/>
            <w:tcMar>
              <w:top w:w="0" w:type="dxa"/>
              <w:left w:w="20" w:type="dxa"/>
              <w:bottom w:w="0" w:type="dxa"/>
              <w:right w:w="20" w:type="dxa"/>
            </w:tcMar>
          </w:tcPr>
          <w:p w14:paraId="669C5D9D" w14:textId="77777777" w:rsidR="00066C63" w:rsidRDefault="00066C63">
            <w:pPr>
              <w:rPr>
                <w:rFonts w:ascii="宋体"/>
              </w:rPr>
            </w:pPr>
          </w:p>
        </w:tc>
        <w:tc>
          <w:tcPr>
            <w:tcW w:w="0" w:type="auto"/>
            <w:gridSpan w:val="15"/>
            <w:tcBorders>
              <w:bottom w:val="single" w:sz="8" w:space="0" w:color="E87722"/>
            </w:tcBorders>
            <w:shd w:val="clear" w:color="auto" w:fill="auto"/>
            <w:tcMar>
              <w:top w:w="40" w:type="dxa"/>
              <w:left w:w="20" w:type="dxa"/>
              <w:bottom w:w="40" w:type="dxa"/>
              <w:right w:w="20" w:type="dxa"/>
            </w:tcMar>
            <w:vAlign w:val="bottom"/>
          </w:tcPr>
          <w:p w14:paraId="669C5D9E" w14:textId="77777777" w:rsidR="00066C63" w:rsidRDefault="009656F6">
            <w:pPr>
              <w:jc w:val="center"/>
              <w:textAlignment w:val="bottom"/>
            </w:pPr>
            <w:r>
              <w:rPr>
                <w:rFonts w:ascii="sans-serif" w:eastAsia="sans-serif" w:hAnsi="sans-serif" w:cs="sans-serif"/>
                <w:b/>
                <w:bCs/>
                <w:color w:val="000000"/>
                <w:sz w:val="17"/>
                <w:szCs w:val="17"/>
              </w:rPr>
              <w:t>COMMON STOCK</w:t>
            </w:r>
          </w:p>
        </w:tc>
        <w:tc>
          <w:tcPr>
            <w:tcW w:w="0" w:type="auto"/>
            <w:gridSpan w:val="3"/>
            <w:vMerge w:val="restart"/>
            <w:shd w:val="clear" w:color="auto" w:fill="auto"/>
            <w:tcMar>
              <w:top w:w="40" w:type="dxa"/>
              <w:left w:w="20" w:type="dxa"/>
              <w:bottom w:w="40" w:type="dxa"/>
              <w:right w:w="20" w:type="dxa"/>
            </w:tcMar>
            <w:vAlign w:val="bottom"/>
          </w:tcPr>
          <w:p w14:paraId="669C5D9F" w14:textId="77777777" w:rsidR="00066C63" w:rsidRDefault="009656F6">
            <w:pPr>
              <w:jc w:val="right"/>
              <w:textAlignment w:val="bottom"/>
            </w:pPr>
            <w:r>
              <w:rPr>
                <w:rFonts w:ascii="sans-serif" w:eastAsia="sans-serif" w:hAnsi="sans-serif" w:cs="sans-serif"/>
                <w:b/>
                <w:bCs/>
                <w:color w:val="000000"/>
                <w:sz w:val="17"/>
                <w:szCs w:val="17"/>
              </w:rPr>
              <w:t>CAPITAL IN EXCESS OF STATED VALUE</w:t>
            </w:r>
          </w:p>
        </w:tc>
        <w:tc>
          <w:tcPr>
            <w:tcW w:w="0" w:type="auto"/>
            <w:gridSpan w:val="3"/>
            <w:vMerge w:val="restart"/>
            <w:shd w:val="clear" w:color="auto" w:fill="auto"/>
            <w:tcMar>
              <w:top w:w="40" w:type="dxa"/>
              <w:left w:w="20" w:type="dxa"/>
              <w:bottom w:w="40" w:type="dxa"/>
              <w:right w:w="20" w:type="dxa"/>
            </w:tcMar>
            <w:vAlign w:val="bottom"/>
          </w:tcPr>
          <w:p w14:paraId="669C5DA0" w14:textId="77777777" w:rsidR="00066C63" w:rsidRDefault="009656F6">
            <w:pPr>
              <w:jc w:val="right"/>
              <w:textAlignment w:val="bottom"/>
            </w:pPr>
            <w:r>
              <w:rPr>
                <w:rFonts w:ascii="sans-serif" w:eastAsia="sans-serif" w:hAnsi="sans-serif" w:cs="sans-serif"/>
                <w:b/>
                <w:bCs/>
                <w:color w:val="000000"/>
                <w:sz w:val="17"/>
                <w:szCs w:val="17"/>
              </w:rPr>
              <w:t>ACCUMULATED OTHER COMPREHENSIVE INCOME (LOSS)</w:t>
            </w:r>
          </w:p>
        </w:tc>
        <w:tc>
          <w:tcPr>
            <w:tcW w:w="0" w:type="auto"/>
            <w:gridSpan w:val="3"/>
            <w:vMerge w:val="restart"/>
            <w:shd w:val="clear" w:color="auto" w:fill="auto"/>
            <w:tcMar>
              <w:top w:w="40" w:type="dxa"/>
              <w:left w:w="20" w:type="dxa"/>
              <w:bottom w:w="40" w:type="dxa"/>
              <w:right w:w="20" w:type="dxa"/>
            </w:tcMar>
            <w:vAlign w:val="bottom"/>
          </w:tcPr>
          <w:p w14:paraId="669C5DA1" w14:textId="77777777" w:rsidR="00066C63" w:rsidRDefault="009656F6">
            <w:pPr>
              <w:jc w:val="right"/>
              <w:textAlignment w:val="bottom"/>
            </w:pPr>
            <w:r>
              <w:rPr>
                <w:rFonts w:ascii="sans-serif" w:eastAsia="sans-serif" w:hAnsi="sans-serif" w:cs="sans-serif"/>
                <w:b/>
                <w:bCs/>
                <w:color w:val="000000"/>
                <w:sz w:val="17"/>
                <w:szCs w:val="17"/>
              </w:rPr>
              <w:t>RETAINED EARNINGS (DEFICIT)</w:t>
            </w:r>
          </w:p>
        </w:tc>
        <w:tc>
          <w:tcPr>
            <w:tcW w:w="0" w:type="auto"/>
            <w:gridSpan w:val="3"/>
            <w:vMerge w:val="restart"/>
            <w:shd w:val="clear" w:color="auto" w:fill="auto"/>
            <w:tcMar>
              <w:top w:w="40" w:type="dxa"/>
              <w:left w:w="20" w:type="dxa"/>
              <w:bottom w:w="40" w:type="dxa"/>
              <w:right w:w="20" w:type="dxa"/>
            </w:tcMar>
            <w:vAlign w:val="bottom"/>
          </w:tcPr>
          <w:p w14:paraId="669C5DA2" w14:textId="77777777" w:rsidR="00066C63" w:rsidRDefault="009656F6">
            <w:pPr>
              <w:jc w:val="right"/>
              <w:textAlignment w:val="bottom"/>
            </w:pPr>
            <w:r>
              <w:rPr>
                <w:rFonts w:ascii="sans-serif" w:eastAsia="sans-serif" w:hAnsi="sans-serif" w:cs="sans-serif"/>
                <w:b/>
                <w:bCs/>
                <w:color w:val="000000"/>
                <w:sz w:val="17"/>
                <w:szCs w:val="17"/>
              </w:rPr>
              <w:t>TOTAL</w:t>
            </w:r>
          </w:p>
        </w:tc>
      </w:tr>
      <w:tr w:rsidR="00066C63" w14:paraId="669C5DAC" w14:textId="77777777">
        <w:trPr>
          <w:trHeight w:val="240"/>
          <w:jc w:val="center"/>
        </w:trPr>
        <w:tc>
          <w:tcPr>
            <w:tcW w:w="0" w:type="auto"/>
            <w:gridSpan w:val="3"/>
            <w:shd w:val="clear" w:color="auto" w:fill="auto"/>
            <w:tcMar>
              <w:top w:w="0" w:type="dxa"/>
              <w:left w:w="20" w:type="dxa"/>
              <w:bottom w:w="0" w:type="dxa"/>
              <w:right w:w="20" w:type="dxa"/>
            </w:tcMar>
          </w:tcPr>
          <w:p w14:paraId="669C5DA4" w14:textId="77777777" w:rsidR="00066C63" w:rsidRDefault="00066C63">
            <w:pPr>
              <w:rPr>
                <w:rFonts w:ascii="宋体"/>
              </w:rPr>
            </w:pPr>
          </w:p>
        </w:tc>
        <w:tc>
          <w:tcPr>
            <w:tcW w:w="0" w:type="auto"/>
            <w:gridSpan w:val="6"/>
            <w:tcBorders>
              <w:top w:val="single" w:sz="8" w:space="0" w:color="E87722"/>
            </w:tcBorders>
            <w:shd w:val="clear" w:color="auto" w:fill="auto"/>
            <w:tcMar>
              <w:top w:w="40" w:type="dxa"/>
              <w:left w:w="20" w:type="dxa"/>
              <w:bottom w:w="40" w:type="dxa"/>
              <w:right w:w="20" w:type="dxa"/>
            </w:tcMar>
            <w:vAlign w:val="bottom"/>
          </w:tcPr>
          <w:p w14:paraId="669C5DA5" w14:textId="77777777" w:rsidR="00066C63" w:rsidRDefault="009656F6">
            <w:pPr>
              <w:jc w:val="center"/>
              <w:textAlignment w:val="bottom"/>
            </w:pPr>
            <w:r>
              <w:rPr>
                <w:rFonts w:ascii="sans-serif" w:eastAsia="sans-serif" w:hAnsi="sans-serif" w:cs="sans-serif"/>
                <w:b/>
                <w:bCs/>
                <w:color w:val="000000"/>
                <w:sz w:val="17"/>
                <w:szCs w:val="17"/>
              </w:rPr>
              <w:t>CLASS A</w:t>
            </w:r>
          </w:p>
        </w:tc>
        <w:tc>
          <w:tcPr>
            <w:tcW w:w="0" w:type="auto"/>
            <w:gridSpan w:val="3"/>
            <w:tcBorders>
              <w:top w:val="single" w:sz="8" w:space="0" w:color="E87722"/>
            </w:tcBorders>
            <w:shd w:val="clear" w:color="auto" w:fill="auto"/>
            <w:tcMar>
              <w:top w:w="0" w:type="dxa"/>
              <w:left w:w="20" w:type="dxa"/>
              <w:bottom w:w="0" w:type="dxa"/>
              <w:right w:w="20" w:type="dxa"/>
            </w:tcMar>
          </w:tcPr>
          <w:p w14:paraId="669C5DA6" w14:textId="77777777" w:rsidR="00066C63" w:rsidRDefault="00066C63">
            <w:pPr>
              <w:rPr>
                <w:rFonts w:ascii="宋体"/>
              </w:rPr>
            </w:pPr>
          </w:p>
        </w:tc>
        <w:tc>
          <w:tcPr>
            <w:tcW w:w="0" w:type="auto"/>
            <w:gridSpan w:val="6"/>
            <w:tcBorders>
              <w:top w:val="single" w:sz="8" w:space="0" w:color="E87722"/>
            </w:tcBorders>
            <w:shd w:val="clear" w:color="auto" w:fill="auto"/>
            <w:tcMar>
              <w:top w:w="40" w:type="dxa"/>
              <w:left w:w="20" w:type="dxa"/>
              <w:bottom w:w="40" w:type="dxa"/>
              <w:right w:w="20" w:type="dxa"/>
            </w:tcMar>
            <w:vAlign w:val="bottom"/>
          </w:tcPr>
          <w:p w14:paraId="669C5DA7" w14:textId="77777777" w:rsidR="00066C63" w:rsidRDefault="009656F6">
            <w:pPr>
              <w:jc w:val="center"/>
              <w:textAlignment w:val="bottom"/>
            </w:pPr>
            <w:r>
              <w:rPr>
                <w:rFonts w:ascii="sans-serif" w:eastAsia="sans-serif" w:hAnsi="sans-serif" w:cs="sans-serif"/>
                <w:b/>
                <w:bCs/>
                <w:color w:val="000000"/>
                <w:sz w:val="17"/>
                <w:szCs w:val="17"/>
              </w:rPr>
              <w:t>CLASS B</w:t>
            </w:r>
          </w:p>
        </w:tc>
        <w:tc>
          <w:tcPr>
            <w:tcW w:w="0" w:type="auto"/>
            <w:gridSpan w:val="3"/>
            <w:vMerge/>
            <w:shd w:val="clear" w:color="auto" w:fill="auto"/>
            <w:tcMar>
              <w:top w:w="40" w:type="dxa"/>
              <w:left w:w="20" w:type="dxa"/>
              <w:bottom w:w="40" w:type="dxa"/>
              <w:right w:w="20" w:type="dxa"/>
            </w:tcMar>
            <w:vAlign w:val="bottom"/>
          </w:tcPr>
          <w:p w14:paraId="669C5DA8" w14:textId="77777777" w:rsidR="00066C63" w:rsidRDefault="00066C63">
            <w:pPr>
              <w:jc w:val="right"/>
              <w:rPr>
                <w:rFonts w:ascii="宋体"/>
              </w:rPr>
            </w:pPr>
          </w:p>
        </w:tc>
        <w:tc>
          <w:tcPr>
            <w:tcW w:w="0" w:type="auto"/>
            <w:gridSpan w:val="3"/>
            <w:vMerge/>
            <w:shd w:val="clear" w:color="auto" w:fill="auto"/>
            <w:tcMar>
              <w:top w:w="40" w:type="dxa"/>
              <w:left w:w="20" w:type="dxa"/>
              <w:bottom w:w="40" w:type="dxa"/>
              <w:right w:w="20" w:type="dxa"/>
            </w:tcMar>
            <w:vAlign w:val="bottom"/>
          </w:tcPr>
          <w:p w14:paraId="669C5DA9" w14:textId="77777777" w:rsidR="00066C63" w:rsidRDefault="00066C63">
            <w:pPr>
              <w:jc w:val="right"/>
              <w:rPr>
                <w:rFonts w:ascii="宋体"/>
              </w:rPr>
            </w:pPr>
          </w:p>
        </w:tc>
        <w:tc>
          <w:tcPr>
            <w:tcW w:w="0" w:type="auto"/>
            <w:gridSpan w:val="3"/>
            <w:vMerge/>
            <w:shd w:val="clear" w:color="auto" w:fill="auto"/>
            <w:tcMar>
              <w:top w:w="40" w:type="dxa"/>
              <w:left w:w="20" w:type="dxa"/>
              <w:bottom w:w="40" w:type="dxa"/>
              <w:right w:w="20" w:type="dxa"/>
            </w:tcMar>
            <w:vAlign w:val="bottom"/>
          </w:tcPr>
          <w:p w14:paraId="669C5DAA" w14:textId="77777777" w:rsidR="00066C63" w:rsidRDefault="00066C63">
            <w:pPr>
              <w:jc w:val="right"/>
              <w:rPr>
                <w:rFonts w:ascii="宋体"/>
              </w:rPr>
            </w:pPr>
          </w:p>
        </w:tc>
        <w:tc>
          <w:tcPr>
            <w:tcW w:w="0" w:type="auto"/>
            <w:gridSpan w:val="3"/>
            <w:vMerge/>
            <w:shd w:val="clear" w:color="auto" w:fill="auto"/>
            <w:tcMar>
              <w:top w:w="40" w:type="dxa"/>
              <w:left w:w="20" w:type="dxa"/>
              <w:bottom w:w="40" w:type="dxa"/>
              <w:right w:w="20" w:type="dxa"/>
            </w:tcMar>
            <w:vAlign w:val="bottom"/>
          </w:tcPr>
          <w:p w14:paraId="669C5DAB" w14:textId="77777777" w:rsidR="00066C63" w:rsidRDefault="00066C63">
            <w:pPr>
              <w:jc w:val="right"/>
              <w:rPr>
                <w:rFonts w:ascii="宋体"/>
              </w:rPr>
            </w:pPr>
          </w:p>
        </w:tc>
      </w:tr>
      <w:tr w:rsidR="00066C63" w14:paraId="669C5DB7" w14:textId="77777777">
        <w:trPr>
          <w:trHeight w:val="240"/>
          <w:jc w:val="center"/>
        </w:trPr>
        <w:tc>
          <w:tcPr>
            <w:tcW w:w="0" w:type="auto"/>
            <w:gridSpan w:val="3"/>
            <w:shd w:val="clear" w:color="auto" w:fill="auto"/>
            <w:tcMar>
              <w:top w:w="40" w:type="dxa"/>
              <w:left w:w="20" w:type="dxa"/>
              <w:bottom w:w="40" w:type="dxa"/>
              <w:right w:w="20" w:type="dxa"/>
            </w:tcMar>
            <w:vAlign w:val="bottom"/>
          </w:tcPr>
          <w:p w14:paraId="669C5DAD" w14:textId="77777777" w:rsidR="00066C63" w:rsidRDefault="009656F6">
            <w:pPr>
              <w:textAlignment w:val="bottom"/>
            </w:pPr>
            <w:r>
              <w:rPr>
                <w:rFonts w:ascii="Arial Narrow" w:eastAsia="Arial Narrow" w:hAnsi="Arial Narrow" w:cs="Arial Narrow"/>
                <w:i/>
                <w:iCs/>
                <w:color w:val="000000"/>
                <w:sz w:val="17"/>
                <w:szCs w:val="17"/>
              </w:rPr>
              <w:t>(In millions, except per share data)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5DAE" w14:textId="77777777" w:rsidR="00066C63" w:rsidRDefault="009656F6">
            <w:pPr>
              <w:jc w:val="right"/>
              <w:textAlignment w:val="bottom"/>
            </w:pPr>
            <w:r>
              <w:rPr>
                <w:rFonts w:ascii="sans-serif" w:eastAsia="sans-serif" w:hAnsi="sans-serif" w:cs="sans-serif"/>
                <w:b/>
                <w:bCs/>
                <w:color w:val="000000"/>
                <w:sz w:val="17"/>
                <w:szCs w:val="17"/>
              </w:rPr>
              <w:t>SHARES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5DAF" w14:textId="77777777" w:rsidR="00066C63" w:rsidRDefault="009656F6">
            <w:pPr>
              <w:jc w:val="right"/>
              <w:textAlignment w:val="bottom"/>
            </w:pPr>
            <w:r>
              <w:rPr>
                <w:rFonts w:ascii="sans-serif" w:eastAsia="sans-serif" w:hAnsi="sans-serif" w:cs="sans-serif"/>
                <w:b/>
                <w:bCs/>
                <w:color w:val="000000"/>
                <w:sz w:val="17"/>
                <w:szCs w:val="17"/>
              </w:rPr>
              <w:t>AMOUNT</w:t>
            </w:r>
          </w:p>
        </w:tc>
        <w:tc>
          <w:tcPr>
            <w:tcW w:w="0" w:type="auto"/>
            <w:gridSpan w:val="3"/>
            <w:shd w:val="clear" w:color="auto" w:fill="auto"/>
            <w:tcMar>
              <w:top w:w="0" w:type="dxa"/>
              <w:left w:w="20" w:type="dxa"/>
              <w:bottom w:w="0" w:type="dxa"/>
              <w:right w:w="20" w:type="dxa"/>
            </w:tcMar>
          </w:tcPr>
          <w:p w14:paraId="669C5DB0" w14:textId="77777777" w:rsidR="00066C63" w:rsidRDefault="00066C63">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5DB1" w14:textId="77777777" w:rsidR="00066C63" w:rsidRDefault="009656F6">
            <w:pPr>
              <w:jc w:val="right"/>
              <w:textAlignment w:val="bottom"/>
            </w:pPr>
            <w:r>
              <w:rPr>
                <w:rFonts w:ascii="sans-serif" w:eastAsia="sans-serif" w:hAnsi="sans-serif" w:cs="sans-serif"/>
                <w:b/>
                <w:bCs/>
                <w:color w:val="000000"/>
                <w:sz w:val="17"/>
                <w:szCs w:val="17"/>
              </w:rPr>
              <w:t>SHARES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5DB2" w14:textId="77777777" w:rsidR="00066C63" w:rsidRDefault="009656F6">
            <w:pPr>
              <w:jc w:val="right"/>
              <w:textAlignment w:val="bottom"/>
            </w:pPr>
            <w:r>
              <w:rPr>
                <w:rFonts w:ascii="sans-serif" w:eastAsia="sans-serif" w:hAnsi="sans-serif" w:cs="sans-serif"/>
                <w:b/>
                <w:bCs/>
                <w:color w:val="000000"/>
                <w:sz w:val="17"/>
                <w:szCs w:val="17"/>
              </w:rPr>
              <w:t>AMOUNT</w:t>
            </w:r>
          </w:p>
        </w:tc>
        <w:tc>
          <w:tcPr>
            <w:tcW w:w="0" w:type="auto"/>
            <w:gridSpan w:val="3"/>
            <w:vMerge/>
            <w:shd w:val="clear" w:color="auto" w:fill="auto"/>
            <w:tcMar>
              <w:top w:w="40" w:type="dxa"/>
              <w:left w:w="20" w:type="dxa"/>
              <w:bottom w:w="40" w:type="dxa"/>
              <w:right w:w="20" w:type="dxa"/>
            </w:tcMar>
            <w:vAlign w:val="bottom"/>
          </w:tcPr>
          <w:p w14:paraId="669C5DB3" w14:textId="77777777" w:rsidR="00066C63" w:rsidRDefault="00066C63">
            <w:pPr>
              <w:jc w:val="right"/>
              <w:rPr>
                <w:rFonts w:ascii="宋体"/>
              </w:rPr>
            </w:pPr>
          </w:p>
        </w:tc>
        <w:tc>
          <w:tcPr>
            <w:tcW w:w="0" w:type="auto"/>
            <w:gridSpan w:val="3"/>
            <w:vMerge/>
            <w:shd w:val="clear" w:color="auto" w:fill="auto"/>
            <w:tcMar>
              <w:top w:w="40" w:type="dxa"/>
              <w:left w:w="20" w:type="dxa"/>
              <w:bottom w:w="40" w:type="dxa"/>
              <w:right w:w="20" w:type="dxa"/>
            </w:tcMar>
            <w:vAlign w:val="bottom"/>
          </w:tcPr>
          <w:p w14:paraId="669C5DB4" w14:textId="77777777" w:rsidR="00066C63" w:rsidRDefault="00066C63">
            <w:pPr>
              <w:jc w:val="right"/>
              <w:rPr>
                <w:rFonts w:ascii="宋体"/>
              </w:rPr>
            </w:pPr>
          </w:p>
        </w:tc>
        <w:tc>
          <w:tcPr>
            <w:tcW w:w="0" w:type="auto"/>
            <w:gridSpan w:val="3"/>
            <w:vMerge/>
            <w:shd w:val="clear" w:color="auto" w:fill="auto"/>
            <w:tcMar>
              <w:top w:w="40" w:type="dxa"/>
              <w:left w:w="20" w:type="dxa"/>
              <w:bottom w:w="40" w:type="dxa"/>
              <w:right w:w="20" w:type="dxa"/>
            </w:tcMar>
            <w:vAlign w:val="bottom"/>
          </w:tcPr>
          <w:p w14:paraId="669C5DB5" w14:textId="77777777" w:rsidR="00066C63" w:rsidRDefault="00066C63">
            <w:pPr>
              <w:jc w:val="right"/>
              <w:rPr>
                <w:rFonts w:ascii="宋体"/>
              </w:rPr>
            </w:pPr>
          </w:p>
        </w:tc>
        <w:tc>
          <w:tcPr>
            <w:tcW w:w="0" w:type="auto"/>
            <w:gridSpan w:val="3"/>
            <w:vMerge/>
            <w:shd w:val="clear" w:color="auto" w:fill="auto"/>
            <w:tcMar>
              <w:top w:w="40" w:type="dxa"/>
              <w:left w:w="20" w:type="dxa"/>
              <w:bottom w:w="40" w:type="dxa"/>
              <w:right w:w="20" w:type="dxa"/>
            </w:tcMar>
            <w:vAlign w:val="bottom"/>
          </w:tcPr>
          <w:p w14:paraId="669C5DB6" w14:textId="77777777" w:rsidR="00066C63" w:rsidRDefault="00066C63">
            <w:pPr>
              <w:jc w:val="right"/>
              <w:rPr>
                <w:rFonts w:ascii="宋体"/>
              </w:rPr>
            </w:pPr>
          </w:p>
        </w:tc>
      </w:tr>
      <w:tr w:rsidR="00066C63" w14:paraId="669C5DD0"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5DB8" w14:textId="77777777" w:rsidR="00066C63" w:rsidRDefault="009656F6">
            <w:pPr>
              <w:textAlignment w:val="bottom"/>
            </w:pPr>
            <w:r>
              <w:rPr>
                <w:rFonts w:ascii="Arial" w:eastAsia="宋体" w:hAnsi="Arial" w:cs="Arial"/>
                <w:b/>
                <w:bCs/>
                <w:color w:val="000000"/>
                <w:sz w:val="17"/>
                <w:szCs w:val="17"/>
              </w:rPr>
              <w:t>Balance at November 30, 2020</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5DB9" w14:textId="77777777" w:rsidR="00066C63" w:rsidRDefault="009656F6">
            <w:pPr>
              <w:jc w:val="right"/>
              <w:textAlignment w:val="bottom"/>
            </w:pPr>
            <w:r>
              <w:rPr>
                <w:rFonts w:ascii="Arial" w:eastAsia="宋体" w:hAnsi="Arial" w:cs="Arial"/>
                <w:b/>
                <w:bCs/>
                <w:color w:val="000000"/>
                <w:sz w:val="17"/>
                <w:szCs w:val="17"/>
              </w:rPr>
              <w:t>305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5DBA" w14:textId="77777777" w:rsidR="00066C63" w:rsidRDefault="00066C63">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69C5DBB"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69C5DBC" w14:textId="77777777" w:rsidR="00066C63" w:rsidRDefault="009656F6">
            <w:pPr>
              <w:jc w:val="right"/>
              <w:textAlignment w:val="bottom"/>
            </w:pPr>
            <w:r>
              <w:rPr>
                <w:rFonts w:ascii="Arial" w:eastAsia="宋体" w:hAnsi="Arial" w:cs="Arial"/>
                <w:b/>
                <w:bCs/>
                <w:color w:val="000000"/>
                <w:sz w:val="17"/>
                <w:szCs w:val="17"/>
              </w:rPr>
              <w:t>—</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5DBD" w14:textId="77777777" w:rsidR="00066C63" w:rsidRDefault="00066C63">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5DBE" w14:textId="77777777" w:rsidR="00066C63" w:rsidRDefault="00066C63">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5DBF" w14:textId="77777777" w:rsidR="00066C63" w:rsidRDefault="009656F6">
            <w:pPr>
              <w:jc w:val="right"/>
              <w:textAlignment w:val="bottom"/>
            </w:pPr>
            <w:r>
              <w:rPr>
                <w:rFonts w:ascii="Arial" w:eastAsia="宋体" w:hAnsi="Arial" w:cs="Arial"/>
                <w:b/>
                <w:bCs/>
                <w:color w:val="000000"/>
                <w:sz w:val="17"/>
                <w:szCs w:val="17"/>
              </w:rPr>
              <w:t>1,270</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5DC0" w14:textId="77777777" w:rsidR="00066C63" w:rsidRDefault="00066C63">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69C5DC1"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69C5DC2" w14:textId="77777777" w:rsidR="00066C63" w:rsidRDefault="009656F6">
            <w:pPr>
              <w:jc w:val="right"/>
              <w:textAlignment w:val="bottom"/>
            </w:pPr>
            <w:r>
              <w:rPr>
                <w:rFonts w:ascii="Arial" w:eastAsia="宋体" w:hAnsi="Arial" w:cs="Arial"/>
                <w:b/>
                <w:bCs/>
                <w:color w:val="000000"/>
                <w:sz w:val="17"/>
                <w:szCs w:val="17"/>
              </w:rPr>
              <w:t>3</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5DC3" w14:textId="77777777" w:rsidR="00066C63" w:rsidRDefault="00066C63">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69C5DC4"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69C5DC5" w14:textId="77777777" w:rsidR="00066C63" w:rsidRDefault="009656F6">
            <w:pPr>
              <w:jc w:val="right"/>
              <w:textAlignment w:val="bottom"/>
            </w:pPr>
            <w:r>
              <w:rPr>
                <w:rFonts w:ascii="Arial" w:eastAsia="宋体" w:hAnsi="Arial" w:cs="Arial"/>
                <w:b/>
                <w:bCs/>
                <w:color w:val="000000"/>
                <w:sz w:val="17"/>
                <w:szCs w:val="17"/>
              </w:rPr>
              <w:t>9,336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5DC6" w14:textId="77777777" w:rsidR="00066C63" w:rsidRDefault="00066C63">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69C5DC7"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69C5DC8" w14:textId="77777777" w:rsidR="00066C63" w:rsidRDefault="009656F6">
            <w:pPr>
              <w:jc w:val="right"/>
              <w:textAlignment w:val="bottom"/>
            </w:pPr>
            <w:r>
              <w:rPr>
                <w:rFonts w:ascii="Arial" w:eastAsia="宋体" w:hAnsi="Arial" w:cs="Arial"/>
                <w:b/>
                <w:bCs/>
                <w:color w:val="000000"/>
                <w:sz w:val="17"/>
                <w:szCs w:val="17"/>
              </w:rPr>
              <w:t>(429)</w:t>
            </w:r>
          </w:p>
        </w:tc>
        <w:tc>
          <w:tcPr>
            <w:tcW w:w="0" w:type="auto"/>
            <w:tcBorders>
              <w:top w:val="single" w:sz="8" w:space="0" w:color="E87722"/>
            </w:tcBorders>
            <w:shd w:val="clear" w:color="auto" w:fill="auto"/>
            <w:tcMar>
              <w:top w:w="40" w:type="dxa"/>
              <w:left w:w="0" w:type="dxa"/>
              <w:bottom w:w="40" w:type="dxa"/>
              <w:right w:w="20" w:type="dxa"/>
            </w:tcMar>
            <w:vAlign w:val="bottom"/>
          </w:tcPr>
          <w:p w14:paraId="669C5DC9" w14:textId="77777777" w:rsidR="00066C63" w:rsidRDefault="00066C63">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69C5DCA"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69C5DCB" w14:textId="77777777" w:rsidR="00066C63" w:rsidRDefault="009656F6">
            <w:pPr>
              <w:jc w:val="right"/>
              <w:textAlignment w:val="bottom"/>
            </w:pPr>
            <w:r>
              <w:rPr>
                <w:rFonts w:ascii="Arial" w:eastAsia="宋体" w:hAnsi="Arial" w:cs="Arial"/>
                <w:b/>
                <w:bCs/>
                <w:color w:val="000000"/>
                <w:sz w:val="17"/>
                <w:szCs w:val="17"/>
              </w:rPr>
              <w:t>1,730</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5DCC" w14:textId="77777777" w:rsidR="00066C63" w:rsidRDefault="00066C63">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69C5DCD"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69C5DCE" w14:textId="77777777" w:rsidR="00066C63" w:rsidRDefault="009656F6">
            <w:pPr>
              <w:jc w:val="right"/>
              <w:textAlignment w:val="bottom"/>
            </w:pPr>
            <w:r>
              <w:rPr>
                <w:rFonts w:ascii="Arial" w:eastAsia="宋体" w:hAnsi="Arial" w:cs="Arial"/>
                <w:b/>
                <w:bCs/>
                <w:color w:val="000000"/>
                <w:sz w:val="17"/>
                <w:szCs w:val="17"/>
              </w:rPr>
              <w:t>10,640</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5DCF" w14:textId="77777777" w:rsidR="00066C63" w:rsidRDefault="00066C63">
            <w:pPr>
              <w:jc w:val="right"/>
              <w:rPr>
                <w:rFonts w:ascii="宋体"/>
              </w:rPr>
            </w:pPr>
          </w:p>
        </w:tc>
      </w:tr>
      <w:tr w:rsidR="00066C63" w14:paraId="669C5DDE"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5DD1" w14:textId="77777777" w:rsidR="00066C63" w:rsidRDefault="009656F6">
            <w:pPr>
              <w:textAlignment w:val="bottom"/>
            </w:pPr>
            <w:r>
              <w:rPr>
                <w:rFonts w:ascii="Arial" w:eastAsia="宋体" w:hAnsi="Arial" w:cs="Arial"/>
                <w:color w:val="000000"/>
                <w:sz w:val="17"/>
                <w:szCs w:val="17"/>
              </w:rPr>
              <w:t>Stock options exercised</w:t>
            </w:r>
          </w:p>
        </w:tc>
        <w:tc>
          <w:tcPr>
            <w:tcW w:w="0" w:type="auto"/>
            <w:gridSpan w:val="3"/>
            <w:tcBorders>
              <w:top w:val="single" w:sz="8" w:space="0" w:color="E87722"/>
            </w:tcBorders>
            <w:shd w:val="clear" w:color="auto" w:fill="FFF1E7"/>
            <w:tcMar>
              <w:top w:w="0" w:type="dxa"/>
              <w:left w:w="20" w:type="dxa"/>
              <w:bottom w:w="0" w:type="dxa"/>
              <w:right w:w="20" w:type="dxa"/>
            </w:tcMar>
          </w:tcPr>
          <w:p w14:paraId="669C5DD2" w14:textId="77777777" w:rsidR="00066C63" w:rsidRDefault="00066C63">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669C5DD3" w14:textId="77777777" w:rsidR="00066C63" w:rsidRDefault="00066C63">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669C5DD4" w14:textId="77777777" w:rsidR="00066C63" w:rsidRDefault="00066C63">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669C5DD5" w14:textId="77777777" w:rsidR="00066C63" w:rsidRDefault="009656F6">
            <w:pPr>
              <w:jc w:val="right"/>
              <w:textAlignment w:val="bottom"/>
            </w:pPr>
            <w:r>
              <w:rPr>
                <w:rFonts w:ascii="Arial" w:eastAsia="宋体" w:hAnsi="Arial" w:cs="Arial"/>
                <w:color w:val="000000"/>
                <w:sz w:val="17"/>
                <w:szCs w:val="17"/>
              </w:rPr>
              <w:t>4 </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5DD6" w14:textId="77777777" w:rsidR="00066C63" w:rsidRDefault="00066C63">
            <w:pPr>
              <w:jc w:val="right"/>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669C5DD7" w14:textId="77777777" w:rsidR="00066C63" w:rsidRDefault="00066C63">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669C5DD8" w14:textId="77777777" w:rsidR="00066C63" w:rsidRDefault="009656F6">
            <w:pPr>
              <w:jc w:val="right"/>
              <w:textAlignment w:val="bottom"/>
            </w:pPr>
            <w:r>
              <w:rPr>
                <w:rFonts w:ascii="Arial" w:eastAsia="宋体" w:hAnsi="Arial" w:cs="Arial"/>
                <w:color w:val="000000"/>
                <w:sz w:val="17"/>
                <w:szCs w:val="17"/>
              </w:rPr>
              <w:t>187 </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5DD9" w14:textId="77777777" w:rsidR="00066C63" w:rsidRDefault="00066C63">
            <w:pPr>
              <w:jc w:val="right"/>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669C5DDA" w14:textId="77777777" w:rsidR="00066C63" w:rsidRDefault="00066C63">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669C5DDB" w14:textId="77777777" w:rsidR="00066C63" w:rsidRDefault="00066C63">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669C5DDC" w14:textId="77777777" w:rsidR="00066C63" w:rsidRDefault="009656F6">
            <w:pPr>
              <w:jc w:val="right"/>
              <w:textAlignment w:val="bottom"/>
            </w:pPr>
            <w:r>
              <w:rPr>
                <w:rFonts w:ascii="Arial" w:eastAsia="宋体" w:hAnsi="Arial" w:cs="Arial"/>
                <w:color w:val="000000"/>
                <w:sz w:val="17"/>
                <w:szCs w:val="17"/>
              </w:rPr>
              <w:t>187 </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5DDD" w14:textId="77777777" w:rsidR="00066C63" w:rsidRDefault="00066C63">
            <w:pPr>
              <w:jc w:val="right"/>
              <w:rPr>
                <w:rFonts w:ascii="宋体"/>
              </w:rPr>
            </w:pPr>
          </w:p>
        </w:tc>
      </w:tr>
      <w:tr w:rsidR="00066C63" w14:paraId="669C5DEB" w14:textId="77777777">
        <w:trPr>
          <w:jc w:val="center"/>
        </w:trPr>
        <w:tc>
          <w:tcPr>
            <w:tcW w:w="0" w:type="auto"/>
            <w:gridSpan w:val="3"/>
            <w:tcBorders>
              <w:top w:val="single" w:sz="8" w:space="0" w:color="808080"/>
            </w:tcBorders>
            <w:shd w:val="clear" w:color="auto" w:fill="FFFFFF"/>
            <w:tcMar>
              <w:top w:w="40" w:type="dxa"/>
              <w:left w:w="20" w:type="dxa"/>
              <w:bottom w:w="40" w:type="dxa"/>
              <w:right w:w="20" w:type="dxa"/>
            </w:tcMar>
            <w:vAlign w:val="bottom"/>
          </w:tcPr>
          <w:p w14:paraId="669C5DDF" w14:textId="77777777" w:rsidR="00066C63" w:rsidRDefault="009656F6">
            <w:pPr>
              <w:textAlignment w:val="bottom"/>
            </w:pPr>
            <w:r>
              <w:rPr>
                <w:rFonts w:ascii="Arial" w:eastAsia="宋体" w:hAnsi="Arial" w:cs="Arial"/>
                <w:color w:val="000000"/>
                <w:sz w:val="17"/>
                <w:szCs w:val="17"/>
              </w:rPr>
              <w:t xml:space="preserve">Dividends on common stock ($0.275 per share) </w:t>
            </w:r>
          </w:p>
        </w:tc>
        <w:tc>
          <w:tcPr>
            <w:tcW w:w="0" w:type="auto"/>
            <w:gridSpan w:val="3"/>
            <w:tcBorders>
              <w:top w:val="single" w:sz="8" w:space="0" w:color="808080"/>
            </w:tcBorders>
            <w:shd w:val="clear" w:color="auto" w:fill="FFF1E7"/>
            <w:tcMar>
              <w:top w:w="0" w:type="dxa"/>
              <w:left w:w="20" w:type="dxa"/>
              <w:bottom w:w="0" w:type="dxa"/>
              <w:right w:w="20" w:type="dxa"/>
            </w:tcMar>
          </w:tcPr>
          <w:p w14:paraId="669C5DE0" w14:textId="77777777" w:rsidR="00066C63" w:rsidRDefault="00066C63">
            <w:pPr>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669C5DE1" w14:textId="77777777" w:rsidR="00066C63" w:rsidRDefault="00066C63">
            <w:pPr>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669C5DE2" w14:textId="77777777" w:rsidR="00066C63" w:rsidRDefault="00066C63">
            <w:pPr>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669C5DE3" w14:textId="77777777" w:rsidR="00066C63" w:rsidRDefault="00066C63">
            <w:pPr>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669C5DE4" w14:textId="77777777" w:rsidR="00066C63" w:rsidRDefault="00066C63">
            <w:pPr>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669C5DE5" w14:textId="77777777" w:rsidR="00066C63" w:rsidRDefault="00066C63">
            <w:pPr>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669C5DE6" w14:textId="77777777" w:rsidR="00066C63" w:rsidRDefault="00066C63">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5DE7" w14:textId="77777777" w:rsidR="00066C63" w:rsidRDefault="009656F6">
            <w:pPr>
              <w:jc w:val="right"/>
              <w:textAlignment w:val="bottom"/>
            </w:pPr>
            <w:r>
              <w:rPr>
                <w:rFonts w:ascii="Arial" w:eastAsia="宋体" w:hAnsi="Arial" w:cs="Arial"/>
                <w:color w:val="000000"/>
                <w:sz w:val="17"/>
                <w:szCs w:val="17"/>
              </w:rPr>
              <w:t>(436)</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5DE8" w14:textId="77777777" w:rsidR="00066C63" w:rsidRDefault="00066C63">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5DE9" w14:textId="77777777" w:rsidR="00066C63" w:rsidRDefault="009656F6">
            <w:pPr>
              <w:jc w:val="right"/>
              <w:textAlignment w:val="bottom"/>
            </w:pPr>
            <w:r>
              <w:rPr>
                <w:rFonts w:ascii="Arial" w:eastAsia="宋体" w:hAnsi="Arial" w:cs="Arial"/>
                <w:color w:val="000000"/>
                <w:sz w:val="17"/>
                <w:szCs w:val="17"/>
              </w:rPr>
              <w:t>(436)</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5DEA" w14:textId="77777777" w:rsidR="00066C63" w:rsidRDefault="00066C63">
            <w:pPr>
              <w:jc w:val="right"/>
              <w:rPr>
                <w:rFonts w:ascii="宋体"/>
              </w:rPr>
            </w:pPr>
          </w:p>
        </w:tc>
      </w:tr>
      <w:tr w:rsidR="00066C63" w14:paraId="669C5DF9" w14:textId="77777777">
        <w:trPr>
          <w:jc w:val="center"/>
        </w:trPr>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5DEC" w14:textId="77777777" w:rsidR="00066C63" w:rsidRDefault="009656F6">
            <w:pPr>
              <w:textAlignment w:val="bottom"/>
            </w:pPr>
            <w:r>
              <w:rPr>
                <w:rFonts w:ascii="Arial" w:eastAsia="宋体" w:hAnsi="Arial" w:cs="Arial"/>
                <w:color w:val="000000"/>
                <w:sz w:val="17"/>
                <w:szCs w:val="17"/>
              </w:rPr>
              <w:t>Issuance of shares to employees, net of shares withheld for employee taxes</w:t>
            </w:r>
          </w:p>
        </w:tc>
        <w:tc>
          <w:tcPr>
            <w:tcW w:w="0" w:type="auto"/>
            <w:gridSpan w:val="3"/>
            <w:tcBorders>
              <w:top w:val="single" w:sz="8" w:space="0" w:color="808080"/>
            </w:tcBorders>
            <w:shd w:val="clear" w:color="auto" w:fill="FFF1E7"/>
            <w:tcMar>
              <w:top w:w="0" w:type="dxa"/>
              <w:left w:w="20" w:type="dxa"/>
              <w:bottom w:w="0" w:type="dxa"/>
              <w:right w:w="20" w:type="dxa"/>
            </w:tcMar>
          </w:tcPr>
          <w:p w14:paraId="669C5DED" w14:textId="77777777" w:rsidR="00066C63" w:rsidRDefault="00066C63">
            <w:pPr>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669C5DEE" w14:textId="77777777" w:rsidR="00066C63" w:rsidRDefault="00066C63">
            <w:pPr>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669C5DEF" w14:textId="77777777" w:rsidR="00066C63" w:rsidRDefault="00066C63">
            <w:pPr>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669C5DF0" w14:textId="77777777" w:rsidR="00066C63" w:rsidRDefault="00066C63">
            <w:pPr>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669C5DF1" w14:textId="77777777" w:rsidR="00066C63" w:rsidRDefault="00066C63">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5DF2" w14:textId="77777777" w:rsidR="00066C63" w:rsidRDefault="009656F6">
            <w:pPr>
              <w:jc w:val="right"/>
              <w:textAlignment w:val="bottom"/>
            </w:pPr>
            <w:r>
              <w:rPr>
                <w:rFonts w:ascii="Arial" w:eastAsia="宋体" w:hAnsi="Arial" w:cs="Arial"/>
                <w:color w:val="000000"/>
                <w:sz w:val="17"/>
                <w:szCs w:val="17"/>
              </w:rPr>
              <w:t>(20)</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5DF3" w14:textId="77777777" w:rsidR="00066C63" w:rsidRDefault="00066C63">
            <w:pPr>
              <w:jc w:val="right"/>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669C5DF4" w14:textId="77777777" w:rsidR="00066C63" w:rsidRDefault="00066C63">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5DF5" w14:textId="77777777" w:rsidR="00066C63" w:rsidRDefault="009656F6">
            <w:pPr>
              <w:jc w:val="right"/>
              <w:textAlignment w:val="bottom"/>
            </w:pPr>
            <w:r>
              <w:rPr>
                <w:rFonts w:ascii="Arial" w:eastAsia="宋体" w:hAnsi="Arial" w:cs="Arial"/>
                <w:color w:val="000000"/>
                <w:sz w:val="17"/>
                <w:szCs w:val="17"/>
              </w:rPr>
              <w:t>(14)</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5DF6" w14:textId="77777777" w:rsidR="00066C63" w:rsidRDefault="00066C63">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5DF7" w14:textId="77777777" w:rsidR="00066C63" w:rsidRDefault="009656F6">
            <w:pPr>
              <w:jc w:val="right"/>
              <w:textAlignment w:val="bottom"/>
            </w:pPr>
            <w:r>
              <w:rPr>
                <w:rFonts w:ascii="Arial" w:eastAsia="宋体" w:hAnsi="Arial" w:cs="Arial"/>
                <w:color w:val="000000"/>
                <w:sz w:val="17"/>
                <w:szCs w:val="17"/>
              </w:rPr>
              <w:t>(34)</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5DF8" w14:textId="77777777" w:rsidR="00066C63" w:rsidRDefault="00066C63">
            <w:pPr>
              <w:jc w:val="right"/>
              <w:rPr>
                <w:rFonts w:ascii="宋体"/>
              </w:rPr>
            </w:pPr>
          </w:p>
        </w:tc>
      </w:tr>
      <w:tr w:rsidR="00066C63" w14:paraId="669C5E06" w14:textId="77777777">
        <w:trPr>
          <w:jc w:val="center"/>
        </w:trPr>
        <w:tc>
          <w:tcPr>
            <w:tcW w:w="0" w:type="auto"/>
            <w:gridSpan w:val="3"/>
            <w:tcBorders>
              <w:top w:val="single" w:sz="8" w:space="0" w:color="808080"/>
            </w:tcBorders>
            <w:shd w:val="clear" w:color="auto" w:fill="FFFFFF"/>
            <w:tcMar>
              <w:top w:w="40" w:type="dxa"/>
              <w:left w:w="20" w:type="dxa"/>
              <w:bottom w:w="40" w:type="dxa"/>
              <w:right w:w="20" w:type="dxa"/>
            </w:tcMar>
            <w:vAlign w:val="bottom"/>
          </w:tcPr>
          <w:p w14:paraId="669C5DFA" w14:textId="77777777" w:rsidR="00066C63" w:rsidRDefault="009656F6">
            <w:pPr>
              <w:textAlignment w:val="bottom"/>
            </w:pPr>
            <w:r>
              <w:rPr>
                <w:rFonts w:ascii="Arial" w:eastAsia="宋体" w:hAnsi="Arial" w:cs="Arial"/>
                <w:color w:val="000000"/>
                <w:sz w:val="17"/>
                <w:szCs w:val="17"/>
              </w:rPr>
              <w:t>Stock-based compensation</w:t>
            </w:r>
          </w:p>
        </w:tc>
        <w:tc>
          <w:tcPr>
            <w:tcW w:w="0" w:type="auto"/>
            <w:gridSpan w:val="3"/>
            <w:tcBorders>
              <w:top w:val="single" w:sz="8" w:space="0" w:color="808080"/>
            </w:tcBorders>
            <w:shd w:val="clear" w:color="auto" w:fill="FFF1E7"/>
            <w:tcMar>
              <w:top w:w="0" w:type="dxa"/>
              <w:left w:w="20" w:type="dxa"/>
              <w:bottom w:w="0" w:type="dxa"/>
              <w:right w:w="20" w:type="dxa"/>
            </w:tcMar>
          </w:tcPr>
          <w:p w14:paraId="669C5DFB" w14:textId="77777777" w:rsidR="00066C63" w:rsidRDefault="00066C63">
            <w:pPr>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669C5DFC" w14:textId="77777777" w:rsidR="00066C63" w:rsidRDefault="00066C63">
            <w:pPr>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669C5DFD" w14:textId="77777777" w:rsidR="00066C63" w:rsidRDefault="00066C63">
            <w:pPr>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669C5DFE" w14:textId="77777777" w:rsidR="00066C63" w:rsidRDefault="00066C63">
            <w:pPr>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669C5DFF" w14:textId="77777777" w:rsidR="00066C63" w:rsidRDefault="00066C63">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5E00" w14:textId="77777777" w:rsidR="00066C63" w:rsidRDefault="009656F6">
            <w:pPr>
              <w:jc w:val="right"/>
              <w:textAlignment w:val="bottom"/>
            </w:pPr>
            <w:r>
              <w:rPr>
                <w:rFonts w:ascii="Arial" w:eastAsia="宋体" w:hAnsi="Arial" w:cs="Arial"/>
                <w:color w:val="000000"/>
                <w:sz w:val="17"/>
                <w:szCs w:val="17"/>
              </w:rPr>
              <w:t>142 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5E01" w14:textId="77777777" w:rsidR="00066C63" w:rsidRDefault="00066C63">
            <w:pPr>
              <w:jc w:val="right"/>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669C5E02" w14:textId="77777777" w:rsidR="00066C63" w:rsidRDefault="00066C63">
            <w:pPr>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669C5E03" w14:textId="77777777" w:rsidR="00066C63" w:rsidRDefault="00066C63">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5E04" w14:textId="77777777" w:rsidR="00066C63" w:rsidRDefault="009656F6">
            <w:pPr>
              <w:jc w:val="right"/>
              <w:textAlignment w:val="bottom"/>
            </w:pPr>
            <w:r>
              <w:rPr>
                <w:rFonts w:ascii="Arial" w:eastAsia="宋体" w:hAnsi="Arial" w:cs="Arial"/>
                <w:color w:val="000000"/>
                <w:sz w:val="17"/>
                <w:szCs w:val="17"/>
              </w:rPr>
              <w:t>142 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5E05" w14:textId="77777777" w:rsidR="00066C63" w:rsidRDefault="00066C63">
            <w:pPr>
              <w:jc w:val="right"/>
              <w:rPr>
                <w:rFonts w:ascii="宋体"/>
              </w:rPr>
            </w:pPr>
          </w:p>
        </w:tc>
      </w:tr>
      <w:tr w:rsidR="00066C63" w14:paraId="669C5E13" w14:textId="77777777">
        <w:trPr>
          <w:jc w:val="center"/>
        </w:trPr>
        <w:tc>
          <w:tcPr>
            <w:tcW w:w="0" w:type="auto"/>
            <w:gridSpan w:val="3"/>
            <w:tcBorders>
              <w:top w:val="single" w:sz="8" w:space="0" w:color="808080"/>
            </w:tcBorders>
            <w:shd w:val="clear" w:color="auto" w:fill="FFFFFF"/>
            <w:tcMar>
              <w:top w:w="40" w:type="dxa"/>
              <w:left w:w="20" w:type="dxa"/>
              <w:bottom w:w="40" w:type="dxa"/>
              <w:right w:w="20" w:type="dxa"/>
            </w:tcMar>
            <w:vAlign w:val="bottom"/>
          </w:tcPr>
          <w:p w14:paraId="669C5E07" w14:textId="77777777" w:rsidR="00066C63" w:rsidRDefault="009656F6">
            <w:pPr>
              <w:textAlignment w:val="bottom"/>
            </w:pPr>
            <w:r>
              <w:rPr>
                <w:rFonts w:ascii="Arial" w:eastAsia="宋体" w:hAnsi="Arial" w:cs="Arial"/>
                <w:color w:val="000000"/>
                <w:sz w:val="17"/>
                <w:szCs w:val="17"/>
              </w:rPr>
              <w:t>Net income</w:t>
            </w:r>
          </w:p>
        </w:tc>
        <w:tc>
          <w:tcPr>
            <w:tcW w:w="0" w:type="auto"/>
            <w:gridSpan w:val="3"/>
            <w:tcBorders>
              <w:top w:val="single" w:sz="8" w:space="0" w:color="808080"/>
            </w:tcBorders>
            <w:shd w:val="clear" w:color="auto" w:fill="FFF1E7"/>
            <w:tcMar>
              <w:top w:w="0" w:type="dxa"/>
              <w:left w:w="20" w:type="dxa"/>
              <w:bottom w:w="0" w:type="dxa"/>
              <w:right w:w="20" w:type="dxa"/>
            </w:tcMar>
          </w:tcPr>
          <w:p w14:paraId="669C5E08" w14:textId="77777777" w:rsidR="00066C63" w:rsidRDefault="00066C63">
            <w:pPr>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669C5E09" w14:textId="77777777" w:rsidR="00066C63" w:rsidRDefault="00066C63">
            <w:pPr>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669C5E0A" w14:textId="77777777" w:rsidR="00066C63" w:rsidRDefault="00066C63">
            <w:pPr>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669C5E0B" w14:textId="77777777" w:rsidR="00066C63" w:rsidRDefault="00066C63">
            <w:pPr>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669C5E0C" w14:textId="77777777" w:rsidR="00066C63" w:rsidRDefault="00066C63">
            <w:pPr>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669C5E0D" w14:textId="77777777" w:rsidR="00066C63" w:rsidRDefault="00066C63">
            <w:pPr>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669C5E0E" w14:textId="77777777" w:rsidR="00066C63" w:rsidRDefault="00066C63">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5E0F" w14:textId="77777777" w:rsidR="00066C63" w:rsidRDefault="009656F6">
            <w:pPr>
              <w:jc w:val="right"/>
              <w:textAlignment w:val="bottom"/>
            </w:pPr>
            <w:r>
              <w:rPr>
                <w:rFonts w:ascii="Arial" w:eastAsia="宋体" w:hAnsi="Arial" w:cs="Arial"/>
                <w:color w:val="000000"/>
                <w:sz w:val="17"/>
                <w:szCs w:val="17"/>
              </w:rPr>
              <w:t>1,449 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5E10" w14:textId="77777777" w:rsidR="00066C63" w:rsidRDefault="00066C63">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5E11" w14:textId="77777777" w:rsidR="00066C63" w:rsidRDefault="009656F6">
            <w:pPr>
              <w:jc w:val="right"/>
              <w:textAlignment w:val="bottom"/>
            </w:pPr>
            <w:r>
              <w:rPr>
                <w:rFonts w:ascii="Arial" w:eastAsia="宋体" w:hAnsi="Arial" w:cs="Arial"/>
                <w:color w:val="000000"/>
                <w:sz w:val="17"/>
                <w:szCs w:val="17"/>
              </w:rPr>
              <w:t>1,449 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5E12" w14:textId="77777777" w:rsidR="00066C63" w:rsidRDefault="00066C63">
            <w:pPr>
              <w:jc w:val="right"/>
              <w:rPr>
                <w:rFonts w:ascii="宋体"/>
              </w:rPr>
            </w:pPr>
          </w:p>
        </w:tc>
      </w:tr>
      <w:tr w:rsidR="00066C63" w14:paraId="669C5E20" w14:textId="77777777">
        <w:trPr>
          <w:jc w:val="center"/>
        </w:trPr>
        <w:tc>
          <w:tcPr>
            <w:tcW w:w="0" w:type="auto"/>
            <w:gridSpan w:val="3"/>
            <w:tcBorders>
              <w:top w:val="single" w:sz="8" w:space="0" w:color="808080"/>
            </w:tcBorders>
            <w:shd w:val="clear" w:color="auto" w:fill="FFFFFF"/>
            <w:tcMar>
              <w:top w:w="40" w:type="dxa"/>
              <w:left w:w="20" w:type="dxa"/>
              <w:bottom w:w="40" w:type="dxa"/>
              <w:right w:w="20" w:type="dxa"/>
            </w:tcMar>
            <w:vAlign w:val="bottom"/>
          </w:tcPr>
          <w:p w14:paraId="669C5E14" w14:textId="77777777" w:rsidR="00066C63" w:rsidRDefault="009656F6">
            <w:pPr>
              <w:textAlignment w:val="bottom"/>
            </w:pPr>
            <w:r>
              <w:rPr>
                <w:rFonts w:ascii="Arial" w:eastAsia="宋体" w:hAnsi="Arial" w:cs="Arial"/>
                <w:color w:val="000000"/>
                <w:sz w:val="17"/>
                <w:szCs w:val="17"/>
              </w:rPr>
              <w:t>Other comprehensive income (loss)</w:t>
            </w:r>
          </w:p>
        </w:tc>
        <w:tc>
          <w:tcPr>
            <w:tcW w:w="0" w:type="auto"/>
            <w:gridSpan w:val="3"/>
            <w:tcBorders>
              <w:top w:val="single" w:sz="8" w:space="0" w:color="808080"/>
            </w:tcBorders>
            <w:shd w:val="clear" w:color="auto" w:fill="FFF1E7"/>
            <w:tcMar>
              <w:top w:w="0" w:type="dxa"/>
              <w:left w:w="20" w:type="dxa"/>
              <w:bottom w:w="0" w:type="dxa"/>
              <w:right w:w="20" w:type="dxa"/>
            </w:tcMar>
          </w:tcPr>
          <w:p w14:paraId="669C5E15" w14:textId="77777777" w:rsidR="00066C63" w:rsidRDefault="00066C63">
            <w:pPr>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669C5E16" w14:textId="77777777" w:rsidR="00066C63" w:rsidRDefault="00066C63">
            <w:pPr>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669C5E17" w14:textId="77777777" w:rsidR="00066C63" w:rsidRDefault="00066C63">
            <w:pPr>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669C5E18" w14:textId="77777777" w:rsidR="00066C63" w:rsidRDefault="00066C63">
            <w:pPr>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669C5E19" w14:textId="77777777" w:rsidR="00066C63" w:rsidRDefault="00066C63">
            <w:pPr>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669C5E1A" w14:textId="77777777" w:rsidR="00066C63" w:rsidRDefault="00066C63">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5E1B" w14:textId="77777777" w:rsidR="00066C63" w:rsidRDefault="009656F6">
            <w:pPr>
              <w:jc w:val="right"/>
              <w:textAlignment w:val="bottom"/>
            </w:pPr>
            <w:r>
              <w:rPr>
                <w:rFonts w:ascii="Arial" w:eastAsia="宋体" w:hAnsi="Arial" w:cs="Arial"/>
                <w:color w:val="000000"/>
                <w:sz w:val="17"/>
                <w:szCs w:val="17"/>
              </w:rPr>
              <w:t>(17)</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5E1C" w14:textId="77777777" w:rsidR="00066C63" w:rsidRDefault="00066C63">
            <w:pPr>
              <w:jc w:val="right"/>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669C5E1D" w14:textId="77777777" w:rsidR="00066C63" w:rsidRDefault="00066C63">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5E1E" w14:textId="77777777" w:rsidR="00066C63" w:rsidRDefault="009656F6">
            <w:pPr>
              <w:jc w:val="right"/>
              <w:textAlignment w:val="bottom"/>
            </w:pPr>
            <w:r>
              <w:rPr>
                <w:rFonts w:ascii="Arial" w:eastAsia="宋体" w:hAnsi="Arial" w:cs="Arial"/>
                <w:color w:val="000000"/>
                <w:sz w:val="17"/>
                <w:szCs w:val="17"/>
              </w:rPr>
              <w:t>(17)</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5E1F" w14:textId="77777777" w:rsidR="00066C63" w:rsidRDefault="00066C63">
            <w:pPr>
              <w:jc w:val="right"/>
              <w:rPr>
                <w:rFonts w:ascii="宋体"/>
              </w:rPr>
            </w:pPr>
          </w:p>
        </w:tc>
      </w:tr>
      <w:tr w:rsidR="00066C63" w14:paraId="669C5E39" w14:textId="77777777">
        <w:trPr>
          <w:jc w:val="center"/>
        </w:trPr>
        <w:tc>
          <w:tcPr>
            <w:tcW w:w="0" w:type="auto"/>
            <w:gridSpan w:val="3"/>
            <w:tcBorders>
              <w:top w:val="single" w:sz="8" w:space="0" w:color="E87722"/>
              <w:bottom w:val="single" w:sz="8" w:space="0" w:color="E87722"/>
            </w:tcBorders>
            <w:shd w:val="clear" w:color="auto" w:fill="FFFFFF"/>
            <w:tcMar>
              <w:top w:w="40" w:type="dxa"/>
              <w:left w:w="20" w:type="dxa"/>
              <w:bottom w:w="40" w:type="dxa"/>
              <w:right w:w="20" w:type="dxa"/>
            </w:tcMar>
            <w:vAlign w:val="bottom"/>
          </w:tcPr>
          <w:p w14:paraId="669C5E21" w14:textId="77777777" w:rsidR="00066C63" w:rsidRDefault="009656F6">
            <w:pPr>
              <w:textAlignment w:val="bottom"/>
            </w:pPr>
            <w:r>
              <w:rPr>
                <w:rFonts w:ascii="Arial" w:eastAsia="宋体" w:hAnsi="Arial" w:cs="Arial"/>
                <w:b/>
                <w:bCs/>
                <w:color w:val="000000"/>
                <w:sz w:val="17"/>
                <w:szCs w:val="17"/>
              </w:rPr>
              <w:t>Balance at February 28, 2021</w:t>
            </w:r>
          </w:p>
        </w:tc>
        <w:tc>
          <w:tcPr>
            <w:tcW w:w="0" w:type="auto"/>
            <w:gridSpan w:val="2"/>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69C5E22" w14:textId="77777777" w:rsidR="00066C63" w:rsidRDefault="009656F6">
            <w:pPr>
              <w:jc w:val="right"/>
              <w:textAlignment w:val="bottom"/>
            </w:pPr>
            <w:r>
              <w:rPr>
                <w:rFonts w:ascii="Arial" w:eastAsia="宋体" w:hAnsi="Arial" w:cs="Arial"/>
                <w:b/>
                <w:bCs/>
                <w:color w:val="000000"/>
                <w:sz w:val="17"/>
                <w:szCs w:val="17"/>
              </w:rPr>
              <w:t>305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69C5E23" w14:textId="77777777" w:rsidR="00066C63" w:rsidRDefault="00066C63">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69C5E24"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669C5E25" w14:textId="77777777" w:rsidR="00066C63" w:rsidRDefault="009656F6">
            <w:pPr>
              <w:jc w:val="right"/>
              <w:textAlignment w:val="bottom"/>
            </w:pPr>
            <w:r>
              <w:rPr>
                <w:rFonts w:ascii="Arial" w:eastAsia="宋体" w:hAnsi="Arial" w:cs="Arial"/>
                <w:b/>
                <w:bCs/>
                <w:color w:val="000000"/>
                <w:sz w:val="17"/>
                <w:szCs w:val="17"/>
              </w:rPr>
              <w:t>—</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69C5E26" w14:textId="77777777" w:rsidR="00066C63" w:rsidRDefault="00066C63">
            <w:pPr>
              <w:jc w:val="right"/>
              <w:rPr>
                <w:rFonts w:ascii="宋体"/>
              </w:rPr>
            </w:pPr>
          </w:p>
        </w:tc>
        <w:tc>
          <w:tcPr>
            <w:tcW w:w="0" w:type="auto"/>
            <w:gridSpan w:val="3"/>
            <w:tcBorders>
              <w:top w:val="single" w:sz="8" w:space="0" w:color="E87722"/>
              <w:bottom w:val="single" w:sz="8" w:space="0" w:color="E87722"/>
            </w:tcBorders>
            <w:shd w:val="clear" w:color="auto" w:fill="FFF1E7"/>
            <w:tcMar>
              <w:top w:w="0" w:type="dxa"/>
              <w:left w:w="20" w:type="dxa"/>
              <w:bottom w:w="0" w:type="dxa"/>
              <w:right w:w="20" w:type="dxa"/>
            </w:tcMar>
          </w:tcPr>
          <w:p w14:paraId="669C5E27" w14:textId="77777777" w:rsidR="00066C63" w:rsidRDefault="00066C63">
            <w:pPr>
              <w:rPr>
                <w:rFonts w:ascii="宋体"/>
              </w:rPr>
            </w:pPr>
          </w:p>
        </w:tc>
        <w:tc>
          <w:tcPr>
            <w:tcW w:w="0" w:type="auto"/>
            <w:gridSpan w:val="2"/>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69C5E28" w14:textId="77777777" w:rsidR="00066C63" w:rsidRDefault="009656F6">
            <w:pPr>
              <w:jc w:val="right"/>
              <w:textAlignment w:val="bottom"/>
            </w:pPr>
            <w:r>
              <w:rPr>
                <w:rFonts w:ascii="Arial" w:eastAsia="宋体" w:hAnsi="Arial" w:cs="Arial"/>
                <w:b/>
                <w:bCs/>
                <w:color w:val="000000"/>
                <w:sz w:val="17"/>
                <w:szCs w:val="17"/>
              </w:rPr>
              <w:t>1,274</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69C5E29" w14:textId="77777777" w:rsidR="00066C63" w:rsidRDefault="00066C63">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69C5E2A"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669C5E2B" w14:textId="77777777" w:rsidR="00066C63" w:rsidRDefault="009656F6">
            <w:pPr>
              <w:jc w:val="right"/>
              <w:textAlignment w:val="bottom"/>
            </w:pPr>
            <w:r>
              <w:rPr>
                <w:rFonts w:ascii="Arial" w:eastAsia="宋体" w:hAnsi="Arial" w:cs="Arial"/>
                <w:b/>
                <w:bCs/>
                <w:color w:val="000000"/>
                <w:sz w:val="17"/>
                <w:szCs w:val="17"/>
              </w:rPr>
              <w:t>3</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69C5E2C" w14:textId="77777777" w:rsidR="00066C63" w:rsidRDefault="00066C63">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69C5E2D"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669C5E2E" w14:textId="77777777" w:rsidR="00066C63" w:rsidRDefault="009656F6">
            <w:pPr>
              <w:jc w:val="right"/>
              <w:textAlignment w:val="bottom"/>
            </w:pPr>
            <w:r>
              <w:rPr>
                <w:rFonts w:ascii="Arial" w:eastAsia="宋体" w:hAnsi="Arial" w:cs="Arial"/>
                <w:b/>
                <w:bCs/>
                <w:color w:val="000000"/>
                <w:sz w:val="17"/>
                <w:szCs w:val="17"/>
              </w:rPr>
              <w:t>9,645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69C5E2F" w14:textId="77777777" w:rsidR="00066C63" w:rsidRDefault="00066C63">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69C5E30"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669C5E31" w14:textId="77777777" w:rsidR="00066C63" w:rsidRDefault="009656F6">
            <w:pPr>
              <w:jc w:val="right"/>
              <w:textAlignment w:val="bottom"/>
            </w:pPr>
            <w:r>
              <w:rPr>
                <w:rFonts w:ascii="Arial" w:eastAsia="宋体" w:hAnsi="Arial" w:cs="Arial"/>
                <w:b/>
                <w:bCs/>
                <w:color w:val="000000"/>
                <w:sz w:val="17"/>
                <w:szCs w:val="17"/>
              </w:rPr>
              <w:t>(446)</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69C5E32" w14:textId="77777777" w:rsidR="00066C63" w:rsidRDefault="00066C63">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69C5E33"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669C5E34" w14:textId="77777777" w:rsidR="00066C63" w:rsidRDefault="009656F6">
            <w:pPr>
              <w:jc w:val="right"/>
              <w:textAlignment w:val="bottom"/>
            </w:pPr>
            <w:r>
              <w:rPr>
                <w:rFonts w:ascii="Arial" w:eastAsia="宋体" w:hAnsi="Arial" w:cs="Arial"/>
                <w:b/>
                <w:bCs/>
                <w:color w:val="000000"/>
                <w:sz w:val="17"/>
                <w:szCs w:val="17"/>
              </w:rPr>
              <w:t>2,729</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69C5E35" w14:textId="77777777" w:rsidR="00066C63" w:rsidRDefault="00066C63">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69C5E36"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669C5E37" w14:textId="77777777" w:rsidR="00066C63" w:rsidRDefault="009656F6">
            <w:pPr>
              <w:jc w:val="right"/>
              <w:textAlignment w:val="bottom"/>
            </w:pPr>
            <w:r>
              <w:rPr>
                <w:rFonts w:ascii="Arial" w:eastAsia="宋体" w:hAnsi="Arial" w:cs="Arial"/>
                <w:b/>
                <w:bCs/>
                <w:color w:val="000000"/>
                <w:sz w:val="17"/>
                <w:szCs w:val="17"/>
              </w:rPr>
              <w:t>11,931</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69C5E38" w14:textId="77777777" w:rsidR="00066C63" w:rsidRDefault="00066C63">
            <w:pPr>
              <w:jc w:val="right"/>
              <w:rPr>
                <w:rFonts w:ascii="宋体"/>
              </w:rPr>
            </w:pPr>
          </w:p>
        </w:tc>
      </w:tr>
    </w:tbl>
    <w:p w14:paraId="669C5E3A" w14:textId="77777777" w:rsidR="00066C63" w:rsidRDefault="00066C63">
      <w:pPr>
        <w:spacing w:before="120" w:after="120"/>
        <w:jc w:val="center"/>
      </w:pPr>
    </w:p>
    <w:tbl>
      <w:tblPr>
        <w:tblW w:w="4992" w:type="pct"/>
        <w:jc w:val="center"/>
        <w:tblCellMar>
          <w:top w:w="15" w:type="dxa"/>
          <w:left w:w="15" w:type="dxa"/>
          <w:bottom w:w="15" w:type="dxa"/>
          <w:right w:w="15" w:type="dxa"/>
        </w:tblCellMar>
        <w:tblLook w:val="04A0" w:firstRow="1" w:lastRow="0" w:firstColumn="1" w:lastColumn="0" w:noHBand="0" w:noVBand="1"/>
      </w:tblPr>
      <w:tblGrid>
        <w:gridCol w:w="41"/>
        <w:gridCol w:w="1729"/>
        <w:gridCol w:w="40"/>
        <w:gridCol w:w="87"/>
        <w:gridCol w:w="495"/>
        <w:gridCol w:w="36"/>
        <w:gridCol w:w="116"/>
        <w:gridCol w:w="616"/>
        <w:gridCol w:w="36"/>
        <w:gridCol w:w="36"/>
        <w:gridCol w:w="36"/>
        <w:gridCol w:w="36"/>
        <w:gridCol w:w="87"/>
        <w:gridCol w:w="495"/>
        <w:gridCol w:w="37"/>
        <w:gridCol w:w="117"/>
        <w:gridCol w:w="610"/>
        <w:gridCol w:w="37"/>
        <w:gridCol w:w="116"/>
        <w:gridCol w:w="712"/>
        <w:gridCol w:w="36"/>
        <w:gridCol w:w="116"/>
        <w:gridCol w:w="1165"/>
        <w:gridCol w:w="36"/>
        <w:gridCol w:w="116"/>
        <w:gridCol w:w="679"/>
        <w:gridCol w:w="36"/>
        <w:gridCol w:w="115"/>
        <w:gridCol w:w="473"/>
        <w:gridCol w:w="36"/>
      </w:tblGrid>
      <w:tr w:rsidR="00066C63" w14:paraId="669C5E59" w14:textId="77777777">
        <w:trPr>
          <w:jc w:val="center"/>
        </w:trPr>
        <w:tc>
          <w:tcPr>
            <w:tcW w:w="50" w:type="pct"/>
            <w:shd w:val="clear" w:color="auto" w:fill="auto"/>
          </w:tcPr>
          <w:p w14:paraId="669C5E3B" w14:textId="77777777" w:rsidR="00066C63" w:rsidRDefault="00066C63">
            <w:pPr>
              <w:rPr>
                <w:rFonts w:ascii="宋体"/>
              </w:rPr>
            </w:pPr>
          </w:p>
        </w:tc>
        <w:tc>
          <w:tcPr>
            <w:tcW w:w="1560" w:type="pct"/>
            <w:shd w:val="clear" w:color="auto" w:fill="auto"/>
          </w:tcPr>
          <w:p w14:paraId="669C5E3C" w14:textId="77777777" w:rsidR="00066C63" w:rsidRDefault="00066C63">
            <w:pPr>
              <w:rPr>
                <w:rFonts w:ascii="宋体"/>
              </w:rPr>
            </w:pPr>
          </w:p>
        </w:tc>
        <w:tc>
          <w:tcPr>
            <w:tcW w:w="5" w:type="pct"/>
            <w:shd w:val="clear" w:color="auto" w:fill="auto"/>
          </w:tcPr>
          <w:p w14:paraId="669C5E3D" w14:textId="77777777" w:rsidR="00066C63" w:rsidRDefault="00066C63">
            <w:pPr>
              <w:rPr>
                <w:rFonts w:ascii="宋体"/>
              </w:rPr>
            </w:pPr>
          </w:p>
        </w:tc>
        <w:tc>
          <w:tcPr>
            <w:tcW w:w="50" w:type="pct"/>
            <w:shd w:val="clear" w:color="auto" w:fill="auto"/>
          </w:tcPr>
          <w:p w14:paraId="669C5E3E" w14:textId="77777777" w:rsidR="00066C63" w:rsidRDefault="00066C63">
            <w:pPr>
              <w:rPr>
                <w:rFonts w:ascii="宋体"/>
              </w:rPr>
            </w:pPr>
          </w:p>
        </w:tc>
        <w:tc>
          <w:tcPr>
            <w:tcW w:w="285" w:type="pct"/>
            <w:shd w:val="clear" w:color="auto" w:fill="auto"/>
          </w:tcPr>
          <w:p w14:paraId="669C5E3F" w14:textId="77777777" w:rsidR="00066C63" w:rsidRDefault="00066C63">
            <w:pPr>
              <w:rPr>
                <w:rFonts w:ascii="宋体"/>
              </w:rPr>
            </w:pPr>
          </w:p>
        </w:tc>
        <w:tc>
          <w:tcPr>
            <w:tcW w:w="5" w:type="pct"/>
            <w:shd w:val="clear" w:color="auto" w:fill="auto"/>
          </w:tcPr>
          <w:p w14:paraId="669C5E40" w14:textId="77777777" w:rsidR="00066C63" w:rsidRDefault="00066C63">
            <w:pPr>
              <w:rPr>
                <w:rFonts w:ascii="宋体"/>
              </w:rPr>
            </w:pPr>
          </w:p>
        </w:tc>
        <w:tc>
          <w:tcPr>
            <w:tcW w:w="50" w:type="pct"/>
            <w:shd w:val="clear" w:color="auto" w:fill="auto"/>
          </w:tcPr>
          <w:p w14:paraId="669C5E41" w14:textId="77777777" w:rsidR="00066C63" w:rsidRDefault="00066C63">
            <w:pPr>
              <w:rPr>
                <w:rFonts w:ascii="宋体"/>
              </w:rPr>
            </w:pPr>
          </w:p>
        </w:tc>
        <w:tc>
          <w:tcPr>
            <w:tcW w:w="346" w:type="pct"/>
            <w:shd w:val="clear" w:color="auto" w:fill="auto"/>
          </w:tcPr>
          <w:p w14:paraId="669C5E42" w14:textId="77777777" w:rsidR="00066C63" w:rsidRDefault="00066C63">
            <w:pPr>
              <w:rPr>
                <w:rFonts w:ascii="宋体"/>
              </w:rPr>
            </w:pPr>
          </w:p>
        </w:tc>
        <w:tc>
          <w:tcPr>
            <w:tcW w:w="5" w:type="pct"/>
            <w:shd w:val="clear" w:color="auto" w:fill="auto"/>
          </w:tcPr>
          <w:p w14:paraId="669C5E43" w14:textId="77777777" w:rsidR="00066C63" w:rsidRDefault="00066C63">
            <w:pPr>
              <w:rPr>
                <w:rFonts w:ascii="宋体"/>
              </w:rPr>
            </w:pPr>
          </w:p>
        </w:tc>
        <w:tc>
          <w:tcPr>
            <w:tcW w:w="5" w:type="pct"/>
            <w:shd w:val="clear" w:color="auto" w:fill="auto"/>
          </w:tcPr>
          <w:p w14:paraId="669C5E44" w14:textId="77777777" w:rsidR="00066C63" w:rsidRDefault="00066C63">
            <w:pPr>
              <w:rPr>
                <w:rFonts w:ascii="宋体"/>
              </w:rPr>
            </w:pPr>
          </w:p>
        </w:tc>
        <w:tc>
          <w:tcPr>
            <w:tcW w:w="28" w:type="pct"/>
            <w:shd w:val="clear" w:color="auto" w:fill="auto"/>
          </w:tcPr>
          <w:p w14:paraId="669C5E45" w14:textId="77777777" w:rsidR="00066C63" w:rsidRDefault="00066C63">
            <w:pPr>
              <w:rPr>
                <w:rFonts w:ascii="宋体"/>
              </w:rPr>
            </w:pPr>
          </w:p>
        </w:tc>
        <w:tc>
          <w:tcPr>
            <w:tcW w:w="5" w:type="pct"/>
            <w:shd w:val="clear" w:color="auto" w:fill="auto"/>
          </w:tcPr>
          <w:p w14:paraId="669C5E46" w14:textId="77777777" w:rsidR="00066C63" w:rsidRDefault="00066C63">
            <w:pPr>
              <w:rPr>
                <w:rFonts w:ascii="宋体"/>
              </w:rPr>
            </w:pPr>
          </w:p>
        </w:tc>
        <w:tc>
          <w:tcPr>
            <w:tcW w:w="50" w:type="pct"/>
            <w:shd w:val="clear" w:color="auto" w:fill="auto"/>
          </w:tcPr>
          <w:p w14:paraId="669C5E47" w14:textId="77777777" w:rsidR="00066C63" w:rsidRDefault="00066C63">
            <w:pPr>
              <w:rPr>
                <w:rFonts w:ascii="宋体"/>
              </w:rPr>
            </w:pPr>
          </w:p>
        </w:tc>
        <w:tc>
          <w:tcPr>
            <w:tcW w:w="285" w:type="pct"/>
            <w:shd w:val="clear" w:color="auto" w:fill="auto"/>
          </w:tcPr>
          <w:p w14:paraId="669C5E48" w14:textId="77777777" w:rsidR="00066C63" w:rsidRDefault="00066C63">
            <w:pPr>
              <w:rPr>
                <w:rFonts w:ascii="宋体"/>
              </w:rPr>
            </w:pPr>
          </w:p>
        </w:tc>
        <w:tc>
          <w:tcPr>
            <w:tcW w:w="5" w:type="pct"/>
            <w:shd w:val="clear" w:color="auto" w:fill="auto"/>
          </w:tcPr>
          <w:p w14:paraId="669C5E49" w14:textId="77777777" w:rsidR="00066C63" w:rsidRDefault="00066C63">
            <w:pPr>
              <w:rPr>
                <w:rFonts w:ascii="宋体"/>
              </w:rPr>
            </w:pPr>
          </w:p>
        </w:tc>
        <w:tc>
          <w:tcPr>
            <w:tcW w:w="50" w:type="pct"/>
            <w:shd w:val="clear" w:color="auto" w:fill="auto"/>
          </w:tcPr>
          <w:p w14:paraId="669C5E4A" w14:textId="77777777" w:rsidR="00066C63" w:rsidRDefault="00066C63">
            <w:pPr>
              <w:rPr>
                <w:rFonts w:ascii="宋体"/>
              </w:rPr>
            </w:pPr>
          </w:p>
        </w:tc>
        <w:tc>
          <w:tcPr>
            <w:tcW w:w="323" w:type="pct"/>
            <w:shd w:val="clear" w:color="auto" w:fill="auto"/>
          </w:tcPr>
          <w:p w14:paraId="669C5E4B" w14:textId="77777777" w:rsidR="00066C63" w:rsidRDefault="00066C63">
            <w:pPr>
              <w:rPr>
                <w:rFonts w:ascii="宋体"/>
              </w:rPr>
            </w:pPr>
          </w:p>
        </w:tc>
        <w:tc>
          <w:tcPr>
            <w:tcW w:w="5" w:type="pct"/>
            <w:shd w:val="clear" w:color="auto" w:fill="auto"/>
          </w:tcPr>
          <w:p w14:paraId="669C5E4C" w14:textId="77777777" w:rsidR="00066C63" w:rsidRDefault="00066C63">
            <w:pPr>
              <w:rPr>
                <w:rFonts w:ascii="宋体"/>
              </w:rPr>
            </w:pPr>
          </w:p>
        </w:tc>
        <w:tc>
          <w:tcPr>
            <w:tcW w:w="50" w:type="pct"/>
            <w:shd w:val="clear" w:color="auto" w:fill="auto"/>
          </w:tcPr>
          <w:p w14:paraId="669C5E4D" w14:textId="77777777" w:rsidR="00066C63" w:rsidRDefault="00066C63">
            <w:pPr>
              <w:rPr>
                <w:rFonts w:ascii="宋体"/>
              </w:rPr>
            </w:pPr>
          </w:p>
        </w:tc>
        <w:tc>
          <w:tcPr>
            <w:tcW w:w="385" w:type="pct"/>
            <w:shd w:val="clear" w:color="auto" w:fill="auto"/>
          </w:tcPr>
          <w:p w14:paraId="669C5E4E" w14:textId="77777777" w:rsidR="00066C63" w:rsidRDefault="00066C63">
            <w:pPr>
              <w:rPr>
                <w:rFonts w:ascii="宋体"/>
              </w:rPr>
            </w:pPr>
          </w:p>
        </w:tc>
        <w:tc>
          <w:tcPr>
            <w:tcW w:w="5" w:type="pct"/>
            <w:shd w:val="clear" w:color="auto" w:fill="auto"/>
          </w:tcPr>
          <w:p w14:paraId="669C5E4F" w14:textId="77777777" w:rsidR="00066C63" w:rsidRDefault="00066C63">
            <w:pPr>
              <w:rPr>
                <w:rFonts w:ascii="宋体"/>
              </w:rPr>
            </w:pPr>
          </w:p>
        </w:tc>
        <w:tc>
          <w:tcPr>
            <w:tcW w:w="50" w:type="pct"/>
            <w:shd w:val="clear" w:color="auto" w:fill="auto"/>
          </w:tcPr>
          <w:p w14:paraId="669C5E50" w14:textId="77777777" w:rsidR="00066C63" w:rsidRDefault="00066C63">
            <w:pPr>
              <w:rPr>
                <w:rFonts w:ascii="宋体"/>
              </w:rPr>
            </w:pPr>
          </w:p>
        </w:tc>
        <w:tc>
          <w:tcPr>
            <w:tcW w:w="586" w:type="pct"/>
            <w:shd w:val="clear" w:color="auto" w:fill="auto"/>
          </w:tcPr>
          <w:p w14:paraId="669C5E51" w14:textId="77777777" w:rsidR="00066C63" w:rsidRDefault="00066C63">
            <w:pPr>
              <w:rPr>
                <w:rFonts w:ascii="宋体"/>
              </w:rPr>
            </w:pPr>
          </w:p>
        </w:tc>
        <w:tc>
          <w:tcPr>
            <w:tcW w:w="5" w:type="pct"/>
            <w:shd w:val="clear" w:color="auto" w:fill="auto"/>
          </w:tcPr>
          <w:p w14:paraId="669C5E52" w14:textId="77777777" w:rsidR="00066C63" w:rsidRDefault="00066C63">
            <w:pPr>
              <w:rPr>
                <w:rFonts w:ascii="宋体"/>
              </w:rPr>
            </w:pPr>
          </w:p>
        </w:tc>
        <w:tc>
          <w:tcPr>
            <w:tcW w:w="50" w:type="pct"/>
            <w:shd w:val="clear" w:color="auto" w:fill="auto"/>
          </w:tcPr>
          <w:p w14:paraId="669C5E53" w14:textId="77777777" w:rsidR="00066C63" w:rsidRDefault="00066C63">
            <w:pPr>
              <w:rPr>
                <w:rFonts w:ascii="宋体"/>
              </w:rPr>
            </w:pPr>
          </w:p>
        </w:tc>
        <w:tc>
          <w:tcPr>
            <w:tcW w:w="370" w:type="pct"/>
            <w:shd w:val="clear" w:color="auto" w:fill="auto"/>
          </w:tcPr>
          <w:p w14:paraId="669C5E54" w14:textId="77777777" w:rsidR="00066C63" w:rsidRDefault="00066C63">
            <w:pPr>
              <w:rPr>
                <w:rFonts w:ascii="宋体"/>
              </w:rPr>
            </w:pPr>
          </w:p>
        </w:tc>
        <w:tc>
          <w:tcPr>
            <w:tcW w:w="5" w:type="pct"/>
            <w:shd w:val="clear" w:color="auto" w:fill="auto"/>
          </w:tcPr>
          <w:p w14:paraId="669C5E55" w14:textId="77777777" w:rsidR="00066C63" w:rsidRDefault="00066C63">
            <w:pPr>
              <w:rPr>
                <w:rFonts w:ascii="宋体"/>
              </w:rPr>
            </w:pPr>
          </w:p>
        </w:tc>
        <w:tc>
          <w:tcPr>
            <w:tcW w:w="50" w:type="pct"/>
            <w:shd w:val="clear" w:color="auto" w:fill="auto"/>
          </w:tcPr>
          <w:p w14:paraId="669C5E56" w14:textId="77777777" w:rsidR="00066C63" w:rsidRDefault="00066C63">
            <w:pPr>
              <w:rPr>
                <w:rFonts w:ascii="宋体"/>
              </w:rPr>
            </w:pPr>
          </w:p>
        </w:tc>
        <w:tc>
          <w:tcPr>
            <w:tcW w:w="323" w:type="pct"/>
            <w:shd w:val="clear" w:color="auto" w:fill="auto"/>
          </w:tcPr>
          <w:p w14:paraId="669C5E57" w14:textId="77777777" w:rsidR="00066C63" w:rsidRDefault="00066C63">
            <w:pPr>
              <w:rPr>
                <w:rFonts w:ascii="宋体"/>
              </w:rPr>
            </w:pPr>
          </w:p>
        </w:tc>
        <w:tc>
          <w:tcPr>
            <w:tcW w:w="5" w:type="pct"/>
            <w:shd w:val="clear" w:color="auto" w:fill="auto"/>
          </w:tcPr>
          <w:p w14:paraId="669C5E58" w14:textId="77777777" w:rsidR="00066C63" w:rsidRDefault="00066C63">
            <w:pPr>
              <w:rPr>
                <w:rFonts w:ascii="宋体"/>
              </w:rPr>
            </w:pPr>
          </w:p>
        </w:tc>
      </w:tr>
      <w:tr w:rsidR="00066C63" w14:paraId="669C5E60" w14:textId="77777777">
        <w:trPr>
          <w:trHeight w:val="240"/>
          <w:jc w:val="center"/>
        </w:trPr>
        <w:tc>
          <w:tcPr>
            <w:tcW w:w="0" w:type="auto"/>
            <w:gridSpan w:val="3"/>
            <w:shd w:val="clear" w:color="auto" w:fill="auto"/>
            <w:tcMar>
              <w:top w:w="0" w:type="dxa"/>
              <w:left w:w="20" w:type="dxa"/>
              <w:bottom w:w="0" w:type="dxa"/>
              <w:right w:w="20" w:type="dxa"/>
            </w:tcMar>
          </w:tcPr>
          <w:p w14:paraId="669C5E5A" w14:textId="77777777" w:rsidR="00066C63" w:rsidRDefault="00066C63">
            <w:pPr>
              <w:rPr>
                <w:rFonts w:ascii="宋体"/>
              </w:rPr>
            </w:pPr>
          </w:p>
        </w:tc>
        <w:tc>
          <w:tcPr>
            <w:tcW w:w="0" w:type="auto"/>
            <w:gridSpan w:val="15"/>
            <w:tcBorders>
              <w:bottom w:val="single" w:sz="8" w:space="0" w:color="E87722"/>
            </w:tcBorders>
            <w:shd w:val="clear" w:color="auto" w:fill="auto"/>
            <w:tcMar>
              <w:top w:w="40" w:type="dxa"/>
              <w:left w:w="20" w:type="dxa"/>
              <w:bottom w:w="40" w:type="dxa"/>
              <w:right w:w="20" w:type="dxa"/>
            </w:tcMar>
            <w:vAlign w:val="bottom"/>
          </w:tcPr>
          <w:p w14:paraId="669C5E5B" w14:textId="77777777" w:rsidR="00066C63" w:rsidRDefault="009656F6">
            <w:pPr>
              <w:jc w:val="center"/>
              <w:textAlignment w:val="bottom"/>
            </w:pPr>
            <w:r>
              <w:rPr>
                <w:rFonts w:ascii="sans-serif" w:eastAsia="sans-serif" w:hAnsi="sans-serif" w:cs="sans-serif"/>
                <w:b/>
                <w:bCs/>
                <w:color w:val="000000"/>
                <w:sz w:val="17"/>
                <w:szCs w:val="17"/>
              </w:rPr>
              <w:t>COMMON STOCK</w:t>
            </w:r>
          </w:p>
        </w:tc>
        <w:tc>
          <w:tcPr>
            <w:tcW w:w="0" w:type="auto"/>
            <w:gridSpan w:val="3"/>
            <w:vMerge w:val="restart"/>
            <w:tcBorders>
              <w:bottom w:val="single" w:sz="8" w:space="0" w:color="E87722"/>
            </w:tcBorders>
            <w:shd w:val="clear" w:color="auto" w:fill="auto"/>
            <w:tcMar>
              <w:top w:w="40" w:type="dxa"/>
              <w:left w:w="20" w:type="dxa"/>
              <w:bottom w:w="40" w:type="dxa"/>
              <w:right w:w="20" w:type="dxa"/>
            </w:tcMar>
            <w:vAlign w:val="bottom"/>
          </w:tcPr>
          <w:p w14:paraId="669C5E5C" w14:textId="77777777" w:rsidR="00066C63" w:rsidRDefault="009656F6">
            <w:pPr>
              <w:jc w:val="right"/>
              <w:textAlignment w:val="bottom"/>
            </w:pPr>
            <w:r>
              <w:rPr>
                <w:rFonts w:ascii="sans-serif" w:eastAsia="sans-serif" w:hAnsi="sans-serif" w:cs="sans-serif"/>
                <w:b/>
                <w:bCs/>
                <w:color w:val="000000"/>
                <w:sz w:val="17"/>
                <w:szCs w:val="17"/>
              </w:rPr>
              <w:t>CAPITAL IN EXCESS OF STATED VALUE</w:t>
            </w:r>
          </w:p>
        </w:tc>
        <w:tc>
          <w:tcPr>
            <w:tcW w:w="0" w:type="auto"/>
            <w:gridSpan w:val="3"/>
            <w:vMerge w:val="restart"/>
            <w:tcBorders>
              <w:bottom w:val="single" w:sz="8" w:space="0" w:color="E87722"/>
            </w:tcBorders>
            <w:shd w:val="clear" w:color="auto" w:fill="auto"/>
            <w:tcMar>
              <w:top w:w="40" w:type="dxa"/>
              <w:left w:w="20" w:type="dxa"/>
              <w:bottom w:w="40" w:type="dxa"/>
              <w:right w:w="20" w:type="dxa"/>
            </w:tcMar>
            <w:vAlign w:val="bottom"/>
          </w:tcPr>
          <w:p w14:paraId="669C5E5D" w14:textId="77777777" w:rsidR="00066C63" w:rsidRDefault="009656F6">
            <w:pPr>
              <w:jc w:val="right"/>
              <w:textAlignment w:val="bottom"/>
            </w:pPr>
            <w:r>
              <w:rPr>
                <w:rFonts w:ascii="sans-serif" w:eastAsia="sans-serif" w:hAnsi="sans-serif" w:cs="sans-serif"/>
                <w:b/>
                <w:bCs/>
                <w:color w:val="000000"/>
                <w:sz w:val="17"/>
                <w:szCs w:val="17"/>
              </w:rPr>
              <w:t>ACCUMULATED OTHER COMPREHENSIVE INCOME (LOSS)</w:t>
            </w:r>
          </w:p>
        </w:tc>
        <w:tc>
          <w:tcPr>
            <w:tcW w:w="0" w:type="auto"/>
            <w:gridSpan w:val="3"/>
            <w:vMerge w:val="restart"/>
            <w:tcBorders>
              <w:bottom w:val="single" w:sz="8" w:space="0" w:color="E87722"/>
            </w:tcBorders>
            <w:shd w:val="clear" w:color="auto" w:fill="auto"/>
            <w:tcMar>
              <w:top w:w="40" w:type="dxa"/>
              <w:left w:w="20" w:type="dxa"/>
              <w:bottom w:w="40" w:type="dxa"/>
              <w:right w:w="20" w:type="dxa"/>
            </w:tcMar>
            <w:vAlign w:val="bottom"/>
          </w:tcPr>
          <w:p w14:paraId="669C5E5E" w14:textId="77777777" w:rsidR="00066C63" w:rsidRDefault="009656F6">
            <w:pPr>
              <w:jc w:val="right"/>
              <w:textAlignment w:val="bottom"/>
            </w:pPr>
            <w:r>
              <w:rPr>
                <w:rFonts w:ascii="sans-serif" w:eastAsia="sans-serif" w:hAnsi="sans-serif" w:cs="sans-serif"/>
                <w:b/>
                <w:bCs/>
                <w:color w:val="000000"/>
                <w:sz w:val="17"/>
                <w:szCs w:val="17"/>
              </w:rPr>
              <w:t>RETAINED EARNINGS (DEFICIT)</w:t>
            </w:r>
          </w:p>
        </w:tc>
        <w:tc>
          <w:tcPr>
            <w:tcW w:w="0" w:type="auto"/>
            <w:gridSpan w:val="3"/>
            <w:vMerge w:val="restart"/>
            <w:tcBorders>
              <w:bottom w:val="single" w:sz="8" w:space="0" w:color="E87722"/>
            </w:tcBorders>
            <w:shd w:val="clear" w:color="auto" w:fill="auto"/>
            <w:tcMar>
              <w:top w:w="40" w:type="dxa"/>
              <w:left w:w="20" w:type="dxa"/>
              <w:bottom w:w="40" w:type="dxa"/>
              <w:right w:w="20" w:type="dxa"/>
            </w:tcMar>
            <w:vAlign w:val="bottom"/>
          </w:tcPr>
          <w:p w14:paraId="669C5E5F" w14:textId="77777777" w:rsidR="00066C63" w:rsidRDefault="009656F6">
            <w:pPr>
              <w:jc w:val="right"/>
              <w:textAlignment w:val="bottom"/>
            </w:pPr>
            <w:r>
              <w:rPr>
                <w:rFonts w:ascii="sans-serif" w:eastAsia="sans-serif" w:hAnsi="sans-serif" w:cs="sans-serif"/>
                <w:b/>
                <w:bCs/>
                <w:color w:val="000000"/>
                <w:sz w:val="17"/>
                <w:szCs w:val="17"/>
              </w:rPr>
              <w:t>TOTAL</w:t>
            </w:r>
          </w:p>
        </w:tc>
      </w:tr>
      <w:tr w:rsidR="00066C63" w14:paraId="669C5E69" w14:textId="77777777">
        <w:trPr>
          <w:trHeight w:val="240"/>
          <w:jc w:val="center"/>
        </w:trPr>
        <w:tc>
          <w:tcPr>
            <w:tcW w:w="0" w:type="auto"/>
            <w:gridSpan w:val="3"/>
            <w:shd w:val="clear" w:color="auto" w:fill="auto"/>
            <w:tcMar>
              <w:top w:w="0" w:type="dxa"/>
              <w:left w:w="20" w:type="dxa"/>
              <w:bottom w:w="0" w:type="dxa"/>
              <w:right w:w="20" w:type="dxa"/>
            </w:tcMar>
          </w:tcPr>
          <w:p w14:paraId="669C5E61" w14:textId="77777777" w:rsidR="00066C63" w:rsidRDefault="00066C63">
            <w:pPr>
              <w:rPr>
                <w:rFonts w:ascii="宋体"/>
              </w:rPr>
            </w:pPr>
          </w:p>
        </w:tc>
        <w:tc>
          <w:tcPr>
            <w:tcW w:w="0" w:type="auto"/>
            <w:gridSpan w:val="6"/>
            <w:tcBorders>
              <w:top w:val="single" w:sz="8" w:space="0" w:color="E87722"/>
            </w:tcBorders>
            <w:shd w:val="clear" w:color="auto" w:fill="auto"/>
            <w:tcMar>
              <w:top w:w="40" w:type="dxa"/>
              <w:left w:w="20" w:type="dxa"/>
              <w:bottom w:w="40" w:type="dxa"/>
              <w:right w:w="20" w:type="dxa"/>
            </w:tcMar>
            <w:vAlign w:val="bottom"/>
          </w:tcPr>
          <w:p w14:paraId="669C5E62" w14:textId="77777777" w:rsidR="00066C63" w:rsidRDefault="009656F6">
            <w:pPr>
              <w:jc w:val="center"/>
              <w:textAlignment w:val="bottom"/>
            </w:pPr>
            <w:r>
              <w:rPr>
                <w:rFonts w:ascii="sans-serif" w:eastAsia="sans-serif" w:hAnsi="sans-serif" w:cs="sans-serif"/>
                <w:b/>
                <w:bCs/>
                <w:color w:val="000000"/>
                <w:sz w:val="17"/>
                <w:szCs w:val="17"/>
              </w:rPr>
              <w:t>CLASS A</w:t>
            </w:r>
          </w:p>
        </w:tc>
        <w:tc>
          <w:tcPr>
            <w:tcW w:w="0" w:type="auto"/>
            <w:gridSpan w:val="3"/>
            <w:tcBorders>
              <w:top w:val="single" w:sz="8" w:space="0" w:color="E87722"/>
            </w:tcBorders>
            <w:shd w:val="clear" w:color="auto" w:fill="auto"/>
            <w:tcMar>
              <w:top w:w="0" w:type="dxa"/>
              <w:left w:w="20" w:type="dxa"/>
              <w:bottom w:w="0" w:type="dxa"/>
              <w:right w:w="20" w:type="dxa"/>
            </w:tcMar>
          </w:tcPr>
          <w:p w14:paraId="669C5E63" w14:textId="77777777" w:rsidR="00066C63" w:rsidRDefault="00066C63">
            <w:pPr>
              <w:rPr>
                <w:rFonts w:ascii="宋体"/>
              </w:rPr>
            </w:pPr>
          </w:p>
        </w:tc>
        <w:tc>
          <w:tcPr>
            <w:tcW w:w="0" w:type="auto"/>
            <w:gridSpan w:val="6"/>
            <w:tcBorders>
              <w:top w:val="single" w:sz="8" w:space="0" w:color="E87722"/>
            </w:tcBorders>
            <w:shd w:val="clear" w:color="auto" w:fill="auto"/>
            <w:tcMar>
              <w:top w:w="40" w:type="dxa"/>
              <w:left w:w="20" w:type="dxa"/>
              <w:bottom w:w="40" w:type="dxa"/>
              <w:right w:w="20" w:type="dxa"/>
            </w:tcMar>
            <w:vAlign w:val="bottom"/>
          </w:tcPr>
          <w:p w14:paraId="669C5E64" w14:textId="77777777" w:rsidR="00066C63" w:rsidRDefault="009656F6">
            <w:pPr>
              <w:jc w:val="center"/>
              <w:textAlignment w:val="bottom"/>
            </w:pPr>
            <w:r>
              <w:rPr>
                <w:rFonts w:ascii="sans-serif" w:eastAsia="sans-serif" w:hAnsi="sans-serif" w:cs="sans-serif"/>
                <w:b/>
                <w:bCs/>
                <w:color w:val="000000"/>
                <w:sz w:val="17"/>
                <w:szCs w:val="17"/>
              </w:rPr>
              <w:t>CLASS B</w:t>
            </w:r>
          </w:p>
        </w:tc>
        <w:tc>
          <w:tcPr>
            <w:tcW w:w="0" w:type="auto"/>
            <w:gridSpan w:val="3"/>
            <w:vMerge/>
            <w:tcBorders>
              <w:bottom w:val="single" w:sz="8" w:space="0" w:color="E87722"/>
            </w:tcBorders>
            <w:shd w:val="clear" w:color="auto" w:fill="auto"/>
            <w:tcMar>
              <w:top w:w="40" w:type="dxa"/>
              <w:left w:w="20" w:type="dxa"/>
              <w:bottom w:w="40" w:type="dxa"/>
              <w:right w:w="20" w:type="dxa"/>
            </w:tcMar>
            <w:vAlign w:val="bottom"/>
          </w:tcPr>
          <w:p w14:paraId="669C5E65" w14:textId="77777777" w:rsidR="00066C63" w:rsidRDefault="00066C63">
            <w:pPr>
              <w:jc w:val="right"/>
              <w:rPr>
                <w:rFonts w:ascii="宋体"/>
              </w:rPr>
            </w:pPr>
          </w:p>
        </w:tc>
        <w:tc>
          <w:tcPr>
            <w:tcW w:w="0" w:type="auto"/>
            <w:gridSpan w:val="3"/>
            <w:vMerge/>
            <w:tcBorders>
              <w:bottom w:val="single" w:sz="8" w:space="0" w:color="E87722"/>
            </w:tcBorders>
            <w:shd w:val="clear" w:color="auto" w:fill="auto"/>
            <w:tcMar>
              <w:top w:w="40" w:type="dxa"/>
              <w:left w:w="20" w:type="dxa"/>
              <w:bottom w:w="40" w:type="dxa"/>
              <w:right w:w="20" w:type="dxa"/>
            </w:tcMar>
            <w:vAlign w:val="bottom"/>
          </w:tcPr>
          <w:p w14:paraId="669C5E66" w14:textId="77777777" w:rsidR="00066C63" w:rsidRDefault="00066C63">
            <w:pPr>
              <w:jc w:val="right"/>
              <w:rPr>
                <w:rFonts w:ascii="宋体"/>
              </w:rPr>
            </w:pPr>
          </w:p>
        </w:tc>
        <w:tc>
          <w:tcPr>
            <w:tcW w:w="0" w:type="auto"/>
            <w:gridSpan w:val="3"/>
            <w:vMerge/>
            <w:tcBorders>
              <w:bottom w:val="single" w:sz="8" w:space="0" w:color="E87722"/>
            </w:tcBorders>
            <w:shd w:val="clear" w:color="auto" w:fill="auto"/>
            <w:tcMar>
              <w:top w:w="40" w:type="dxa"/>
              <w:left w:w="20" w:type="dxa"/>
              <w:bottom w:w="40" w:type="dxa"/>
              <w:right w:w="20" w:type="dxa"/>
            </w:tcMar>
            <w:vAlign w:val="bottom"/>
          </w:tcPr>
          <w:p w14:paraId="669C5E67" w14:textId="77777777" w:rsidR="00066C63" w:rsidRDefault="00066C63">
            <w:pPr>
              <w:jc w:val="right"/>
              <w:rPr>
                <w:rFonts w:ascii="宋体"/>
              </w:rPr>
            </w:pPr>
          </w:p>
        </w:tc>
        <w:tc>
          <w:tcPr>
            <w:tcW w:w="0" w:type="auto"/>
            <w:gridSpan w:val="3"/>
            <w:vMerge/>
            <w:tcBorders>
              <w:bottom w:val="single" w:sz="8" w:space="0" w:color="E87722"/>
            </w:tcBorders>
            <w:shd w:val="clear" w:color="auto" w:fill="auto"/>
            <w:tcMar>
              <w:top w:w="40" w:type="dxa"/>
              <w:left w:w="20" w:type="dxa"/>
              <w:bottom w:w="40" w:type="dxa"/>
              <w:right w:w="20" w:type="dxa"/>
            </w:tcMar>
            <w:vAlign w:val="bottom"/>
          </w:tcPr>
          <w:p w14:paraId="669C5E68" w14:textId="77777777" w:rsidR="00066C63" w:rsidRDefault="00066C63">
            <w:pPr>
              <w:jc w:val="right"/>
              <w:rPr>
                <w:rFonts w:ascii="宋体"/>
              </w:rPr>
            </w:pPr>
          </w:p>
        </w:tc>
      </w:tr>
      <w:tr w:rsidR="00066C63" w14:paraId="669C5E74" w14:textId="77777777">
        <w:trPr>
          <w:trHeight w:val="240"/>
          <w:jc w:val="center"/>
        </w:trPr>
        <w:tc>
          <w:tcPr>
            <w:tcW w:w="0" w:type="auto"/>
            <w:gridSpan w:val="3"/>
            <w:tcBorders>
              <w:bottom w:val="single" w:sz="8" w:space="0" w:color="E87722"/>
            </w:tcBorders>
            <w:shd w:val="clear" w:color="auto" w:fill="auto"/>
            <w:tcMar>
              <w:top w:w="40" w:type="dxa"/>
              <w:left w:w="20" w:type="dxa"/>
              <w:bottom w:w="40" w:type="dxa"/>
              <w:right w:w="20" w:type="dxa"/>
            </w:tcMar>
            <w:vAlign w:val="bottom"/>
          </w:tcPr>
          <w:p w14:paraId="669C5E6A" w14:textId="77777777" w:rsidR="00066C63" w:rsidRDefault="009656F6">
            <w:pPr>
              <w:textAlignment w:val="bottom"/>
            </w:pPr>
            <w:r>
              <w:rPr>
                <w:rFonts w:ascii="Arial Narrow" w:eastAsia="Arial Narrow" w:hAnsi="Arial Narrow" w:cs="Arial Narrow"/>
                <w:i/>
                <w:iCs/>
                <w:color w:val="000000"/>
                <w:sz w:val="17"/>
                <w:szCs w:val="17"/>
              </w:rPr>
              <w:t>(In millions, except per share data)</w:t>
            </w:r>
          </w:p>
        </w:tc>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669C5E6B" w14:textId="77777777" w:rsidR="00066C63" w:rsidRDefault="009656F6">
            <w:pPr>
              <w:jc w:val="right"/>
              <w:textAlignment w:val="bottom"/>
            </w:pPr>
            <w:r>
              <w:rPr>
                <w:rFonts w:ascii="sans-serif" w:eastAsia="sans-serif" w:hAnsi="sans-serif" w:cs="sans-serif"/>
                <w:b/>
                <w:bCs/>
                <w:color w:val="000000"/>
                <w:sz w:val="17"/>
                <w:szCs w:val="17"/>
              </w:rPr>
              <w:t>SHARES</w:t>
            </w:r>
          </w:p>
        </w:tc>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669C5E6C" w14:textId="77777777" w:rsidR="00066C63" w:rsidRDefault="009656F6">
            <w:pPr>
              <w:jc w:val="right"/>
              <w:textAlignment w:val="bottom"/>
            </w:pPr>
            <w:r>
              <w:rPr>
                <w:rFonts w:ascii="sans-serif" w:eastAsia="sans-serif" w:hAnsi="sans-serif" w:cs="sans-serif"/>
                <w:b/>
                <w:bCs/>
                <w:color w:val="000000"/>
                <w:sz w:val="17"/>
                <w:szCs w:val="17"/>
              </w:rPr>
              <w:t>AMOUNT</w:t>
            </w:r>
          </w:p>
        </w:tc>
        <w:tc>
          <w:tcPr>
            <w:tcW w:w="0" w:type="auto"/>
            <w:gridSpan w:val="3"/>
            <w:tcBorders>
              <w:bottom w:val="single" w:sz="8" w:space="0" w:color="E87722"/>
            </w:tcBorders>
            <w:shd w:val="clear" w:color="auto" w:fill="auto"/>
            <w:tcMar>
              <w:top w:w="0" w:type="dxa"/>
              <w:left w:w="20" w:type="dxa"/>
              <w:bottom w:w="0" w:type="dxa"/>
              <w:right w:w="20" w:type="dxa"/>
            </w:tcMar>
          </w:tcPr>
          <w:p w14:paraId="669C5E6D" w14:textId="77777777" w:rsidR="00066C63" w:rsidRDefault="00066C63">
            <w:pPr>
              <w:rPr>
                <w:rFonts w:ascii="宋体"/>
              </w:rPr>
            </w:pPr>
          </w:p>
        </w:tc>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669C5E6E" w14:textId="77777777" w:rsidR="00066C63" w:rsidRDefault="009656F6">
            <w:pPr>
              <w:jc w:val="right"/>
              <w:textAlignment w:val="bottom"/>
            </w:pPr>
            <w:r>
              <w:rPr>
                <w:rFonts w:ascii="sans-serif" w:eastAsia="sans-serif" w:hAnsi="sans-serif" w:cs="sans-serif"/>
                <w:b/>
                <w:bCs/>
                <w:color w:val="000000"/>
                <w:sz w:val="17"/>
                <w:szCs w:val="17"/>
              </w:rPr>
              <w:t>SHARES</w:t>
            </w:r>
          </w:p>
        </w:tc>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669C5E6F" w14:textId="77777777" w:rsidR="00066C63" w:rsidRDefault="009656F6">
            <w:pPr>
              <w:jc w:val="right"/>
              <w:textAlignment w:val="bottom"/>
            </w:pPr>
            <w:r>
              <w:rPr>
                <w:rFonts w:ascii="sans-serif" w:eastAsia="sans-serif" w:hAnsi="sans-serif" w:cs="sans-serif"/>
                <w:b/>
                <w:bCs/>
                <w:color w:val="000000"/>
                <w:sz w:val="17"/>
                <w:szCs w:val="17"/>
              </w:rPr>
              <w:t>AMOUNT</w:t>
            </w:r>
          </w:p>
        </w:tc>
        <w:tc>
          <w:tcPr>
            <w:tcW w:w="0" w:type="auto"/>
            <w:gridSpan w:val="3"/>
            <w:vMerge/>
            <w:tcBorders>
              <w:bottom w:val="single" w:sz="8" w:space="0" w:color="E87722"/>
            </w:tcBorders>
            <w:shd w:val="clear" w:color="auto" w:fill="auto"/>
            <w:tcMar>
              <w:top w:w="40" w:type="dxa"/>
              <w:left w:w="20" w:type="dxa"/>
              <w:bottom w:w="40" w:type="dxa"/>
              <w:right w:w="20" w:type="dxa"/>
            </w:tcMar>
            <w:vAlign w:val="bottom"/>
          </w:tcPr>
          <w:p w14:paraId="669C5E70" w14:textId="77777777" w:rsidR="00066C63" w:rsidRDefault="00066C63">
            <w:pPr>
              <w:jc w:val="right"/>
              <w:rPr>
                <w:rFonts w:ascii="宋体"/>
              </w:rPr>
            </w:pPr>
          </w:p>
        </w:tc>
        <w:tc>
          <w:tcPr>
            <w:tcW w:w="0" w:type="auto"/>
            <w:gridSpan w:val="3"/>
            <w:vMerge/>
            <w:tcBorders>
              <w:bottom w:val="single" w:sz="8" w:space="0" w:color="E87722"/>
            </w:tcBorders>
            <w:shd w:val="clear" w:color="auto" w:fill="auto"/>
            <w:tcMar>
              <w:top w:w="40" w:type="dxa"/>
              <w:left w:w="20" w:type="dxa"/>
              <w:bottom w:w="40" w:type="dxa"/>
              <w:right w:w="20" w:type="dxa"/>
            </w:tcMar>
            <w:vAlign w:val="bottom"/>
          </w:tcPr>
          <w:p w14:paraId="669C5E71" w14:textId="77777777" w:rsidR="00066C63" w:rsidRDefault="00066C63">
            <w:pPr>
              <w:jc w:val="right"/>
              <w:rPr>
                <w:rFonts w:ascii="宋体"/>
              </w:rPr>
            </w:pPr>
          </w:p>
        </w:tc>
        <w:tc>
          <w:tcPr>
            <w:tcW w:w="0" w:type="auto"/>
            <w:gridSpan w:val="3"/>
            <w:vMerge/>
            <w:tcBorders>
              <w:bottom w:val="single" w:sz="8" w:space="0" w:color="E87722"/>
            </w:tcBorders>
            <w:shd w:val="clear" w:color="auto" w:fill="auto"/>
            <w:tcMar>
              <w:top w:w="40" w:type="dxa"/>
              <w:left w:w="20" w:type="dxa"/>
              <w:bottom w:w="40" w:type="dxa"/>
              <w:right w:w="20" w:type="dxa"/>
            </w:tcMar>
            <w:vAlign w:val="bottom"/>
          </w:tcPr>
          <w:p w14:paraId="669C5E72" w14:textId="77777777" w:rsidR="00066C63" w:rsidRDefault="00066C63">
            <w:pPr>
              <w:jc w:val="right"/>
              <w:rPr>
                <w:rFonts w:ascii="宋体"/>
              </w:rPr>
            </w:pPr>
          </w:p>
        </w:tc>
        <w:tc>
          <w:tcPr>
            <w:tcW w:w="0" w:type="auto"/>
            <w:gridSpan w:val="3"/>
            <w:vMerge/>
            <w:tcBorders>
              <w:bottom w:val="single" w:sz="8" w:space="0" w:color="E87722"/>
            </w:tcBorders>
            <w:shd w:val="clear" w:color="auto" w:fill="auto"/>
            <w:tcMar>
              <w:top w:w="40" w:type="dxa"/>
              <w:left w:w="20" w:type="dxa"/>
              <w:bottom w:w="40" w:type="dxa"/>
              <w:right w:w="20" w:type="dxa"/>
            </w:tcMar>
            <w:vAlign w:val="bottom"/>
          </w:tcPr>
          <w:p w14:paraId="669C5E73" w14:textId="77777777" w:rsidR="00066C63" w:rsidRDefault="00066C63">
            <w:pPr>
              <w:jc w:val="right"/>
              <w:rPr>
                <w:rFonts w:ascii="宋体"/>
              </w:rPr>
            </w:pPr>
          </w:p>
        </w:tc>
      </w:tr>
      <w:tr w:rsidR="00066C63" w14:paraId="669C5E8D"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5E75" w14:textId="77777777" w:rsidR="00066C63" w:rsidRDefault="009656F6">
            <w:pPr>
              <w:textAlignment w:val="bottom"/>
            </w:pPr>
            <w:r>
              <w:rPr>
                <w:rFonts w:ascii="Arial" w:eastAsia="宋体" w:hAnsi="Arial" w:cs="Arial"/>
                <w:b/>
                <w:bCs/>
                <w:color w:val="000000"/>
                <w:sz w:val="17"/>
                <w:szCs w:val="17"/>
              </w:rPr>
              <w:t>Balance at November 30, 2019</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5E76" w14:textId="77777777" w:rsidR="00066C63" w:rsidRDefault="009656F6">
            <w:pPr>
              <w:jc w:val="right"/>
              <w:textAlignment w:val="bottom"/>
            </w:pPr>
            <w:r>
              <w:rPr>
                <w:rFonts w:ascii="Arial" w:eastAsia="宋体" w:hAnsi="Arial" w:cs="Arial"/>
                <w:b/>
                <w:bCs/>
                <w:color w:val="000000"/>
                <w:sz w:val="17"/>
                <w:szCs w:val="17"/>
              </w:rPr>
              <w:t>315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5E77" w14:textId="77777777" w:rsidR="00066C63" w:rsidRDefault="00066C63">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69C5E78"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69C5E79" w14:textId="77777777" w:rsidR="00066C63" w:rsidRDefault="009656F6">
            <w:pPr>
              <w:jc w:val="right"/>
              <w:textAlignment w:val="bottom"/>
            </w:pPr>
            <w:r>
              <w:rPr>
                <w:rFonts w:ascii="Arial" w:eastAsia="宋体" w:hAnsi="Arial" w:cs="Arial"/>
                <w:b/>
                <w:bCs/>
                <w:color w:val="000000"/>
                <w:sz w:val="17"/>
                <w:szCs w:val="17"/>
              </w:rPr>
              <w:t>—</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5E7A" w14:textId="77777777" w:rsidR="00066C63" w:rsidRDefault="00066C63">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5E7B" w14:textId="77777777" w:rsidR="00066C63" w:rsidRDefault="00066C63">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5E7C" w14:textId="77777777" w:rsidR="00066C63" w:rsidRDefault="009656F6">
            <w:pPr>
              <w:jc w:val="right"/>
              <w:textAlignment w:val="bottom"/>
            </w:pPr>
            <w:r>
              <w:rPr>
                <w:rFonts w:ascii="Arial" w:eastAsia="宋体" w:hAnsi="Arial" w:cs="Arial"/>
                <w:b/>
                <w:bCs/>
                <w:color w:val="000000"/>
                <w:sz w:val="17"/>
                <w:szCs w:val="17"/>
              </w:rPr>
              <w:t>1,244</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5E7D" w14:textId="77777777" w:rsidR="00066C63" w:rsidRDefault="00066C63">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69C5E7E"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69C5E7F" w14:textId="77777777" w:rsidR="00066C63" w:rsidRDefault="009656F6">
            <w:pPr>
              <w:jc w:val="right"/>
              <w:textAlignment w:val="bottom"/>
            </w:pPr>
            <w:r>
              <w:rPr>
                <w:rFonts w:ascii="Arial" w:eastAsia="宋体" w:hAnsi="Arial" w:cs="Arial"/>
                <w:b/>
                <w:bCs/>
                <w:color w:val="000000"/>
                <w:sz w:val="17"/>
                <w:szCs w:val="17"/>
              </w:rPr>
              <w:t>3</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5E80" w14:textId="77777777" w:rsidR="00066C63" w:rsidRDefault="00066C63">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69C5E81"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69C5E82" w14:textId="77777777" w:rsidR="00066C63" w:rsidRDefault="009656F6">
            <w:pPr>
              <w:jc w:val="right"/>
              <w:textAlignment w:val="bottom"/>
            </w:pPr>
            <w:r>
              <w:rPr>
                <w:rFonts w:ascii="Arial" w:eastAsia="宋体" w:hAnsi="Arial" w:cs="Arial"/>
                <w:b/>
                <w:bCs/>
                <w:color w:val="000000"/>
                <w:sz w:val="17"/>
                <w:szCs w:val="17"/>
              </w:rPr>
              <w:t>7,719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5E83" w14:textId="77777777" w:rsidR="00066C63" w:rsidRDefault="00066C63">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69C5E84"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69C5E85" w14:textId="77777777" w:rsidR="00066C63" w:rsidRDefault="009656F6">
            <w:pPr>
              <w:jc w:val="right"/>
              <w:textAlignment w:val="bottom"/>
            </w:pPr>
            <w:r>
              <w:rPr>
                <w:rFonts w:ascii="Arial" w:eastAsia="宋体" w:hAnsi="Arial" w:cs="Arial"/>
                <w:b/>
                <w:bCs/>
                <w:color w:val="000000"/>
                <w:sz w:val="17"/>
                <w:szCs w:val="17"/>
              </w:rPr>
              <w:t>52</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5E86" w14:textId="77777777" w:rsidR="00066C63" w:rsidRDefault="00066C63">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69C5E87"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69C5E88" w14:textId="77777777" w:rsidR="00066C63" w:rsidRDefault="009656F6">
            <w:pPr>
              <w:jc w:val="right"/>
              <w:textAlignment w:val="bottom"/>
            </w:pPr>
            <w:r>
              <w:rPr>
                <w:rFonts w:ascii="Arial" w:eastAsia="宋体" w:hAnsi="Arial" w:cs="Arial"/>
                <w:b/>
                <w:bCs/>
                <w:color w:val="000000"/>
                <w:sz w:val="17"/>
                <w:szCs w:val="17"/>
              </w:rPr>
              <w:t>1,577</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5E89" w14:textId="77777777" w:rsidR="00066C63" w:rsidRDefault="00066C63">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69C5E8A"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69C5E8B" w14:textId="77777777" w:rsidR="00066C63" w:rsidRDefault="009656F6">
            <w:pPr>
              <w:jc w:val="right"/>
              <w:textAlignment w:val="bottom"/>
            </w:pPr>
            <w:r>
              <w:rPr>
                <w:rFonts w:ascii="Arial" w:eastAsia="宋体" w:hAnsi="Arial" w:cs="Arial"/>
                <w:b/>
                <w:bCs/>
                <w:color w:val="000000"/>
                <w:sz w:val="17"/>
                <w:szCs w:val="17"/>
              </w:rPr>
              <w:t>9,351</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5E8C" w14:textId="77777777" w:rsidR="00066C63" w:rsidRDefault="00066C63">
            <w:pPr>
              <w:jc w:val="right"/>
              <w:rPr>
                <w:rFonts w:ascii="宋体"/>
              </w:rPr>
            </w:pPr>
          </w:p>
        </w:tc>
      </w:tr>
      <w:tr w:rsidR="00066C63" w14:paraId="669C5E9B"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5E8E" w14:textId="77777777" w:rsidR="00066C63" w:rsidRDefault="009656F6">
            <w:pPr>
              <w:textAlignment w:val="bottom"/>
            </w:pPr>
            <w:r>
              <w:rPr>
                <w:rFonts w:ascii="Arial" w:eastAsia="宋体" w:hAnsi="Arial" w:cs="Arial"/>
                <w:color w:val="000000"/>
                <w:sz w:val="17"/>
                <w:szCs w:val="17"/>
              </w:rPr>
              <w:t>Stock options exercised</w:t>
            </w:r>
          </w:p>
        </w:tc>
        <w:tc>
          <w:tcPr>
            <w:tcW w:w="0" w:type="auto"/>
            <w:gridSpan w:val="3"/>
            <w:tcBorders>
              <w:top w:val="single" w:sz="8" w:space="0" w:color="E87722"/>
            </w:tcBorders>
            <w:shd w:val="clear" w:color="auto" w:fill="auto"/>
            <w:tcMar>
              <w:top w:w="0" w:type="dxa"/>
              <w:left w:w="20" w:type="dxa"/>
              <w:bottom w:w="0" w:type="dxa"/>
              <w:right w:w="20" w:type="dxa"/>
            </w:tcMar>
          </w:tcPr>
          <w:p w14:paraId="669C5E8F"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5E90"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5E91" w14:textId="77777777" w:rsidR="00066C63" w:rsidRDefault="00066C63">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5E92" w14:textId="77777777" w:rsidR="00066C63" w:rsidRDefault="009656F6">
            <w:pPr>
              <w:jc w:val="right"/>
              <w:textAlignment w:val="bottom"/>
            </w:pPr>
            <w:r>
              <w:rPr>
                <w:rFonts w:ascii="Arial" w:eastAsia="宋体" w:hAnsi="Arial" w:cs="Arial"/>
                <w:color w:val="000000"/>
                <w:sz w:val="17"/>
                <w:szCs w:val="17"/>
              </w:rPr>
              <w:t>6 </w:t>
            </w:r>
          </w:p>
        </w:tc>
        <w:tc>
          <w:tcPr>
            <w:tcW w:w="0" w:type="auto"/>
            <w:tcBorders>
              <w:top w:val="single" w:sz="8" w:space="0" w:color="E87722"/>
            </w:tcBorders>
            <w:shd w:val="clear" w:color="auto" w:fill="auto"/>
            <w:tcMar>
              <w:top w:w="40" w:type="dxa"/>
              <w:left w:w="0" w:type="dxa"/>
              <w:bottom w:w="40" w:type="dxa"/>
              <w:right w:w="20" w:type="dxa"/>
            </w:tcMar>
            <w:vAlign w:val="bottom"/>
          </w:tcPr>
          <w:p w14:paraId="669C5E93" w14:textId="77777777" w:rsidR="00066C63" w:rsidRDefault="00066C63">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5E94" w14:textId="77777777" w:rsidR="00066C63" w:rsidRDefault="00066C63">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5E95" w14:textId="77777777" w:rsidR="00066C63" w:rsidRDefault="009656F6">
            <w:pPr>
              <w:jc w:val="right"/>
              <w:textAlignment w:val="bottom"/>
            </w:pPr>
            <w:r>
              <w:rPr>
                <w:rFonts w:ascii="Arial" w:eastAsia="宋体" w:hAnsi="Arial" w:cs="Arial"/>
                <w:color w:val="000000"/>
                <w:sz w:val="17"/>
                <w:szCs w:val="17"/>
              </w:rPr>
              <w:t>199 </w:t>
            </w:r>
          </w:p>
        </w:tc>
        <w:tc>
          <w:tcPr>
            <w:tcW w:w="0" w:type="auto"/>
            <w:tcBorders>
              <w:top w:val="single" w:sz="8" w:space="0" w:color="E87722"/>
            </w:tcBorders>
            <w:shd w:val="clear" w:color="auto" w:fill="auto"/>
            <w:tcMar>
              <w:top w:w="40" w:type="dxa"/>
              <w:left w:w="0" w:type="dxa"/>
              <w:bottom w:w="40" w:type="dxa"/>
              <w:right w:w="20" w:type="dxa"/>
            </w:tcMar>
            <w:vAlign w:val="bottom"/>
          </w:tcPr>
          <w:p w14:paraId="669C5E96" w14:textId="77777777" w:rsidR="00066C63" w:rsidRDefault="00066C63">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5E97"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5E98" w14:textId="77777777" w:rsidR="00066C63" w:rsidRDefault="00066C63">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5E99" w14:textId="77777777" w:rsidR="00066C63" w:rsidRDefault="009656F6">
            <w:pPr>
              <w:jc w:val="right"/>
              <w:textAlignment w:val="bottom"/>
            </w:pPr>
            <w:r>
              <w:rPr>
                <w:rFonts w:ascii="Arial" w:eastAsia="宋体" w:hAnsi="Arial" w:cs="Arial"/>
                <w:color w:val="000000"/>
                <w:sz w:val="17"/>
                <w:szCs w:val="17"/>
              </w:rPr>
              <w:t>199 </w:t>
            </w:r>
          </w:p>
        </w:tc>
        <w:tc>
          <w:tcPr>
            <w:tcW w:w="0" w:type="auto"/>
            <w:tcBorders>
              <w:top w:val="single" w:sz="8" w:space="0" w:color="E87722"/>
            </w:tcBorders>
            <w:shd w:val="clear" w:color="auto" w:fill="auto"/>
            <w:tcMar>
              <w:top w:w="40" w:type="dxa"/>
              <w:left w:w="0" w:type="dxa"/>
              <w:bottom w:w="40" w:type="dxa"/>
              <w:right w:w="20" w:type="dxa"/>
            </w:tcMar>
            <w:vAlign w:val="bottom"/>
          </w:tcPr>
          <w:p w14:paraId="669C5E9A" w14:textId="77777777" w:rsidR="00066C63" w:rsidRDefault="00066C63">
            <w:pPr>
              <w:jc w:val="right"/>
              <w:rPr>
                <w:rFonts w:ascii="宋体"/>
              </w:rPr>
            </w:pPr>
          </w:p>
        </w:tc>
      </w:tr>
      <w:tr w:rsidR="00066C63" w14:paraId="669C5EAA" w14:textId="77777777">
        <w:trPr>
          <w:jc w:val="center"/>
        </w:trPr>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5E9C" w14:textId="77777777" w:rsidR="00066C63" w:rsidRDefault="009656F6">
            <w:pPr>
              <w:textAlignment w:val="bottom"/>
            </w:pPr>
            <w:r>
              <w:rPr>
                <w:rFonts w:ascii="Arial" w:eastAsia="宋体" w:hAnsi="Arial" w:cs="Arial"/>
                <w:color w:val="000000"/>
                <w:sz w:val="17"/>
                <w:szCs w:val="17"/>
              </w:rPr>
              <w:t>Repurchase of Class B Common Stock</w:t>
            </w:r>
          </w:p>
        </w:tc>
        <w:tc>
          <w:tcPr>
            <w:tcW w:w="0" w:type="auto"/>
            <w:gridSpan w:val="3"/>
            <w:tcBorders>
              <w:top w:val="single" w:sz="8" w:space="0" w:color="808080"/>
            </w:tcBorders>
            <w:shd w:val="clear" w:color="auto" w:fill="auto"/>
            <w:tcMar>
              <w:top w:w="0" w:type="dxa"/>
              <w:left w:w="20" w:type="dxa"/>
              <w:bottom w:w="0" w:type="dxa"/>
              <w:right w:w="20" w:type="dxa"/>
            </w:tcMar>
          </w:tcPr>
          <w:p w14:paraId="669C5E9D" w14:textId="77777777" w:rsidR="00066C63" w:rsidRDefault="00066C63">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5E9E" w14:textId="77777777" w:rsidR="00066C63" w:rsidRDefault="00066C63">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5E9F" w14:textId="77777777" w:rsidR="00066C63" w:rsidRDefault="00066C63">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5EA0" w14:textId="77777777" w:rsidR="00066C63" w:rsidRDefault="009656F6">
            <w:pPr>
              <w:jc w:val="right"/>
              <w:textAlignment w:val="bottom"/>
            </w:pPr>
            <w:r>
              <w:rPr>
                <w:rFonts w:ascii="Arial" w:eastAsia="宋体" w:hAnsi="Arial" w:cs="Arial"/>
                <w:color w:val="000000"/>
                <w:sz w:val="17"/>
                <w:szCs w:val="17"/>
              </w:rPr>
              <w:t>(10)</w:t>
            </w:r>
          </w:p>
        </w:tc>
        <w:tc>
          <w:tcPr>
            <w:tcW w:w="0" w:type="auto"/>
            <w:tcBorders>
              <w:top w:val="single" w:sz="8" w:space="0" w:color="808080"/>
            </w:tcBorders>
            <w:shd w:val="clear" w:color="auto" w:fill="auto"/>
            <w:tcMar>
              <w:top w:w="40" w:type="dxa"/>
              <w:left w:w="0" w:type="dxa"/>
              <w:bottom w:w="40" w:type="dxa"/>
              <w:right w:w="20" w:type="dxa"/>
            </w:tcMar>
            <w:vAlign w:val="bottom"/>
          </w:tcPr>
          <w:p w14:paraId="669C5EA1" w14:textId="77777777" w:rsidR="00066C63" w:rsidRDefault="00066C63">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5EA2" w14:textId="77777777" w:rsidR="00066C63" w:rsidRDefault="00066C63">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5EA3" w14:textId="77777777" w:rsidR="00066C63" w:rsidRDefault="009656F6">
            <w:pPr>
              <w:jc w:val="right"/>
              <w:textAlignment w:val="bottom"/>
            </w:pPr>
            <w:r>
              <w:rPr>
                <w:rFonts w:ascii="Arial" w:eastAsia="宋体" w:hAnsi="Arial" w:cs="Arial"/>
                <w:color w:val="000000"/>
                <w:sz w:val="17"/>
                <w:szCs w:val="17"/>
              </w:rPr>
              <w:t>(48)</w:t>
            </w:r>
          </w:p>
        </w:tc>
        <w:tc>
          <w:tcPr>
            <w:tcW w:w="0" w:type="auto"/>
            <w:tcBorders>
              <w:top w:val="single" w:sz="8" w:space="0" w:color="808080"/>
            </w:tcBorders>
            <w:shd w:val="clear" w:color="auto" w:fill="auto"/>
            <w:tcMar>
              <w:top w:w="40" w:type="dxa"/>
              <w:left w:w="0" w:type="dxa"/>
              <w:bottom w:w="40" w:type="dxa"/>
              <w:right w:w="20" w:type="dxa"/>
            </w:tcMar>
            <w:vAlign w:val="bottom"/>
          </w:tcPr>
          <w:p w14:paraId="669C5EA4" w14:textId="77777777" w:rsidR="00066C63" w:rsidRDefault="00066C63">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5EA5" w14:textId="77777777" w:rsidR="00066C63" w:rsidRDefault="00066C63">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5EA6" w14:textId="77777777" w:rsidR="00066C63" w:rsidRDefault="009656F6">
            <w:pPr>
              <w:jc w:val="right"/>
              <w:textAlignment w:val="bottom"/>
            </w:pPr>
            <w:r>
              <w:rPr>
                <w:rFonts w:ascii="Arial" w:eastAsia="宋体" w:hAnsi="Arial" w:cs="Arial"/>
                <w:color w:val="000000"/>
                <w:sz w:val="17"/>
                <w:szCs w:val="17"/>
              </w:rPr>
              <w:t>(909)</w:t>
            </w:r>
          </w:p>
        </w:tc>
        <w:tc>
          <w:tcPr>
            <w:tcW w:w="0" w:type="auto"/>
            <w:tcBorders>
              <w:top w:val="single" w:sz="8" w:space="0" w:color="808080"/>
            </w:tcBorders>
            <w:shd w:val="clear" w:color="auto" w:fill="auto"/>
            <w:tcMar>
              <w:top w:w="40" w:type="dxa"/>
              <w:left w:w="0" w:type="dxa"/>
              <w:bottom w:w="40" w:type="dxa"/>
              <w:right w:w="20" w:type="dxa"/>
            </w:tcMar>
            <w:vAlign w:val="bottom"/>
          </w:tcPr>
          <w:p w14:paraId="669C5EA7"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5EA8" w14:textId="77777777" w:rsidR="00066C63" w:rsidRDefault="009656F6">
            <w:pPr>
              <w:jc w:val="right"/>
              <w:textAlignment w:val="bottom"/>
            </w:pPr>
            <w:r>
              <w:rPr>
                <w:rFonts w:ascii="Arial" w:eastAsia="宋体" w:hAnsi="Arial" w:cs="Arial"/>
                <w:color w:val="000000"/>
                <w:sz w:val="17"/>
                <w:szCs w:val="17"/>
              </w:rPr>
              <w:t>(957)</w:t>
            </w:r>
          </w:p>
        </w:tc>
        <w:tc>
          <w:tcPr>
            <w:tcW w:w="0" w:type="auto"/>
            <w:tcBorders>
              <w:top w:val="single" w:sz="8" w:space="0" w:color="808080"/>
            </w:tcBorders>
            <w:shd w:val="clear" w:color="auto" w:fill="auto"/>
            <w:tcMar>
              <w:top w:w="40" w:type="dxa"/>
              <w:left w:w="0" w:type="dxa"/>
              <w:bottom w:w="40" w:type="dxa"/>
              <w:right w:w="20" w:type="dxa"/>
            </w:tcMar>
            <w:vAlign w:val="bottom"/>
          </w:tcPr>
          <w:p w14:paraId="669C5EA9" w14:textId="77777777" w:rsidR="00066C63" w:rsidRDefault="00066C63">
            <w:pPr>
              <w:jc w:val="right"/>
              <w:rPr>
                <w:rFonts w:ascii="宋体"/>
              </w:rPr>
            </w:pPr>
          </w:p>
        </w:tc>
      </w:tr>
      <w:tr w:rsidR="00066C63" w14:paraId="669C5EB7" w14:textId="77777777">
        <w:trPr>
          <w:jc w:val="center"/>
        </w:trPr>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5EAB" w14:textId="77777777" w:rsidR="00066C63" w:rsidRDefault="009656F6">
            <w:pPr>
              <w:textAlignment w:val="bottom"/>
            </w:pPr>
            <w:r>
              <w:rPr>
                <w:rFonts w:ascii="Arial" w:eastAsia="宋体" w:hAnsi="Arial" w:cs="Arial"/>
                <w:color w:val="000000"/>
                <w:sz w:val="17"/>
                <w:szCs w:val="17"/>
              </w:rPr>
              <w:t>Dividends on common stock ($0.245 per share)</w:t>
            </w:r>
          </w:p>
        </w:tc>
        <w:tc>
          <w:tcPr>
            <w:tcW w:w="0" w:type="auto"/>
            <w:gridSpan w:val="3"/>
            <w:tcBorders>
              <w:top w:val="single" w:sz="8" w:space="0" w:color="808080"/>
            </w:tcBorders>
            <w:shd w:val="clear" w:color="auto" w:fill="auto"/>
            <w:tcMar>
              <w:top w:w="0" w:type="dxa"/>
              <w:left w:w="20" w:type="dxa"/>
              <w:bottom w:w="0" w:type="dxa"/>
              <w:right w:w="20" w:type="dxa"/>
            </w:tcMar>
          </w:tcPr>
          <w:p w14:paraId="669C5EAC" w14:textId="77777777" w:rsidR="00066C63" w:rsidRDefault="00066C63">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5EAD" w14:textId="77777777" w:rsidR="00066C63" w:rsidRDefault="00066C63">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5EAE" w14:textId="77777777" w:rsidR="00066C63" w:rsidRDefault="00066C63">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5EAF" w14:textId="77777777" w:rsidR="00066C63" w:rsidRDefault="00066C63">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5EB0" w14:textId="77777777" w:rsidR="00066C63" w:rsidRDefault="00066C63">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5EB1" w14:textId="77777777" w:rsidR="00066C63" w:rsidRDefault="00066C63">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5EB2" w14:textId="77777777" w:rsidR="00066C63" w:rsidRDefault="00066C63">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5EB3" w14:textId="77777777" w:rsidR="00066C63" w:rsidRDefault="009656F6">
            <w:pPr>
              <w:jc w:val="right"/>
              <w:textAlignment w:val="bottom"/>
            </w:pPr>
            <w:r>
              <w:rPr>
                <w:rFonts w:ascii="Arial" w:eastAsia="宋体" w:hAnsi="Arial" w:cs="Arial"/>
                <w:color w:val="000000"/>
                <w:sz w:val="17"/>
                <w:szCs w:val="17"/>
              </w:rPr>
              <w:t>(383)</w:t>
            </w:r>
          </w:p>
        </w:tc>
        <w:tc>
          <w:tcPr>
            <w:tcW w:w="0" w:type="auto"/>
            <w:tcBorders>
              <w:top w:val="single" w:sz="8" w:space="0" w:color="808080"/>
            </w:tcBorders>
            <w:shd w:val="clear" w:color="auto" w:fill="auto"/>
            <w:tcMar>
              <w:top w:w="40" w:type="dxa"/>
              <w:left w:w="0" w:type="dxa"/>
              <w:bottom w:w="40" w:type="dxa"/>
              <w:right w:w="20" w:type="dxa"/>
            </w:tcMar>
            <w:vAlign w:val="bottom"/>
          </w:tcPr>
          <w:p w14:paraId="669C5EB4"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5EB5" w14:textId="77777777" w:rsidR="00066C63" w:rsidRDefault="009656F6">
            <w:pPr>
              <w:jc w:val="right"/>
              <w:textAlignment w:val="bottom"/>
            </w:pPr>
            <w:r>
              <w:rPr>
                <w:rFonts w:ascii="Arial" w:eastAsia="宋体" w:hAnsi="Arial" w:cs="Arial"/>
                <w:color w:val="000000"/>
                <w:sz w:val="17"/>
                <w:szCs w:val="17"/>
              </w:rPr>
              <w:t>(383)</w:t>
            </w:r>
          </w:p>
        </w:tc>
        <w:tc>
          <w:tcPr>
            <w:tcW w:w="0" w:type="auto"/>
            <w:tcBorders>
              <w:top w:val="single" w:sz="8" w:space="0" w:color="808080"/>
            </w:tcBorders>
            <w:shd w:val="clear" w:color="auto" w:fill="auto"/>
            <w:tcMar>
              <w:top w:w="40" w:type="dxa"/>
              <w:left w:w="0" w:type="dxa"/>
              <w:bottom w:w="40" w:type="dxa"/>
              <w:right w:w="20" w:type="dxa"/>
            </w:tcMar>
            <w:vAlign w:val="bottom"/>
          </w:tcPr>
          <w:p w14:paraId="669C5EB6" w14:textId="77777777" w:rsidR="00066C63" w:rsidRDefault="00066C63">
            <w:pPr>
              <w:jc w:val="right"/>
              <w:rPr>
                <w:rFonts w:ascii="宋体"/>
              </w:rPr>
            </w:pPr>
          </w:p>
        </w:tc>
      </w:tr>
      <w:tr w:rsidR="00066C63" w14:paraId="669C5EC5" w14:textId="77777777">
        <w:trPr>
          <w:jc w:val="center"/>
        </w:trPr>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5EB8" w14:textId="77777777" w:rsidR="00066C63" w:rsidRDefault="009656F6">
            <w:pPr>
              <w:textAlignment w:val="bottom"/>
            </w:pPr>
            <w:r>
              <w:rPr>
                <w:rFonts w:ascii="Arial" w:eastAsia="宋体" w:hAnsi="Arial" w:cs="Arial"/>
                <w:color w:val="000000"/>
                <w:sz w:val="17"/>
                <w:szCs w:val="17"/>
              </w:rPr>
              <w:t>Issuance of shares to employees, net of shares withheld for employee taxes</w:t>
            </w:r>
          </w:p>
        </w:tc>
        <w:tc>
          <w:tcPr>
            <w:tcW w:w="0" w:type="auto"/>
            <w:gridSpan w:val="3"/>
            <w:tcBorders>
              <w:top w:val="single" w:sz="8" w:space="0" w:color="808080"/>
            </w:tcBorders>
            <w:shd w:val="clear" w:color="auto" w:fill="auto"/>
            <w:tcMar>
              <w:top w:w="0" w:type="dxa"/>
              <w:left w:w="20" w:type="dxa"/>
              <w:bottom w:w="0" w:type="dxa"/>
              <w:right w:w="20" w:type="dxa"/>
            </w:tcMar>
          </w:tcPr>
          <w:p w14:paraId="669C5EB9" w14:textId="77777777" w:rsidR="00066C63" w:rsidRDefault="00066C63">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5EBA" w14:textId="77777777" w:rsidR="00066C63" w:rsidRDefault="00066C63">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5EBB" w14:textId="77777777" w:rsidR="00066C63" w:rsidRDefault="00066C63">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5EBC" w14:textId="77777777" w:rsidR="00066C63" w:rsidRDefault="00066C63">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5EBD" w14:textId="77777777" w:rsidR="00066C63" w:rsidRDefault="00066C63">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5EBE" w14:textId="77777777" w:rsidR="00066C63" w:rsidRDefault="009656F6">
            <w:pPr>
              <w:jc w:val="right"/>
              <w:textAlignment w:val="bottom"/>
            </w:pPr>
            <w:r>
              <w:rPr>
                <w:rFonts w:ascii="Arial" w:eastAsia="宋体" w:hAnsi="Arial" w:cs="Arial"/>
                <w:color w:val="000000"/>
                <w:sz w:val="17"/>
                <w:szCs w:val="17"/>
              </w:rPr>
              <w:t>(12)</w:t>
            </w:r>
          </w:p>
        </w:tc>
        <w:tc>
          <w:tcPr>
            <w:tcW w:w="0" w:type="auto"/>
            <w:tcBorders>
              <w:top w:val="single" w:sz="8" w:space="0" w:color="808080"/>
            </w:tcBorders>
            <w:shd w:val="clear" w:color="auto" w:fill="auto"/>
            <w:tcMar>
              <w:top w:w="40" w:type="dxa"/>
              <w:left w:w="0" w:type="dxa"/>
              <w:bottom w:w="40" w:type="dxa"/>
              <w:right w:w="20" w:type="dxa"/>
            </w:tcMar>
            <w:vAlign w:val="bottom"/>
          </w:tcPr>
          <w:p w14:paraId="669C5EBF" w14:textId="77777777" w:rsidR="00066C63" w:rsidRDefault="00066C63">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5EC0" w14:textId="77777777" w:rsidR="00066C63" w:rsidRDefault="00066C63">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5EC1" w14:textId="77777777" w:rsidR="00066C63" w:rsidRDefault="009656F6">
            <w:pPr>
              <w:jc w:val="right"/>
              <w:textAlignment w:val="bottom"/>
            </w:pPr>
            <w:r>
              <w:rPr>
                <w:rFonts w:ascii="Arial" w:eastAsia="宋体" w:hAnsi="Arial" w:cs="Arial"/>
                <w:color w:val="000000"/>
                <w:sz w:val="17"/>
                <w:szCs w:val="17"/>
              </w:rPr>
              <w:t>(4)</w:t>
            </w:r>
          </w:p>
        </w:tc>
        <w:tc>
          <w:tcPr>
            <w:tcW w:w="0" w:type="auto"/>
            <w:tcBorders>
              <w:top w:val="single" w:sz="8" w:space="0" w:color="808080"/>
            </w:tcBorders>
            <w:shd w:val="clear" w:color="auto" w:fill="auto"/>
            <w:tcMar>
              <w:top w:w="40" w:type="dxa"/>
              <w:left w:w="0" w:type="dxa"/>
              <w:bottom w:w="40" w:type="dxa"/>
              <w:right w:w="20" w:type="dxa"/>
            </w:tcMar>
            <w:vAlign w:val="bottom"/>
          </w:tcPr>
          <w:p w14:paraId="669C5EC2"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5EC3" w14:textId="77777777" w:rsidR="00066C63" w:rsidRDefault="009656F6">
            <w:pPr>
              <w:jc w:val="right"/>
              <w:textAlignment w:val="bottom"/>
            </w:pPr>
            <w:r>
              <w:rPr>
                <w:rFonts w:ascii="Arial" w:eastAsia="宋体" w:hAnsi="Arial" w:cs="Arial"/>
                <w:color w:val="000000"/>
                <w:sz w:val="17"/>
                <w:szCs w:val="17"/>
              </w:rPr>
              <w:t>(16)</w:t>
            </w:r>
          </w:p>
        </w:tc>
        <w:tc>
          <w:tcPr>
            <w:tcW w:w="0" w:type="auto"/>
            <w:tcBorders>
              <w:top w:val="single" w:sz="8" w:space="0" w:color="808080"/>
            </w:tcBorders>
            <w:shd w:val="clear" w:color="auto" w:fill="auto"/>
            <w:tcMar>
              <w:top w:w="40" w:type="dxa"/>
              <w:left w:w="0" w:type="dxa"/>
              <w:bottom w:w="40" w:type="dxa"/>
              <w:right w:w="20" w:type="dxa"/>
            </w:tcMar>
            <w:vAlign w:val="bottom"/>
          </w:tcPr>
          <w:p w14:paraId="669C5EC4" w14:textId="77777777" w:rsidR="00066C63" w:rsidRDefault="00066C63">
            <w:pPr>
              <w:jc w:val="right"/>
              <w:rPr>
                <w:rFonts w:ascii="宋体"/>
              </w:rPr>
            </w:pPr>
          </w:p>
        </w:tc>
      </w:tr>
      <w:tr w:rsidR="00066C63" w14:paraId="669C5ED2" w14:textId="77777777">
        <w:trPr>
          <w:jc w:val="center"/>
        </w:trPr>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5EC6" w14:textId="77777777" w:rsidR="00066C63" w:rsidRDefault="009656F6">
            <w:pPr>
              <w:textAlignment w:val="bottom"/>
            </w:pPr>
            <w:r>
              <w:rPr>
                <w:rFonts w:ascii="Arial" w:eastAsia="宋体" w:hAnsi="Arial" w:cs="Arial"/>
                <w:color w:val="000000"/>
                <w:sz w:val="17"/>
                <w:szCs w:val="17"/>
              </w:rPr>
              <w:t>Stock-based compensation</w:t>
            </w:r>
          </w:p>
        </w:tc>
        <w:tc>
          <w:tcPr>
            <w:tcW w:w="0" w:type="auto"/>
            <w:gridSpan w:val="3"/>
            <w:tcBorders>
              <w:top w:val="single" w:sz="8" w:space="0" w:color="808080"/>
            </w:tcBorders>
            <w:shd w:val="clear" w:color="auto" w:fill="auto"/>
            <w:tcMar>
              <w:top w:w="0" w:type="dxa"/>
              <w:left w:w="20" w:type="dxa"/>
              <w:bottom w:w="0" w:type="dxa"/>
              <w:right w:w="20" w:type="dxa"/>
            </w:tcMar>
          </w:tcPr>
          <w:p w14:paraId="669C5EC7" w14:textId="77777777" w:rsidR="00066C63" w:rsidRDefault="00066C63">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5EC8" w14:textId="77777777" w:rsidR="00066C63" w:rsidRDefault="00066C63">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5EC9" w14:textId="77777777" w:rsidR="00066C63" w:rsidRDefault="00066C63">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5ECA" w14:textId="77777777" w:rsidR="00066C63" w:rsidRDefault="00066C63">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5ECB" w14:textId="77777777" w:rsidR="00066C63" w:rsidRDefault="00066C63">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5ECC" w14:textId="77777777" w:rsidR="00066C63" w:rsidRDefault="009656F6">
            <w:pPr>
              <w:jc w:val="right"/>
              <w:textAlignment w:val="bottom"/>
            </w:pPr>
            <w:r>
              <w:rPr>
                <w:rFonts w:ascii="Arial" w:eastAsia="宋体" w:hAnsi="Arial" w:cs="Arial"/>
                <w:color w:val="000000"/>
                <w:sz w:val="17"/>
                <w:szCs w:val="17"/>
              </w:rPr>
              <w:t>113 </w:t>
            </w:r>
          </w:p>
        </w:tc>
        <w:tc>
          <w:tcPr>
            <w:tcW w:w="0" w:type="auto"/>
            <w:tcBorders>
              <w:top w:val="single" w:sz="8" w:space="0" w:color="808080"/>
            </w:tcBorders>
            <w:shd w:val="clear" w:color="auto" w:fill="auto"/>
            <w:tcMar>
              <w:top w:w="40" w:type="dxa"/>
              <w:left w:w="0" w:type="dxa"/>
              <w:bottom w:w="40" w:type="dxa"/>
              <w:right w:w="20" w:type="dxa"/>
            </w:tcMar>
            <w:vAlign w:val="bottom"/>
          </w:tcPr>
          <w:p w14:paraId="669C5ECD" w14:textId="77777777" w:rsidR="00066C63" w:rsidRDefault="00066C63">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5ECE" w14:textId="77777777" w:rsidR="00066C63" w:rsidRDefault="00066C63">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5ECF" w14:textId="77777777" w:rsidR="00066C63" w:rsidRDefault="00066C63">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5ED0" w14:textId="77777777" w:rsidR="00066C63" w:rsidRDefault="009656F6">
            <w:pPr>
              <w:jc w:val="right"/>
              <w:textAlignment w:val="bottom"/>
            </w:pPr>
            <w:r>
              <w:rPr>
                <w:rFonts w:ascii="Arial" w:eastAsia="宋体" w:hAnsi="Arial" w:cs="Arial"/>
                <w:color w:val="000000"/>
                <w:sz w:val="17"/>
                <w:szCs w:val="17"/>
              </w:rPr>
              <w:t>113 </w:t>
            </w:r>
          </w:p>
        </w:tc>
        <w:tc>
          <w:tcPr>
            <w:tcW w:w="0" w:type="auto"/>
            <w:tcBorders>
              <w:top w:val="single" w:sz="8" w:space="0" w:color="808080"/>
            </w:tcBorders>
            <w:shd w:val="clear" w:color="auto" w:fill="auto"/>
            <w:tcMar>
              <w:top w:w="40" w:type="dxa"/>
              <w:left w:w="0" w:type="dxa"/>
              <w:bottom w:w="40" w:type="dxa"/>
              <w:right w:w="20" w:type="dxa"/>
            </w:tcMar>
            <w:vAlign w:val="bottom"/>
          </w:tcPr>
          <w:p w14:paraId="669C5ED1" w14:textId="77777777" w:rsidR="00066C63" w:rsidRDefault="00066C63">
            <w:pPr>
              <w:jc w:val="right"/>
              <w:rPr>
                <w:rFonts w:ascii="宋体"/>
              </w:rPr>
            </w:pPr>
          </w:p>
        </w:tc>
      </w:tr>
      <w:tr w:rsidR="00066C63" w14:paraId="669C5EDF" w14:textId="77777777">
        <w:trPr>
          <w:jc w:val="center"/>
        </w:trPr>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5ED3" w14:textId="77777777" w:rsidR="00066C63" w:rsidRDefault="009656F6">
            <w:pPr>
              <w:textAlignment w:val="bottom"/>
            </w:pPr>
            <w:r>
              <w:rPr>
                <w:rFonts w:ascii="Arial" w:eastAsia="宋体" w:hAnsi="Arial" w:cs="Arial"/>
                <w:color w:val="000000"/>
                <w:sz w:val="17"/>
                <w:szCs w:val="17"/>
              </w:rPr>
              <w:t>Net income</w:t>
            </w:r>
          </w:p>
        </w:tc>
        <w:tc>
          <w:tcPr>
            <w:tcW w:w="0" w:type="auto"/>
            <w:gridSpan w:val="3"/>
            <w:tcBorders>
              <w:top w:val="single" w:sz="8" w:space="0" w:color="808080"/>
            </w:tcBorders>
            <w:shd w:val="clear" w:color="auto" w:fill="auto"/>
            <w:tcMar>
              <w:top w:w="0" w:type="dxa"/>
              <w:left w:w="20" w:type="dxa"/>
              <w:bottom w:w="0" w:type="dxa"/>
              <w:right w:w="20" w:type="dxa"/>
            </w:tcMar>
          </w:tcPr>
          <w:p w14:paraId="669C5ED4" w14:textId="77777777" w:rsidR="00066C63" w:rsidRDefault="00066C63">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5ED5" w14:textId="77777777" w:rsidR="00066C63" w:rsidRDefault="00066C63">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5ED6" w14:textId="77777777" w:rsidR="00066C63" w:rsidRDefault="00066C63">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5ED7" w14:textId="77777777" w:rsidR="00066C63" w:rsidRDefault="00066C63">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5ED8" w14:textId="77777777" w:rsidR="00066C63" w:rsidRDefault="00066C63">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5ED9" w14:textId="77777777" w:rsidR="00066C63" w:rsidRDefault="00066C63">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5EDA" w14:textId="77777777" w:rsidR="00066C63" w:rsidRDefault="00066C63">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5EDB" w14:textId="77777777" w:rsidR="00066C63" w:rsidRDefault="009656F6">
            <w:pPr>
              <w:jc w:val="right"/>
              <w:textAlignment w:val="bottom"/>
            </w:pPr>
            <w:r>
              <w:rPr>
                <w:rFonts w:ascii="Arial" w:eastAsia="宋体" w:hAnsi="Arial" w:cs="Arial"/>
                <w:color w:val="000000"/>
                <w:sz w:val="17"/>
                <w:szCs w:val="17"/>
              </w:rPr>
              <w:t>847 </w:t>
            </w:r>
          </w:p>
        </w:tc>
        <w:tc>
          <w:tcPr>
            <w:tcW w:w="0" w:type="auto"/>
            <w:tcBorders>
              <w:top w:val="single" w:sz="8" w:space="0" w:color="808080"/>
            </w:tcBorders>
            <w:shd w:val="clear" w:color="auto" w:fill="auto"/>
            <w:tcMar>
              <w:top w:w="40" w:type="dxa"/>
              <w:left w:w="0" w:type="dxa"/>
              <w:bottom w:w="40" w:type="dxa"/>
              <w:right w:w="20" w:type="dxa"/>
            </w:tcMar>
            <w:vAlign w:val="bottom"/>
          </w:tcPr>
          <w:p w14:paraId="669C5EDC"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5EDD" w14:textId="77777777" w:rsidR="00066C63" w:rsidRDefault="009656F6">
            <w:pPr>
              <w:jc w:val="right"/>
              <w:textAlignment w:val="bottom"/>
            </w:pPr>
            <w:r>
              <w:rPr>
                <w:rFonts w:ascii="Arial" w:eastAsia="宋体" w:hAnsi="Arial" w:cs="Arial"/>
                <w:color w:val="000000"/>
                <w:sz w:val="17"/>
                <w:szCs w:val="17"/>
              </w:rPr>
              <w:t>847 </w:t>
            </w:r>
          </w:p>
        </w:tc>
        <w:tc>
          <w:tcPr>
            <w:tcW w:w="0" w:type="auto"/>
            <w:tcBorders>
              <w:top w:val="single" w:sz="8" w:space="0" w:color="808080"/>
            </w:tcBorders>
            <w:shd w:val="clear" w:color="auto" w:fill="auto"/>
            <w:tcMar>
              <w:top w:w="40" w:type="dxa"/>
              <w:left w:w="0" w:type="dxa"/>
              <w:bottom w:w="40" w:type="dxa"/>
              <w:right w:w="20" w:type="dxa"/>
            </w:tcMar>
            <w:vAlign w:val="bottom"/>
          </w:tcPr>
          <w:p w14:paraId="669C5EDE" w14:textId="77777777" w:rsidR="00066C63" w:rsidRDefault="00066C63">
            <w:pPr>
              <w:jc w:val="right"/>
              <w:rPr>
                <w:rFonts w:ascii="宋体"/>
              </w:rPr>
            </w:pPr>
          </w:p>
        </w:tc>
      </w:tr>
      <w:tr w:rsidR="00066C63" w14:paraId="669C5EEC" w14:textId="77777777">
        <w:trPr>
          <w:jc w:val="center"/>
        </w:trPr>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5EE0" w14:textId="77777777" w:rsidR="00066C63" w:rsidRDefault="009656F6">
            <w:pPr>
              <w:textAlignment w:val="bottom"/>
            </w:pPr>
            <w:r>
              <w:rPr>
                <w:rFonts w:ascii="Arial" w:eastAsia="宋体" w:hAnsi="Arial" w:cs="Arial"/>
                <w:color w:val="000000"/>
                <w:sz w:val="17"/>
                <w:szCs w:val="17"/>
              </w:rPr>
              <w:t>Other comprehensive income (loss)</w:t>
            </w:r>
          </w:p>
        </w:tc>
        <w:tc>
          <w:tcPr>
            <w:tcW w:w="0" w:type="auto"/>
            <w:gridSpan w:val="3"/>
            <w:tcBorders>
              <w:top w:val="single" w:sz="8" w:space="0" w:color="808080"/>
            </w:tcBorders>
            <w:shd w:val="clear" w:color="auto" w:fill="auto"/>
            <w:tcMar>
              <w:top w:w="0" w:type="dxa"/>
              <w:left w:w="20" w:type="dxa"/>
              <w:bottom w:w="0" w:type="dxa"/>
              <w:right w:w="20" w:type="dxa"/>
            </w:tcMar>
          </w:tcPr>
          <w:p w14:paraId="669C5EE1" w14:textId="77777777" w:rsidR="00066C63" w:rsidRDefault="00066C63">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5EE2" w14:textId="77777777" w:rsidR="00066C63" w:rsidRDefault="00066C63">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5EE3" w14:textId="77777777" w:rsidR="00066C63" w:rsidRDefault="00066C63">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5EE4" w14:textId="77777777" w:rsidR="00066C63" w:rsidRDefault="00066C63">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5EE5" w14:textId="77777777" w:rsidR="00066C63" w:rsidRDefault="00066C63">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5EE6" w14:textId="77777777" w:rsidR="00066C63" w:rsidRDefault="00066C63">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5EE7" w14:textId="77777777" w:rsidR="00066C63" w:rsidRDefault="009656F6">
            <w:pPr>
              <w:jc w:val="right"/>
              <w:textAlignment w:val="bottom"/>
            </w:pPr>
            <w:r>
              <w:rPr>
                <w:rFonts w:ascii="Arial" w:eastAsia="宋体" w:hAnsi="Arial" w:cs="Arial"/>
                <w:color w:val="000000"/>
                <w:sz w:val="17"/>
                <w:szCs w:val="17"/>
              </w:rPr>
              <w:t>(109)</w:t>
            </w:r>
          </w:p>
        </w:tc>
        <w:tc>
          <w:tcPr>
            <w:tcW w:w="0" w:type="auto"/>
            <w:tcBorders>
              <w:top w:val="single" w:sz="8" w:space="0" w:color="808080"/>
            </w:tcBorders>
            <w:shd w:val="clear" w:color="auto" w:fill="auto"/>
            <w:tcMar>
              <w:top w:w="40" w:type="dxa"/>
              <w:left w:w="0" w:type="dxa"/>
              <w:bottom w:w="40" w:type="dxa"/>
              <w:right w:w="20" w:type="dxa"/>
            </w:tcMar>
            <w:vAlign w:val="bottom"/>
          </w:tcPr>
          <w:p w14:paraId="669C5EE8" w14:textId="77777777" w:rsidR="00066C63" w:rsidRDefault="00066C63">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5EE9" w14:textId="77777777" w:rsidR="00066C63" w:rsidRDefault="00066C63">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5EEA" w14:textId="77777777" w:rsidR="00066C63" w:rsidRDefault="009656F6">
            <w:pPr>
              <w:jc w:val="right"/>
              <w:textAlignment w:val="bottom"/>
            </w:pPr>
            <w:r>
              <w:rPr>
                <w:rFonts w:ascii="Arial" w:eastAsia="宋体" w:hAnsi="Arial" w:cs="Arial"/>
                <w:color w:val="000000"/>
                <w:sz w:val="17"/>
                <w:szCs w:val="17"/>
              </w:rPr>
              <w:t>(109)</w:t>
            </w:r>
          </w:p>
        </w:tc>
        <w:tc>
          <w:tcPr>
            <w:tcW w:w="0" w:type="auto"/>
            <w:tcBorders>
              <w:top w:val="single" w:sz="8" w:space="0" w:color="808080"/>
            </w:tcBorders>
            <w:shd w:val="clear" w:color="auto" w:fill="auto"/>
            <w:tcMar>
              <w:top w:w="40" w:type="dxa"/>
              <w:left w:w="0" w:type="dxa"/>
              <w:bottom w:w="40" w:type="dxa"/>
              <w:right w:w="20" w:type="dxa"/>
            </w:tcMar>
            <w:vAlign w:val="bottom"/>
          </w:tcPr>
          <w:p w14:paraId="669C5EEB" w14:textId="77777777" w:rsidR="00066C63" w:rsidRDefault="00066C63">
            <w:pPr>
              <w:jc w:val="right"/>
              <w:rPr>
                <w:rFonts w:ascii="宋体"/>
              </w:rPr>
            </w:pPr>
          </w:p>
        </w:tc>
      </w:tr>
      <w:tr w:rsidR="00066C63" w14:paraId="669C5F05" w14:textId="77777777">
        <w:trPr>
          <w:jc w:val="center"/>
        </w:trPr>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669C5EED" w14:textId="77777777" w:rsidR="00066C63" w:rsidRDefault="009656F6">
            <w:pPr>
              <w:textAlignment w:val="bottom"/>
            </w:pPr>
            <w:r>
              <w:rPr>
                <w:rFonts w:ascii="Arial" w:eastAsia="宋体" w:hAnsi="Arial" w:cs="Arial"/>
                <w:b/>
                <w:bCs/>
                <w:color w:val="000000"/>
                <w:sz w:val="17"/>
                <w:szCs w:val="17"/>
              </w:rPr>
              <w:t>Balance at February 29, 2020</w:t>
            </w: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669C5EEE" w14:textId="77777777" w:rsidR="00066C63" w:rsidRDefault="009656F6">
            <w:pPr>
              <w:jc w:val="right"/>
              <w:textAlignment w:val="bottom"/>
            </w:pPr>
            <w:r>
              <w:rPr>
                <w:rFonts w:ascii="Arial" w:eastAsia="宋体" w:hAnsi="Arial" w:cs="Arial"/>
                <w:b/>
                <w:bCs/>
                <w:color w:val="000000"/>
                <w:sz w:val="17"/>
                <w:szCs w:val="17"/>
              </w:rPr>
              <w:t>315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69C5EEF" w14:textId="77777777" w:rsidR="00066C63" w:rsidRDefault="00066C63">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69C5EF0"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69C5EF1" w14:textId="77777777" w:rsidR="00066C63" w:rsidRDefault="009656F6">
            <w:pPr>
              <w:jc w:val="right"/>
              <w:textAlignment w:val="bottom"/>
            </w:pPr>
            <w:r>
              <w:rPr>
                <w:rFonts w:ascii="Arial" w:eastAsia="宋体" w:hAnsi="Arial" w:cs="Arial"/>
                <w:b/>
                <w:bCs/>
                <w:color w:val="000000"/>
                <w:sz w:val="17"/>
                <w:szCs w:val="17"/>
              </w:rPr>
              <w:t>—</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69C5EF2" w14:textId="77777777" w:rsidR="00066C63" w:rsidRDefault="00066C63">
            <w:pPr>
              <w:jc w:val="right"/>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tcPr>
          <w:p w14:paraId="669C5EF3" w14:textId="77777777" w:rsidR="00066C63" w:rsidRDefault="00066C63">
            <w:pPr>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669C5EF4" w14:textId="77777777" w:rsidR="00066C63" w:rsidRDefault="009656F6">
            <w:pPr>
              <w:jc w:val="right"/>
              <w:textAlignment w:val="bottom"/>
            </w:pPr>
            <w:r>
              <w:rPr>
                <w:rFonts w:ascii="Arial" w:eastAsia="宋体" w:hAnsi="Arial" w:cs="Arial"/>
                <w:b/>
                <w:bCs/>
                <w:color w:val="000000"/>
                <w:sz w:val="17"/>
                <w:szCs w:val="17"/>
              </w:rPr>
              <w:t>1,240</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69C5EF5" w14:textId="77777777" w:rsidR="00066C63" w:rsidRDefault="00066C63">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69C5EF6"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69C5EF7" w14:textId="77777777" w:rsidR="00066C63" w:rsidRDefault="009656F6">
            <w:pPr>
              <w:jc w:val="right"/>
              <w:textAlignment w:val="bottom"/>
            </w:pPr>
            <w:r>
              <w:rPr>
                <w:rFonts w:ascii="Arial" w:eastAsia="宋体" w:hAnsi="Arial" w:cs="Arial"/>
                <w:b/>
                <w:bCs/>
                <w:color w:val="000000"/>
                <w:sz w:val="17"/>
                <w:szCs w:val="17"/>
              </w:rPr>
              <w:t>3</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69C5EF8" w14:textId="77777777" w:rsidR="00066C63" w:rsidRDefault="00066C63">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69C5EF9"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69C5EFA" w14:textId="77777777" w:rsidR="00066C63" w:rsidRDefault="009656F6">
            <w:pPr>
              <w:jc w:val="right"/>
              <w:textAlignment w:val="bottom"/>
            </w:pPr>
            <w:r>
              <w:rPr>
                <w:rFonts w:ascii="Arial" w:eastAsia="宋体" w:hAnsi="Arial" w:cs="Arial"/>
                <w:b/>
                <w:bCs/>
                <w:color w:val="000000"/>
                <w:sz w:val="17"/>
                <w:szCs w:val="17"/>
              </w:rPr>
              <w:t>7,971</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69C5EFB" w14:textId="77777777" w:rsidR="00066C63" w:rsidRDefault="00066C63">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69C5EFC"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69C5EFD" w14:textId="77777777" w:rsidR="00066C63" w:rsidRDefault="009656F6">
            <w:pPr>
              <w:jc w:val="right"/>
              <w:textAlignment w:val="bottom"/>
            </w:pPr>
            <w:r>
              <w:rPr>
                <w:rFonts w:ascii="Arial" w:eastAsia="宋体" w:hAnsi="Arial" w:cs="Arial"/>
                <w:b/>
                <w:bCs/>
                <w:color w:val="000000"/>
                <w:sz w:val="17"/>
                <w:szCs w:val="17"/>
              </w:rPr>
              <w:t>(57)</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69C5EFE" w14:textId="77777777" w:rsidR="00066C63" w:rsidRDefault="00066C63">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69C5EFF"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69C5F00" w14:textId="77777777" w:rsidR="00066C63" w:rsidRDefault="009656F6">
            <w:pPr>
              <w:jc w:val="right"/>
              <w:textAlignment w:val="bottom"/>
            </w:pPr>
            <w:r>
              <w:rPr>
                <w:rFonts w:ascii="Arial" w:eastAsia="宋体" w:hAnsi="Arial" w:cs="Arial"/>
                <w:b/>
                <w:bCs/>
                <w:color w:val="000000"/>
                <w:sz w:val="17"/>
                <w:szCs w:val="17"/>
              </w:rPr>
              <w:t>1,128</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69C5F01" w14:textId="77777777" w:rsidR="00066C63" w:rsidRDefault="00066C63">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69C5F02"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69C5F03" w14:textId="77777777" w:rsidR="00066C63" w:rsidRDefault="009656F6">
            <w:pPr>
              <w:jc w:val="right"/>
              <w:textAlignment w:val="bottom"/>
            </w:pPr>
            <w:r>
              <w:rPr>
                <w:rFonts w:ascii="Arial" w:eastAsia="宋体" w:hAnsi="Arial" w:cs="Arial"/>
                <w:b/>
                <w:bCs/>
                <w:color w:val="000000"/>
                <w:sz w:val="17"/>
                <w:szCs w:val="17"/>
              </w:rPr>
              <w:t>9,045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69C5F04" w14:textId="77777777" w:rsidR="00066C63" w:rsidRDefault="00066C63">
            <w:pPr>
              <w:jc w:val="right"/>
              <w:rPr>
                <w:rFonts w:ascii="宋体"/>
              </w:rPr>
            </w:pPr>
          </w:p>
        </w:tc>
      </w:tr>
    </w:tbl>
    <w:p w14:paraId="669C5F06" w14:textId="77777777" w:rsidR="00066C63" w:rsidRDefault="009656F6">
      <w:pPr>
        <w:spacing w:before="110" w:after="120"/>
      </w:pPr>
      <w:r>
        <w:rPr>
          <w:rFonts w:ascii="Arial" w:eastAsia="宋体" w:hAnsi="Arial" w:cs="Arial"/>
          <w:i/>
          <w:iCs/>
          <w:color w:val="000000"/>
          <w:sz w:val="17"/>
          <w:szCs w:val="17"/>
        </w:rPr>
        <w:t>The accompanying Notes to the Unaudited Condensed Consolidated Financial Statements are an integral part of this statement.</w:t>
      </w:r>
    </w:p>
    <w:p w14:paraId="669C5F07" w14:textId="77777777" w:rsidR="00066C63" w:rsidRDefault="00066C63">
      <w:pPr>
        <w:spacing w:before="110" w:after="120"/>
      </w:pPr>
    </w:p>
    <w:p w14:paraId="669C5F08" w14:textId="77777777" w:rsidR="00066C63" w:rsidRDefault="009656F6">
      <w:pPr>
        <w:spacing w:before="120" w:after="120"/>
        <w:jc w:val="right"/>
      </w:pPr>
      <w:r>
        <w:rPr>
          <w:rFonts w:ascii="Arial" w:eastAsia="宋体" w:hAnsi="Arial" w:cs="Arial"/>
          <w:color w:val="E87722"/>
          <w:sz w:val="17"/>
          <w:szCs w:val="17"/>
        </w:rPr>
        <w:t>5</w:t>
      </w:r>
    </w:p>
    <w:p w14:paraId="669C5F09" w14:textId="77777777" w:rsidR="00066C63" w:rsidRDefault="009656F6">
      <w:r>
        <w:pict w14:anchorId="669C7E35">
          <v:rect id="_x0000_i1031" style="width:415.3pt;height:1.5pt" o:hralign="center" o:hrstd="t" o:hr="t" fillcolor="#a0a0a0" stroked="f"/>
        </w:pict>
      </w:r>
    </w:p>
    <w:p w14:paraId="669C5F0A" w14:textId="77777777" w:rsidR="00066C63" w:rsidRDefault="00066C63"/>
    <w:p w14:paraId="669C5F0B" w14:textId="77777777" w:rsidR="00066C63" w:rsidRDefault="009656F6">
      <w:hyperlink r:id="rId48" w:anchor="i1e99cb26debe49fe8b698d0f0eb1273a_7" w:history="1">
        <w:r>
          <w:rPr>
            <w:rStyle w:val="a5"/>
            <w:rFonts w:ascii="sans-serif" w:eastAsia="sans-serif" w:hAnsi="sans-serif" w:cs="sans-serif"/>
            <w:sz w:val="17"/>
            <w:szCs w:val="17"/>
          </w:rPr>
          <w:t>Table of Contents</w:t>
        </w:r>
      </w:hyperlink>
    </w:p>
    <w:p w14:paraId="669C5F0C" w14:textId="77777777" w:rsidR="00066C63" w:rsidRDefault="00066C63"/>
    <w:p w14:paraId="669C5F0D" w14:textId="77777777" w:rsidR="00066C63" w:rsidRDefault="00066C63">
      <w:pPr>
        <w:spacing w:before="110" w:after="120"/>
        <w:jc w:val="center"/>
      </w:pPr>
    </w:p>
    <w:p w14:paraId="669C5F0E" w14:textId="77777777" w:rsidR="00066C63" w:rsidRDefault="00066C63">
      <w:pPr>
        <w:spacing w:before="120" w:after="120"/>
        <w:jc w:val="center"/>
      </w:pPr>
    </w:p>
    <w:tbl>
      <w:tblPr>
        <w:tblW w:w="4992" w:type="pct"/>
        <w:jc w:val="center"/>
        <w:tblCellMar>
          <w:top w:w="15" w:type="dxa"/>
          <w:left w:w="15" w:type="dxa"/>
          <w:bottom w:w="15" w:type="dxa"/>
          <w:right w:w="15" w:type="dxa"/>
        </w:tblCellMar>
        <w:tblLook w:val="04A0" w:firstRow="1" w:lastRow="0" w:firstColumn="1" w:lastColumn="0" w:noHBand="0" w:noVBand="1"/>
      </w:tblPr>
      <w:tblGrid>
        <w:gridCol w:w="42"/>
        <w:gridCol w:w="1632"/>
        <w:gridCol w:w="41"/>
        <w:gridCol w:w="87"/>
        <w:gridCol w:w="495"/>
        <w:gridCol w:w="36"/>
        <w:gridCol w:w="116"/>
        <w:gridCol w:w="616"/>
        <w:gridCol w:w="36"/>
        <w:gridCol w:w="36"/>
        <w:gridCol w:w="36"/>
        <w:gridCol w:w="36"/>
        <w:gridCol w:w="87"/>
        <w:gridCol w:w="495"/>
        <w:gridCol w:w="37"/>
        <w:gridCol w:w="117"/>
        <w:gridCol w:w="610"/>
        <w:gridCol w:w="37"/>
        <w:gridCol w:w="116"/>
        <w:gridCol w:w="712"/>
        <w:gridCol w:w="36"/>
        <w:gridCol w:w="116"/>
        <w:gridCol w:w="1165"/>
        <w:gridCol w:w="36"/>
        <w:gridCol w:w="116"/>
        <w:gridCol w:w="679"/>
        <w:gridCol w:w="36"/>
        <w:gridCol w:w="115"/>
        <w:gridCol w:w="568"/>
        <w:gridCol w:w="36"/>
      </w:tblGrid>
      <w:tr w:rsidR="00066C63" w14:paraId="669C5F2D" w14:textId="77777777">
        <w:trPr>
          <w:jc w:val="center"/>
        </w:trPr>
        <w:tc>
          <w:tcPr>
            <w:tcW w:w="50" w:type="pct"/>
            <w:shd w:val="clear" w:color="auto" w:fill="auto"/>
          </w:tcPr>
          <w:p w14:paraId="669C5F0F" w14:textId="77777777" w:rsidR="00066C63" w:rsidRDefault="00066C63">
            <w:pPr>
              <w:rPr>
                <w:rFonts w:ascii="宋体"/>
              </w:rPr>
            </w:pPr>
          </w:p>
        </w:tc>
        <w:tc>
          <w:tcPr>
            <w:tcW w:w="1560" w:type="pct"/>
            <w:shd w:val="clear" w:color="auto" w:fill="auto"/>
          </w:tcPr>
          <w:p w14:paraId="669C5F10" w14:textId="77777777" w:rsidR="00066C63" w:rsidRDefault="00066C63">
            <w:pPr>
              <w:rPr>
                <w:rFonts w:ascii="宋体"/>
              </w:rPr>
            </w:pPr>
          </w:p>
        </w:tc>
        <w:tc>
          <w:tcPr>
            <w:tcW w:w="5" w:type="pct"/>
            <w:shd w:val="clear" w:color="auto" w:fill="auto"/>
          </w:tcPr>
          <w:p w14:paraId="669C5F11" w14:textId="77777777" w:rsidR="00066C63" w:rsidRDefault="00066C63">
            <w:pPr>
              <w:rPr>
                <w:rFonts w:ascii="宋体"/>
              </w:rPr>
            </w:pPr>
          </w:p>
        </w:tc>
        <w:tc>
          <w:tcPr>
            <w:tcW w:w="50" w:type="pct"/>
            <w:shd w:val="clear" w:color="auto" w:fill="auto"/>
          </w:tcPr>
          <w:p w14:paraId="669C5F12" w14:textId="77777777" w:rsidR="00066C63" w:rsidRDefault="00066C63">
            <w:pPr>
              <w:rPr>
                <w:rFonts w:ascii="宋体"/>
              </w:rPr>
            </w:pPr>
          </w:p>
        </w:tc>
        <w:tc>
          <w:tcPr>
            <w:tcW w:w="285" w:type="pct"/>
            <w:shd w:val="clear" w:color="auto" w:fill="auto"/>
          </w:tcPr>
          <w:p w14:paraId="669C5F13" w14:textId="77777777" w:rsidR="00066C63" w:rsidRDefault="00066C63">
            <w:pPr>
              <w:rPr>
                <w:rFonts w:ascii="宋体"/>
              </w:rPr>
            </w:pPr>
          </w:p>
        </w:tc>
        <w:tc>
          <w:tcPr>
            <w:tcW w:w="5" w:type="pct"/>
            <w:shd w:val="clear" w:color="auto" w:fill="auto"/>
          </w:tcPr>
          <w:p w14:paraId="669C5F14" w14:textId="77777777" w:rsidR="00066C63" w:rsidRDefault="00066C63">
            <w:pPr>
              <w:rPr>
                <w:rFonts w:ascii="宋体"/>
              </w:rPr>
            </w:pPr>
          </w:p>
        </w:tc>
        <w:tc>
          <w:tcPr>
            <w:tcW w:w="50" w:type="pct"/>
            <w:shd w:val="clear" w:color="auto" w:fill="auto"/>
          </w:tcPr>
          <w:p w14:paraId="669C5F15" w14:textId="77777777" w:rsidR="00066C63" w:rsidRDefault="00066C63">
            <w:pPr>
              <w:rPr>
                <w:rFonts w:ascii="宋体"/>
              </w:rPr>
            </w:pPr>
          </w:p>
        </w:tc>
        <w:tc>
          <w:tcPr>
            <w:tcW w:w="346" w:type="pct"/>
            <w:shd w:val="clear" w:color="auto" w:fill="auto"/>
          </w:tcPr>
          <w:p w14:paraId="669C5F16" w14:textId="77777777" w:rsidR="00066C63" w:rsidRDefault="00066C63">
            <w:pPr>
              <w:rPr>
                <w:rFonts w:ascii="宋体"/>
              </w:rPr>
            </w:pPr>
          </w:p>
        </w:tc>
        <w:tc>
          <w:tcPr>
            <w:tcW w:w="5" w:type="pct"/>
            <w:shd w:val="clear" w:color="auto" w:fill="auto"/>
          </w:tcPr>
          <w:p w14:paraId="669C5F17" w14:textId="77777777" w:rsidR="00066C63" w:rsidRDefault="00066C63">
            <w:pPr>
              <w:rPr>
                <w:rFonts w:ascii="宋体"/>
              </w:rPr>
            </w:pPr>
          </w:p>
        </w:tc>
        <w:tc>
          <w:tcPr>
            <w:tcW w:w="5" w:type="pct"/>
            <w:shd w:val="clear" w:color="auto" w:fill="auto"/>
          </w:tcPr>
          <w:p w14:paraId="669C5F18" w14:textId="77777777" w:rsidR="00066C63" w:rsidRDefault="00066C63">
            <w:pPr>
              <w:rPr>
                <w:rFonts w:ascii="宋体"/>
              </w:rPr>
            </w:pPr>
          </w:p>
        </w:tc>
        <w:tc>
          <w:tcPr>
            <w:tcW w:w="28" w:type="pct"/>
            <w:shd w:val="clear" w:color="auto" w:fill="auto"/>
          </w:tcPr>
          <w:p w14:paraId="669C5F19" w14:textId="77777777" w:rsidR="00066C63" w:rsidRDefault="00066C63">
            <w:pPr>
              <w:rPr>
                <w:rFonts w:ascii="宋体"/>
              </w:rPr>
            </w:pPr>
          </w:p>
        </w:tc>
        <w:tc>
          <w:tcPr>
            <w:tcW w:w="5" w:type="pct"/>
            <w:shd w:val="clear" w:color="auto" w:fill="auto"/>
          </w:tcPr>
          <w:p w14:paraId="669C5F1A" w14:textId="77777777" w:rsidR="00066C63" w:rsidRDefault="00066C63">
            <w:pPr>
              <w:rPr>
                <w:rFonts w:ascii="宋体"/>
              </w:rPr>
            </w:pPr>
          </w:p>
        </w:tc>
        <w:tc>
          <w:tcPr>
            <w:tcW w:w="50" w:type="pct"/>
            <w:shd w:val="clear" w:color="auto" w:fill="auto"/>
          </w:tcPr>
          <w:p w14:paraId="669C5F1B" w14:textId="77777777" w:rsidR="00066C63" w:rsidRDefault="00066C63">
            <w:pPr>
              <w:rPr>
                <w:rFonts w:ascii="宋体"/>
              </w:rPr>
            </w:pPr>
          </w:p>
        </w:tc>
        <w:tc>
          <w:tcPr>
            <w:tcW w:w="285" w:type="pct"/>
            <w:shd w:val="clear" w:color="auto" w:fill="auto"/>
          </w:tcPr>
          <w:p w14:paraId="669C5F1C" w14:textId="77777777" w:rsidR="00066C63" w:rsidRDefault="00066C63">
            <w:pPr>
              <w:rPr>
                <w:rFonts w:ascii="宋体"/>
              </w:rPr>
            </w:pPr>
          </w:p>
        </w:tc>
        <w:tc>
          <w:tcPr>
            <w:tcW w:w="5" w:type="pct"/>
            <w:shd w:val="clear" w:color="auto" w:fill="auto"/>
          </w:tcPr>
          <w:p w14:paraId="669C5F1D" w14:textId="77777777" w:rsidR="00066C63" w:rsidRDefault="00066C63">
            <w:pPr>
              <w:rPr>
                <w:rFonts w:ascii="宋体"/>
              </w:rPr>
            </w:pPr>
          </w:p>
        </w:tc>
        <w:tc>
          <w:tcPr>
            <w:tcW w:w="50" w:type="pct"/>
            <w:shd w:val="clear" w:color="auto" w:fill="auto"/>
          </w:tcPr>
          <w:p w14:paraId="669C5F1E" w14:textId="77777777" w:rsidR="00066C63" w:rsidRDefault="00066C63">
            <w:pPr>
              <w:rPr>
                <w:rFonts w:ascii="宋体"/>
              </w:rPr>
            </w:pPr>
          </w:p>
        </w:tc>
        <w:tc>
          <w:tcPr>
            <w:tcW w:w="323" w:type="pct"/>
            <w:shd w:val="clear" w:color="auto" w:fill="auto"/>
          </w:tcPr>
          <w:p w14:paraId="669C5F1F" w14:textId="77777777" w:rsidR="00066C63" w:rsidRDefault="00066C63">
            <w:pPr>
              <w:rPr>
                <w:rFonts w:ascii="宋体"/>
              </w:rPr>
            </w:pPr>
          </w:p>
        </w:tc>
        <w:tc>
          <w:tcPr>
            <w:tcW w:w="5" w:type="pct"/>
            <w:shd w:val="clear" w:color="auto" w:fill="auto"/>
          </w:tcPr>
          <w:p w14:paraId="669C5F20" w14:textId="77777777" w:rsidR="00066C63" w:rsidRDefault="00066C63">
            <w:pPr>
              <w:rPr>
                <w:rFonts w:ascii="宋体"/>
              </w:rPr>
            </w:pPr>
          </w:p>
        </w:tc>
        <w:tc>
          <w:tcPr>
            <w:tcW w:w="50" w:type="pct"/>
            <w:shd w:val="clear" w:color="auto" w:fill="auto"/>
          </w:tcPr>
          <w:p w14:paraId="669C5F21" w14:textId="77777777" w:rsidR="00066C63" w:rsidRDefault="00066C63">
            <w:pPr>
              <w:rPr>
                <w:rFonts w:ascii="宋体"/>
              </w:rPr>
            </w:pPr>
          </w:p>
        </w:tc>
        <w:tc>
          <w:tcPr>
            <w:tcW w:w="385" w:type="pct"/>
            <w:shd w:val="clear" w:color="auto" w:fill="auto"/>
          </w:tcPr>
          <w:p w14:paraId="669C5F22" w14:textId="77777777" w:rsidR="00066C63" w:rsidRDefault="00066C63">
            <w:pPr>
              <w:rPr>
                <w:rFonts w:ascii="宋体"/>
              </w:rPr>
            </w:pPr>
          </w:p>
        </w:tc>
        <w:tc>
          <w:tcPr>
            <w:tcW w:w="5" w:type="pct"/>
            <w:shd w:val="clear" w:color="auto" w:fill="auto"/>
          </w:tcPr>
          <w:p w14:paraId="669C5F23" w14:textId="77777777" w:rsidR="00066C63" w:rsidRDefault="00066C63">
            <w:pPr>
              <w:rPr>
                <w:rFonts w:ascii="宋体"/>
              </w:rPr>
            </w:pPr>
          </w:p>
        </w:tc>
        <w:tc>
          <w:tcPr>
            <w:tcW w:w="50" w:type="pct"/>
            <w:shd w:val="clear" w:color="auto" w:fill="auto"/>
          </w:tcPr>
          <w:p w14:paraId="669C5F24" w14:textId="77777777" w:rsidR="00066C63" w:rsidRDefault="00066C63">
            <w:pPr>
              <w:rPr>
                <w:rFonts w:ascii="宋体"/>
              </w:rPr>
            </w:pPr>
          </w:p>
        </w:tc>
        <w:tc>
          <w:tcPr>
            <w:tcW w:w="586" w:type="pct"/>
            <w:shd w:val="clear" w:color="auto" w:fill="auto"/>
          </w:tcPr>
          <w:p w14:paraId="669C5F25" w14:textId="77777777" w:rsidR="00066C63" w:rsidRDefault="00066C63">
            <w:pPr>
              <w:rPr>
                <w:rFonts w:ascii="宋体"/>
              </w:rPr>
            </w:pPr>
          </w:p>
        </w:tc>
        <w:tc>
          <w:tcPr>
            <w:tcW w:w="5" w:type="pct"/>
            <w:shd w:val="clear" w:color="auto" w:fill="auto"/>
          </w:tcPr>
          <w:p w14:paraId="669C5F26" w14:textId="77777777" w:rsidR="00066C63" w:rsidRDefault="00066C63">
            <w:pPr>
              <w:rPr>
                <w:rFonts w:ascii="宋体"/>
              </w:rPr>
            </w:pPr>
          </w:p>
        </w:tc>
        <w:tc>
          <w:tcPr>
            <w:tcW w:w="50" w:type="pct"/>
            <w:shd w:val="clear" w:color="auto" w:fill="auto"/>
          </w:tcPr>
          <w:p w14:paraId="669C5F27" w14:textId="77777777" w:rsidR="00066C63" w:rsidRDefault="00066C63">
            <w:pPr>
              <w:rPr>
                <w:rFonts w:ascii="宋体"/>
              </w:rPr>
            </w:pPr>
          </w:p>
        </w:tc>
        <w:tc>
          <w:tcPr>
            <w:tcW w:w="370" w:type="pct"/>
            <w:shd w:val="clear" w:color="auto" w:fill="auto"/>
          </w:tcPr>
          <w:p w14:paraId="669C5F28" w14:textId="77777777" w:rsidR="00066C63" w:rsidRDefault="00066C63">
            <w:pPr>
              <w:rPr>
                <w:rFonts w:ascii="宋体"/>
              </w:rPr>
            </w:pPr>
          </w:p>
        </w:tc>
        <w:tc>
          <w:tcPr>
            <w:tcW w:w="5" w:type="pct"/>
            <w:shd w:val="clear" w:color="auto" w:fill="auto"/>
          </w:tcPr>
          <w:p w14:paraId="669C5F29" w14:textId="77777777" w:rsidR="00066C63" w:rsidRDefault="00066C63">
            <w:pPr>
              <w:rPr>
                <w:rFonts w:ascii="宋体"/>
              </w:rPr>
            </w:pPr>
          </w:p>
        </w:tc>
        <w:tc>
          <w:tcPr>
            <w:tcW w:w="50" w:type="pct"/>
            <w:shd w:val="clear" w:color="auto" w:fill="auto"/>
          </w:tcPr>
          <w:p w14:paraId="669C5F2A" w14:textId="77777777" w:rsidR="00066C63" w:rsidRDefault="00066C63">
            <w:pPr>
              <w:rPr>
                <w:rFonts w:ascii="宋体"/>
              </w:rPr>
            </w:pPr>
          </w:p>
        </w:tc>
        <w:tc>
          <w:tcPr>
            <w:tcW w:w="323" w:type="pct"/>
            <w:shd w:val="clear" w:color="auto" w:fill="auto"/>
          </w:tcPr>
          <w:p w14:paraId="669C5F2B" w14:textId="77777777" w:rsidR="00066C63" w:rsidRDefault="00066C63">
            <w:pPr>
              <w:rPr>
                <w:rFonts w:ascii="宋体"/>
              </w:rPr>
            </w:pPr>
          </w:p>
        </w:tc>
        <w:tc>
          <w:tcPr>
            <w:tcW w:w="5" w:type="pct"/>
            <w:shd w:val="clear" w:color="auto" w:fill="auto"/>
          </w:tcPr>
          <w:p w14:paraId="669C5F2C" w14:textId="77777777" w:rsidR="00066C63" w:rsidRDefault="00066C63">
            <w:pPr>
              <w:rPr>
                <w:rFonts w:ascii="宋体"/>
              </w:rPr>
            </w:pPr>
          </w:p>
        </w:tc>
      </w:tr>
      <w:tr w:rsidR="00066C63" w14:paraId="669C5F34" w14:textId="77777777">
        <w:trPr>
          <w:trHeight w:val="240"/>
          <w:jc w:val="center"/>
        </w:trPr>
        <w:tc>
          <w:tcPr>
            <w:tcW w:w="0" w:type="auto"/>
            <w:gridSpan w:val="3"/>
            <w:shd w:val="clear" w:color="auto" w:fill="auto"/>
            <w:tcMar>
              <w:top w:w="0" w:type="dxa"/>
              <w:left w:w="20" w:type="dxa"/>
              <w:bottom w:w="0" w:type="dxa"/>
              <w:right w:w="20" w:type="dxa"/>
            </w:tcMar>
          </w:tcPr>
          <w:p w14:paraId="669C5F2E" w14:textId="77777777" w:rsidR="00066C63" w:rsidRDefault="00066C63">
            <w:pPr>
              <w:rPr>
                <w:rFonts w:ascii="宋体"/>
              </w:rPr>
            </w:pPr>
          </w:p>
        </w:tc>
        <w:tc>
          <w:tcPr>
            <w:tcW w:w="0" w:type="auto"/>
            <w:gridSpan w:val="15"/>
            <w:tcBorders>
              <w:bottom w:val="single" w:sz="8" w:space="0" w:color="E87722"/>
            </w:tcBorders>
            <w:shd w:val="clear" w:color="auto" w:fill="auto"/>
            <w:tcMar>
              <w:top w:w="40" w:type="dxa"/>
              <w:left w:w="20" w:type="dxa"/>
              <w:bottom w:w="40" w:type="dxa"/>
              <w:right w:w="20" w:type="dxa"/>
            </w:tcMar>
            <w:vAlign w:val="bottom"/>
          </w:tcPr>
          <w:p w14:paraId="669C5F2F" w14:textId="77777777" w:rsidR="00066C63" w:rsidRDefault="009656F6">
            <w:pPr>
              <w:jc w:val="center"/>
              <w:textAlignment w:val="bottom"/>
            </w:pPr>
            <w:r>
              <w:rPr>
                <w:rFonts w:ascii="sans-serif" w:eastAsia="sans-serif" w:hAnsi="sans-serif" w:cs="sans-serif"/>
                <w:b/>
                <w:bCs/>
                <w:color w:val="000000"/>
                <w:sz w:val="17"/>
                <w:szCs w:val="17"/>
              </w:rPr>
              <w:t>COMMON STOCK</w:t>
            </w:r>
          </w:p>
        </w:tc>
        <w:tc>
          <w:tcPr>
            <w:tcW w:w="0" w:type="auto"/>
            <w:gridSpan w:val="3"/>
            <w:vMerge w:val="restart"/>
            <w:shd w:val="clear" w:color="auto" w:fill="auto"/>
            <w:tcMar>
              <w:top w:w="40" w:type="dxa"/>
              <w:left w:w="20" w:type="dxa"/>
              <w:bottom w:w="40" w:type="dxa"/>
              <w:right w:w="20" w:type="dxa"/>
            </w:tcMar>
            <w:vAlign w:val="bottom"/>
          </w:tcPr>
          <w:p w14:paraId="669C5F30" w14:textId="77777777" w:rsidR="00066C63" w:rsidRDefault="009656F6">
            <w:pPr>
              <w:jc w:val="right"/>
              <w:textAlignment w:val="bottom"/>
            </w:pPr>
            <w:r>
              <w:rPr>
                <w:rFonts w:ascii="sans-serif" w:eastAsia="sans-serif" w:hAnsi="sans-serif" w:cs="sans-serif"/>
                <w:b/>
                <w:bCs/>
                <w:color w:val="000000"/>
                <w:sz w:val="17"/>
                <w:szCs w:val="17"/>
              </w:rPr>
              <w:t>CAPITAL IN EXCESS OF STATED VALUE</w:t>
            </w:r>
          </w:p>
        </w:tc>
        <w:tc>
          <w:tcPr>
            <w:tcW w:w="0" w:type="auto"/>
            <w:gridSpan w:val="3"/>
            <w:vMerge w:val="restart"/>
            <w:shd w:val="clear" w:color="auto" w:fill="auto"/>
            <w:tcMar>
              <w:top w:w="40" w:type="dxa"/>
              <w:left w:w="20" w:type="dxa"/>
              <w:bottom w:w="40" w:type="dxa"/>
              <w:right w:w="20" w:type="dxa"/>
            </w:tcMar>
            <w:vAlign w:val="bottom"/>
          </w:tcPr>
          <w:p w14:paraId="669C5F31" w14:textId="77777777" w:rsidR="00066C63" w:rsidRDefault="009656F6">
            <w:pPr>
              <w:jc w:val="right"/>
              <w:textAlignment w:val="bottom"/>
            </w:pPr>
            <w:r>
              <w:rPr>
                <w:rFonts w:ascii="sans-serif" w:eastAsia="sans-serif" w:hAnsi="sans-serif" w:cs="sans-serif"/>
                <w:b/>
                <w:bCs/>
                <w:color w:val="000000"/>
                <w:sz w:val="17"/>
                <w:szCs w:val="17"/>
              </w:rPr>
              <w:t>ACCUMULATED OTHER COMPREHENSIVE INCOME (LOSS)</w:t>
            </w:r>
          </w:p>
        </w:tc>
        <w:tc>
          <w:tcPr>
            <w:tcW w:w="0" w:type="auto"/>
            <w:gridSpan w:val="3"/>
            <w:vMerge w:val="restart"/>
            <w:shd w:val="clear" w:color="auto" w:fill="auto"/>
            <w:tcMar>
              <w:top w:w="40" w:type="dxa"/>
              <w:left w:w="20" w:type="dxa"/>
              <w:bottom w:w="40" w:type="dxa"/>
              <w:right w:w="20" w:type="dxa"/>
            </w:tcMar>
            <w:vAlign w:val="bottom"/>
          </w:tcPr>
          <w:p w14:paraId="669C5F32" w14:textId="77777777" w:rsidR="00066C63" w:rsidRDefault="009656F6">
            <w:pPr>
              <w:jc w:val="right"/>
              <w:textAlignment w:val="bottom"/>
            </w:pPr>
            <w:r>
              <w:rPr>
                <w:rFonts w:ascii="sans-serif" w:eastAsia="sans-serif" w:hAnsi="sans-serif" w:cs="sans-serif"/>
                <w:b/>
                <w:bCs/>
                <w:color w:val="000000"/>
                <w:sz w:val="17"/>
                <w:szCs w:val="17"/>
              </w:rPr>
              <w:t>RETAINED EARNINGS (DEFICIT)</w:t>
            </w:r>
          </w:p>
        </w:tc>
        <w:tc>
          <w:tcPr>
            <w:tcW w:w="0" w:type="auto"/>
            <w:gridSpan w:val="3"/>
            <w:vMerge w:val="restart"/>
            <w:shd w:val="clear" w:color="auto" w:fill="auto"/>
            <w:tcMar>
              <w:top w:w="40" w:type="dxa"/>
              <w:left w:w="20" w:type="dxa"/>
              <w:bottom w:w="40" w:type="dxa"/>
              <w:right w:w="20" w:type="dxa"/>
            </w:tcMar>
            <w:vAlign w:val="bottom"/>
          </w:tcPr>
          <w:p w14:paraId="669C5F33" w14:textId="77777777" w:rsidR="00066C63" w:rsidRDefault="009656F6">
            <w:pPr>
              <w:jc w:val="right"/>
              <w:textAlignment w:val="bottom"/>
            </w:pPr>
            <w:r>
              <w:rPr>
                <w:rFonts w:ascii="sans-serif" w:eastAsia="sans-serif" w:hAnsi="sans-serif" w:cs="sans-serif"/>
                <w:b/>
                <w:bCs/>
                <w:color w:val="000000"/>
                <w:sz w:val="17"/>
                <w:szCs w:val="17"/>
              </w:rPr>
              <w:t>TOTAL</w:t>
            </w:r>
          </w:p>
        </w:tc>
      </w:tr>
      <w:tr w:rsidR="00066C63" w14:paraId="669C5F3D" w14:textId="77777777">
        <w:trPr>
          <w:trHeight w:val="240"/>
          <w:jc w:val="center"/>
        </w:trPr>
        <w:tc>
          <w:tcPr>
            <w:tcW w:w="0" w:type="auto"/>
            <w:gridSpan w:val="3"/>
            <w:shd w:val="clear" w:color="auto" w:fill="auto"/>
            <w:tcMar>
              <w:top w:w="0" w:type="dxa"/>
              <w:left w:w="20" w:type="dxa"/>
              <w:bottom w:w="0" w:type="dxa"/>
              <w:right w:w="20" w:type="dxa"/>
            </w:tcMar>
          </w:tcPr>
          <w:p w14:paraId="669C5F35" w14:textId="77777777" w:rsidR="00066C63" w:rsidRDefault="00066C63">
            <w:pPr>
              <w:rPr>
                <w:rFonts w:ascii="宋体"/>
              </w:rPr>
            </w:pPr>
          </w:p>
        </w:tc>
        <w:tc>
          <w:tcPr>
            <w:tcW w:w="0" w:type="auto"/>
            <w:gridSpan w:val="6"/>
            <w:tcBorders>
              <w:top w:val="single" w:sz="8" w:space="0" w:color="E87722"/>
            </w:tcBorders>
            <w:shd w:val="clear" w:color="auto" w:fill="auto"/>
            <w:tcMar>
              <w:top w:w="40" w:type="dxa"/>
              <w:left w:w="20" w:type="dxa"/>
              <w:bottom w:w="40" w:type="dxa"/>
              <w:right w:w="20" w:type="dxa"/>
            </w:tcMar>
            <w:vAlign w:val="bottom"/>
          </w:tcPr>
          <w:p w14:paraId="669C5F36" w14:textId="77777777" w:rsidR="00066C63" w:rsidRDefault="009656F6">
            <w:pPr>
              <w:jc w:val="center"/>
              <w:textAlignment w:val="bottom"/>
            </w:pPr>
            <w:r>
              <w:rPr>
                <w:rFonts w:ascii="sans-serif" w:eastAsia="sans-serif" w:hAnsi="sans-serif" w:cs="sans-serif"/>
                <w:b/>
                <w:bCs/>
                <w:color w:val="000000"/>
                <w:sz w:val="17"/>
                <w:szCs w:val="17"/>
              </w:rPr>
              <w:t>CLASS A</w:t>
            </w:r>
          </w:p>
        </w:tc>
        <w:tc>
          <w:tcPr>
            <w:tcW w:w="0" w:type="auto"/>
            <w:gridSpan w:val="3"/>
            <w:tcBorders>
              <w:top w:val="single" w:sz="8" w:space="0" w:color="E87722"/>
            </w:tcBorders>
            <w:shd w:val="clear" w:color="auto" w:fill="auto"/>
            <w:tcMar>
              <w:top w:w="0" w:type="dxa"/>
              <w:left w:w="20" w:type="dxa"/>
              <w:bottom w:w="0" w:type="dxa"/>
              <w:right w:w="20" w:type="dxa"/>
            </w:tcMar>
          </w:tcPr>
          <w:p w14:paraId="669C5F37" w14:textId="77777777" w:rsidR="00066C63" w:rsidRDefault="00066C63">
            <w:pPr>
              <w:rPr>
                <w:rFonts w:ascii="宋体"/>
              </w:rPr>
            </w:pPr>
          </w:p>
        </w:tc>
        <w:tc>
          <w:tcPr>
            <w:tcW w:w="0" w:type="auto"/>
            <w:gridSpan w:val="6"/>
            <w:tcBorders>
              <w:top w:val="single" w:sz="8" w:space="0" w:color="E87722"/>
            </w:tcBorders>
            <w:shd w:val="clear" w:color="auto" w:fill="auto"/>
            <w:tcMar>
              <w:top w:w="40" w:type="dxa"/>
              <w:left w:w="20" w:type="dxa"/>
              <w:bottom w:w="40" w:type="dxa"/>
              <w:right w:w="20" w:type="dxa"/>
            </w:tcMar>
            <w:vAlign w:val="bottom"/>
          </w:tcPr>
          <w:p w14:paraId="669C5F38" w14:textId="77777777" w:rsidR="00066C63" w:rsidRDefault="009656F6">
            <w:pPr>
              <w:jc w:val="center"/>
              <w:textAlignment w:val="bottom"/>
            </w:pPr>
            <w:r>
              <w:rPr>
                <w:rFonts w:ascii="sans-serif" w:eastAsia="sans-serif" w:hAnsi="sans-serif" w:cs="sans-serif"/>
                <w:b/>
                <w:bCs/>
                <w:color w:val="000000"/>
                <w:sz w:val="17"/>
                <w:szCs w:val="17"/>
              </w:rPr>
              <w:t>CLASS B</w:t>
            </w:r>
          </w:p>
        </w:tc>
        <w:tc>
          <w:tcPr>
            <w:tcW w:w="0" w:type="auto"/>
            <w:gridSpan w:val="3"/>
            <w:vMerge/>
            <w:shd w:val="clear" w:color="auto" w:fill="auto"/>
            <w:tcMar>
              <w:top w:w="40" w:type="dxa"/>
              <w:left w:w="20" w:type="dxa"/>
              <w:bottom w:w="40" w:type="dxa"/>
              <w:right w:w="20" w:type="dxa"/>
            </w:tcMar>
            <w:vAlign w:val="bottom"/>
          </w:tcPr>
          <w:p w14:paraId="669C5F39" w14:textId="77777777" w:rsidR="00066C63" w:rsidRDefault="00066C63">
            <w:pPr>
              <w:jc w:val="right"/>
              <w:rPr>
                <w:rFonts w:ascii="宋体"/>
              </w:rPr>
            </w:pPr>
          </w:p>
        </w:tc>
        <w:tc>
          <w:tcPr>
            <w:tcW w:w="0" w:type="auto"/>
            <w:gridSpan w:val="3"/>
            <w:vMerge/>
            <w:shd w:val="clear" w:color="auto" w:fill="auto"/>
            <w:tcMar>
              <w:top w:w="40" w:type="dxa"/>
              <w:left w:w="20" w:type="dxa"/>
              <w:bottom w:w="40" w:type="dxa"/>
              <w:right w:w="20" w:type="dxa"/>
            </w:tcMar>
            <w:vAlign w:val="bottom"/>
          </w:tcPr>
          <w:p w14:paraId="669C5F3A" w14:textId="77777777" w:rsidR="00066C63" w:rsidRDefault="00066C63">
            <w:pPr>
              <w:jc w:val="right"/>
              <w:rPr>
                <w:rFonts w:ascii="宋体"/>
              </w:rPr>
            </w:pPr>
          </w:p>
        </w:tc>
        <w:tc>
          <w:tcPr>
            <w:tcW w:w="0" w:type="auto"/>
            <w:gridSpan w:val="3"/>
            <w:vMerge/>
            <w:shd w:val="clear" w:color="auto" w:fill="auto"/>
            <w:tcMar>
              <w:top w:w="40" w:type="dxa"/>
              <w:left w:w="20" w:type="dxa"/>
              <w:bottom w:w="40" w:type="dxa"/>
              <w:right w:w="20" w:type="dxa"/>
            </w:tcMar>
            <w:vAlign w:val="bottom"/>
          </w:tcPr>
          <w:p w14:paraId="669C5F3B" w14:textId="77777777" w:rsidR="00066C63" w:rsidRDefault="00066C63">
            <w:pPr>
              <w:jc w:val="right"/>
              <w:rPr>
                <w:rFonts w:ascii="宋体"/>
              </w:rPr>
            </w:pPr>
          </w:p>
        </w:tc>
        <w:tc>
          <w:tcPr>
            <w:tcW w:w="0" w:type="auto"/>
            <w:gridSpan w:val="3"/>
            <w:vMerge/>
            <w:shd w:val="clear" w:color="auto" w:fill="auto"/>
            <w:tcMar>
              <w:top w:w="40" w:type="dxa"/>
              <w:left w:w="20" w:type="dxa"/>
              <w:bottom w:w="40" w:type="dxa"/>
              <w:right w:w="20" w:type="dxa"/>
            </w:tcMar>
            <w:vAlign w:val="bottom"/>
          </w:tcPr>
          <w:p w14:paraId="669C5F3C" w14:textId="77777777" w:rsidR="00066C63" w:rsidRDefault="00066C63">
            <w:pPr>
              <w:jc w:val="right"/>
              <w:rPr>
                <w:rFonts w:ascii="宋体"/>
              </w:rPr>
            </w:pPr>
          </w:p>
        </w:tc>
      </w:tr>
      <w:tr w:rsidR="00066C63" w14:paraId="669C5F48" w14:textId="77777777">
        <w:trPr>
          <w:trHeight w:val="240"/>
          <w:jc w:val="center"/>
        </w:trPr>
        <w:tc>
          <w:tcPr>
            <w:tcW w:w="0" w:type="auto"/>
            <w:gridSpan w:val="3"/>
            <w:shd w:val="clear" w:color="auto" w:fill="auto"/>
            <w:tcMar>
              <w:top w:w="40" w:type="dxa"/>
              <w:left w:w="20" w:type="dxa"/>
              <w:bottom w:w="40" w:type="dxa"/>
              <w:right w:w="20" w:type="dxa"/>
            </w:tcMar>
            <w:vAlign w:val="bottom"/>
          </w:tcPr>
          <w:p w14:paraId="669C5F3E" w14:textId="77777777" w:rsidR="00066C63" w:rsidRDefault="009656F6">
            <w:pPr>
              <w:textAlignment w:val="bottom"/>
            </w:pPr>
            <w:r>
              <w:rPr>
                <w:rFonts w:ascii="Arial Narrow" w:eastAsia="Arial Narrow" w:hAnsi="Arial Narrow" w:cs="Arial Narrow"/>
                <w:i/>
                <w:iCs/>
                <w:color w:val="000000"/>
                <w:sz w:val="17"/>
                <w:szCs w:val="17"/>
              </w:rPr>
              <w:t>(In millions, except per share data)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5F3F" w14:textId="77777777" w:rsidR="00066C63" w:rsidRDefault="009656F6">
            <w:pPr>
              <w:jc w:val="right"/>
              <w:textAlignment w:val="bottom"/>
            </w:pPr>
            <w:r>
              <w:rPr>
                <w:rFonts w:ascii="sans-serif" w:eastAsia="sans-serif" w:hAnsi="sans-serif" w:cs="sans-serif"/>
                <w:b/>
                <w:bCs/>
                <w:color w:val="000000"/>
                <w:sz w:val="17"/>
                <w:szCs w:val="17"/>
              </w:rPr>
              <w:t>SHARES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5F40" w14:textId="77777777" w:rsidR="00066C63" w:rsidRDefault="009656F6">
            <w:pPr>
              <w:jc w:val="right"/>
              <w:textAlignment w:val="bottom"/>
            </w:pPr>
            <w:r>
              <w:rPr>
                <w:rFonts w:ascii="sans-serif" w:eastAsia="sans-serif" w:hAnsi="sans-serif" w:cs="sans-serif"/>
                <w:b/>
                <w:bCs/>
                <w:color w:val="000000"/>
                <w:sz w:val="17"/>
                <w:szCs w:val="17"/>
              </w:rPr>
              <w:t>AMOUNT</w:t>
            </w:r>
          </w:p>
        </w:tc>
        <w:tc>
          <w:tcPr>
            <w:tcW w:w="0" w:type="auto"/>
            <w:gridSpan w:val="3"/>
            <w:shd w:val="clear" w:color="auto" w:fill="auto"/>
            <w:tcMar>
              <w:top w:w="0" w:type="dxa"/>
              <w:left w:w="20" w:type="dxa"/>
              <w:bottom w:w="0" w:type="dxa"/>
              <w:right w:w="20" w:type="dxa"/>
            </w:tcMar>
          </w:tcPr>
          <w:p w14:paraId="669C5F41" w14:textId="77777777" w:rsidR="00066C63" w:rsidRDefault="00066C63">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5F42" w14:textId="77777777" w:rsidR="00066C63" w:rsidRDefault="009656F6">
            <w:pPr>
              <w:jc w:val="right"/>
              <w:textAlignment w:val="bottom"/>
            </w:pPr>
            <w:r>
              <w:rPr>
                <w:rFonts w:ascii="sans-serif" w:eastAsia="sans-serif" w:hAnsi="sans-serif" w:cs="sans-serif"/>
                <w:b/>
                <w:bCs/>
                <w:color w:val="000000"/>
                <w:sz w:val="17"/>
                <w:szCs w:val="17"/>
              </w:rPr>
              <w:t>SHARES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5F43" w14:textId="77777777" w:rsidR="00066C63" w:rsidRDefault="009656F6">
            <w:pPr>
              <w:jc w:val="right"/>
              <w:textAlignment w:val="bottom"/>
            </w:pPr>
            <w:r>
              <w:rPr>
                <w:rFonts w:ascii="sans-serif" w:eastAsia="sans-serif" w:hAnsi="sans-serif" w:cs="sans-serif"/>
                <w:b/>
                <w:bCs/>
                <w:color w:val="000000"/>
                <w:sz w:val="17"/>
                <w:szCs w:val="17"/>
              </w:rPr>
              <w:t>AMOUNT</w:t>
            </w:r>
          </w:p>
        </w:tc>
        <w:tc>
          <w:tcPr>
            <w:tcW w:w="0" w:type="auto"/>
            <w:gridSpan w:val="3"/>
            <w:vMerge/>
            <w:shd w:val="clear" w:color="auto" w:fill="auto"/>
            <w:tcMar>
              <w:top w:w="40" w:type="dxa"/>
              <w:left w:w="20" w:type="dxa"/>
              <w:bottom w:w="40" w:type="dxa"/>
              <w:right w:w="20" w:type="dxa"/>
            </w:tcMar>
            <w:vAlign w:val="bottom"/>
          </w:tcPr>
          <w:p w14:paraId="669C5F44" w14:textId="77777777" w:rsidR="00066C63" w:rsidRDefault="00066C63">
            <w:pPr>
              <w:jc w:val="right"/>
              <w:rPr>
                <w:rFonts w:ascii="宋体"/>
              </w:rPr>
            </w:pPr>
          </w:p>
        </w:tc>
        <w:tc>
          <w:tcPr>
            <w:tcW w:w="0" w:type="auto"/>
            <w:gridSpan w:val="3"/>
            <w:vMerge/>
            <w:shd w:val="clear" w:color="auto" w:fill="auto"/>
            <w:tcMar>
              <w:top w:w="40" w:type="dxa"/>
              <w:left w:w="20" w:type="dxa"/>
              <w:bottom w:w="40" w:type="dxa"/>
              <w:right w:w="20" w:type="dxa"/>
            </w:tcMar>
            <w:vAlign w:val="bottom"/>
          </w:tcPr>
          <w:p w14:paraId="669C5F45" w14:textId="77777777" w:rsidR="00066C63" w:rsidRDefault="00066C63">
            <w:pPr>
              <w:jc w:val="right"/>
              <w:rPr>
                <w:rFonts w:ascii="宋体"/>
              </w:rPr>
            </w:pPr>
          </w:p>
        </w:tc>
        <w:tc>
          <w:tcPr>
            <w:tcW w:w="0" w:type="auto"/>
            <w:gridSpan w:val="3"/>
            <w:vMerge/>
            <w:shd w:val="clear" w:color="auto" w:fill="auto"/>
            <w:tcMar>
              <w:top w:w="40" w:type="dxa"/>
              <w:left w:w="20" w:type="dxa"/>
              <w:bottom w:w="40" w:type="dxa"/>
              <w:right w:w="20" w:type="dxa"/>
            </w:tcMar>
            <w:vAlign w:val="bottom"/>
          </w:tcPr>
          <w:p w14:paraId="669C5F46" w14:textId="77777777" w:rsidR="00066C63" w:rsidRDefault="00066C63">
            <w:pPr>
              <w:jc w:val="right"/>
              <w:rPr>
                <w:rFonts w:ascii="宋体"/>
              </w:rPr>
            </w:pPr>
          </w:p>
        </w:tc>
        <w:tc>
          <w:tcPr>
            <w:tcW w:w="0" w:type="auto"/>
            <w:gridSpan w:val="3"/>
            <w:vMerge/>
            <w:shd w:val="clear" w:color="auto" w:fill="auto"/>
            <w:tcMar>
              <w:top w:w="40" w:type="dxa"/>
              <w:left w:w="20" w:type="dxa"/>
              <w:bottom w:w="40" w:type="dxa"/>
              <w:right w:w="20" w:type="dxa"/>
            </w:tcMar>
            <w:vAlign w:val="bottom"/>
          </w:tcPr>
          <w:p w14:paraId="669C5F47" w14:textId="77777777" w:rsidR="00066C63" w:rsidRDefault="00066C63">
            <w:pPr>
              <w:jc w:val="right"/>
              <w:rPr>
                <w:rFonts w:ascii="宋体"/>
              </w:rPr>
            </w:pPr>
          </w:p>
        </w:tc>
      </w:tr>
      <w:tr w:rsidR="00066C63" w14:paraId="669C5F61"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5F49" w14:textId="77777777" w:rsidR="00066C63" w:rsidRDefault="009656F6">
            <w:pPr>
              <w:textAlignment w:val="bottom"/>
            </w:pPr>
            <w:r>
              <w:rPr>
                <w:rFonts w:ascii="Arial" w:eastAsia="宋体" w:hAnsi="Arial" w:cs="Arial"/>
                <w:b/>
                <w:bCs/>
                <w:color w:val="000000"/>
                <w:sz w:val="17"/>
                <w:szCs w:val="17"/>
              </w:rPr>
              <w:t>Balance at May 31, 2020</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5F4A" w14:textId="77777777" w:rsidR="00066C63" w:rsidRDefault="009656F6">
            <w:pPr>
              <w:jc w:val="right"/>
              <w:textAlignment w:val="bottom"/>
            </w:pPr>
            <w:r>
              <w:rPr>
                <w:rFonts w:ascii="Arial" w:eastAsia="宋体" w:hAnsi="Arial" w:cs="Arial"/>
                <w:b/>
                <w:bCs/>
                <w:color w:val="000000"/>
                <w:sz w:val="17"/>
                <w:szCs w:val="17"/>
              </w:rPr>
              <w:t>315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5F4B" w14:textId="77777777" w:rsidR="00066C63" w:rsidRDefault="00066C63">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69C5F4C"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69C5F4D" w14:textId="77777777" w:rsidR="00066C63" w:rsidRDefault="009656F6">
            <w:pPr>
              <w:jc w:val="right"/>
              <w:textAlignment w:val="bottom"/>
            </w:pPr>
            <w:r>
              <w:rPr>
                <w:rFonts w:ascii="Arial" w:eastAsia="宋体" w:hAnsi="Arial" w:cs="Arial"/>
                <w:b/>
                <w:bCs/>
                <w:color w:val="000000"/>
                <w:sz w:val="17"/>
                <w:szCs w:val="17"/>
              </w:rPr>
              <w:t>—</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5F4E" w14:textId="77777777" w:rsidR="00066C63" w:rsidRDefault="00066C63">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5F4F" w14:textId="77777777" w:rsidR="00066C63" w:rsidRDefault="00066C63">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5F50" w14:textId="77777777" w:rsidR="00066C63" w:rsidRDefault="009656F6">
            <w:pPr>
              <w:jc w:val="right"/>
              <w:textAlignment w:val="bottom"/>
            </w:pPr>
            <w:r>
              <w:rPr>
                <w:rFonts w:ascii="Arial" w:eastAsia="宋体" w:hAnsi="Arial" w:cs="Arial"/>
                <w:b/>
                <w:bCs/>
                <w:color w:val="000000"/>
                <w:sz w:val="17"/>
                <w:szCs w:val="17"/>
              </w:rPr>
              <w:t>1,243</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5F51" w14:textId="77777777" w:rsidR="00066C63" w:rsidRDefault="00066C63">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69C5F52"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69C5F53" w14:textId="77777777" w:rsidR="00066C63" w:rsidRDefault="009656F6">
            <w:pPr>
              <w:jc w:val="right"/>
              <w:textAlignment w:val="bottom"/>
            </w:pPr>
            <w:r>
              <w:rPr>
                <w:rFonts w:ascii="Arial" w:eastAsia="宋体" w:hAnsi="Arial" w:cs="Arial"/>
                <w:b/>
                <w:bCs/>
                <w:color w:val="000000"/>
                <w:sz w:val="17"/>
                <w:szCs w:val="17"/>
              </w:rPr>
              <w:t>3</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5F54" w14:textId="77777777" w:rsidR="00066C63" w:rsidRDefault="00066C63">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69C5F55"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69C5F56" w14:textId="77777777" w:rsidR="00066C63" w:rsidRDefault="009656F6">
            <w:pPr>
              <w:jc w:val="right"/>
              <w:textAlignment w:val="bottom"/>
            </w:pPr>
            <w:r>
              <w:rPr>
                <w:rFonts w:ascii="Arial" w:eastAsia="宋体" w:hAnsi="Arial" w:cs="Arial"/>
                <w:b/>
                <w:bCs/>
                <w:color w:val="000000"/>
                <w:sz w:val="17"/>
                <w:szCs w:val="17"/>
              </w:rPr>
              <w:t>8,299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5F57" w14:textId="77777777" w:rsidR="00066C63" w:rsidRDefault="00066C63">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69C5F58"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69C5F59" w14:textId="77777777" w:rsidR="00066C63" w:rsidRDefault="009656F6">
            <w:pPr>
              <w:jc w:val="right"/>
              <w:textAlignment w:val="bottom"/>
            </w:pPr>
            <w:r>
              <w:rPr>
                <w:rFonts w:ascii="Arial" w:eastAsia="宋体" w:hAnsi="Arial" w:cs="Arial"/>
                <w:b/>
                <w:bCs/>
                <w:color w:val="000000"/>
                <w:sz w:val="17"/>
                <w:szCs w:val="17"/>
              </w:rPr>
              <w:t>(56)</w:t>
            </w:r>
          </w:p>
        </w:tc>
        <w:tc>
          <w:tcPr>
            <w:tcW w:w="0" w:type="auto"/>
            <w:tcBorders>
              <w:top w:val="single" w:sz="8" w:space="0" w:color="E87722"/>
            </w:tcBorders>
            <w:shd w:val="clear" w:color="auto" w:fill="auto"/>
            <w:tcMar>
              <w:top w:w="40" w:type="dxa"/>
              <w:left w:w="0" w:type="dxa"/>
              <w:bottom w:w="40" w:type="dxa"/>
              <w:right w:w="20" w:type="dxa"/>
            </w:tcMar>
            <w:vAlign w:val="bottom"/>
          </w:tcPr>
          <w:p w14:paraId="669C5F5A" w14:textId="77777777" w:rsidR="00066C63" w:rsidRDefault="00066C63">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69C5F5B"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69C5F5C" w14:textId="77777777" w:rsidR="00066C63" w:rsidRDefault="009656F6">
            <w:pPr>
              <w:jc w:val="right"/>
              <w:textAlignment w:val="bottom"/>
            </w:pPr>
            <w:r>
              <w:rPr>
                <w:rFonts w:ascii="Arial" w:eastAsia="宋体" w:hAnsi="Arial" w:cs="Arial"/>
                <w:b/>
                <w:bCs/>
                <w:color w:val="000000"/>
                <w:sz w:val="17"/>
                <w:szCs w:val="17"/>
              </w:rPr>
              <w:t>(191)</w:t>
            </w:r>
          </w:p>
        </w:tc>
        <w:tc>
          <w:tcPr>
            <w:tcW w:w="0" w:type="auto"/>
            <w:tcBorders>
              <w:top w:val="single" w:sz="8" w:space="0" w:color="E87722"/>
            </w:tcBorders>
            <w:shd w:val="clear" w:color="auto" w:fill="auto"/>
            <w:tcMar>
              <w:top w:w="40" w:type="dxa"/>
              <w:left w:w="0" w:type="dxa"/>
              <w:bottom w:w="40" w:type="dxa"/>
              <w:right w:w="20" w:type="dxa"/>
            </w:tcMar>
            <w:vAlign w:val="bottom"/>
          </w:tcPr>
          <w:p w14:paraId="669C5F5D" w14:textId="77777777" w:rsidR="00066C63" w:rsidRDefault="00066C63">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69C5F5E"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69C5F5F" w14:textId="77777777" w:rsidR="00066C63" w:rsidRDefault="009656F6">
            <w:pPr>
              <w:jc w:val="right"/>
              <w:textAlignment w:val="bottom"/>
            </w:pPr>
            <w:r>
              <w:rPr>
                <w:rFonts w:ascii="Arial" w:eastAsia="宋体" w:hAnsi="Arial" w:cs="Arial"/>
                <w:b/>
                <w:bCs/>
                <w:color w:val="000000"/>
                <w:sz w:val="17"/>
                <w:szCs w:val="17"/>
              </w:rPr>
              <w:t>8,055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5F60" w14:textId="77777777" w:rsidR="00066C63" w:rsidRDefault="00066C63">
            <w:pPr>
              <w:jc w:val="right"/>
              <w:rPr>
                <w:rFonts w:ascii="宋体"/>
              </w:rPr>
            </w:pPr>
          </w:p>
        </w:tc>
      </w:tr>
      <w:tr w:rsidR="00066C63" w14:paraId="669C5F6F"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5F62" w14:textId="77777777" w:rsidR="00066C63" w:rsidRDefault="009656F6">
            <w:pPr>
              <w:textAlignment w:val="bottom"/>
            </w:pPr>
            <w:r>
              <w:rPr>
                <w:rFonts w:ascii="Arial" w:eastAsia="宋体" w:hAnsi="Arial" w:cs="Arial"/>
                <w:color w:val="000000"/>
                <w:sz w:val="17"/>
                <w:szCs w:val="17"/>
              </w:rPr>
              <w:t>Stock options exercised</w:t>
            </w:r>
          </w:p>
        </w:tc>
        <w:tc>
          <w:tcPr>
            <w:tcW w:w="0" w:type="auto"/>
            <w:gridSpan w:val="3"/>
            <w:tcBorders>
              <w:top w:val="single" w:sz="8" w:space="0" w:color="E87722"/>
            </w:tcBorders>
            <w:shd w:val="clear" w:color="auto" w:fill="FFF1E7"/>
            <w:tcMar>
              <w:top w:w="0" w:type="dxa"/>
              <w:left w:w="20" w:type="dxa"/>
              <w:bottom w:w="0" w:type="dxa"/>
              <w:right w:w="20" w:type="dxa"/>
            </w:tcMar>
          </w:tcPr>
          <w:p w14:paraId="669C5F63" w14:textId="77777777" w:rsidR="00066C63" w:rsidRDefault="00066C63">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669C5F64" w14:textId="77777777" w:rsidR="00066C63" w:rsidRDefault="00066C63">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669C5F65" w14:textId="77777777" w:rsidR="00066C63" w:rsidRDefault="00066C63">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669C5F66" w14:textId="77777777" w:rsidR="00066C63" w:rsidRDefault="009656F6">
            <w:pPr>
              <w:jc w:val="right"/>
              <w:textAlignment w:val="bottom"/>
            </w:pPr>
            <w:r>
              <w:rPr>
                <w:rFonts w:ascii="Arial" w:eastAsia="宋体" w:hAnsi="Arial" w:cs="Arial"/>
                <w:color w:val="000000"/>
                <w:sz w:val="17"/>
                <w:szCs w:val="17"/>
              </w:rPr>
              <w:t>19 </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5F67" w14:textId="77777777" w:rsidR="00066C63" w:rsidRDefault="00066C63">
            <w:pPr>
              <w:jc w:val="right"/>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669C5F68" w14:textId="77777777" w:rsidR="00066C63" w:rsidRDefault="00066C63">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669C5F69" w14:textId="77777777" w:rsidR="00066C63" w:rsidRDefault="009656F6">
            <w:pPr>
              <w:jc w:val="right"/>
              <w:textAlignment w:val="bottom"/>
            </w:pPr>
            <w:r>
              <w:rPr>
                <w:rFonts w:ascii="Arial" w:eastAsia="宋体" w:hAnsi="Arial" w:cs="Arial"/>
                <w:color w:val="000000"/>
                <w:sz w:val="17"/>
                <w:szCs w:val="17"/>
              </w:rPr>
              <w:t>844 </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5F6A" w14:textId="77777777" w:rsidR="00066C63" w:rsidRDefault="00066C63">
            <w:pPr>
              <w:jc w:val="right"/>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669C5F6B" w14:textId="77777777" w:rsidR="00066C63" w:rsidRDefault="00066C63">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669C5F6C" w14:textId="77777777" w:rsidR="00066C63" w:rsidRDefault="00066C63">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669C5F6D" w14:textId="77777777" w:rsidR="00066C63" w:rsidRDefault="009656F6">
            <w:pPr>
              <w:jc w:val="right"/>
              <w:textAlignment w:val="bottom"/>
            </w:pPr>
            <w:r>
              <w:rPr>
                <w:rFonts w:ascii="Arial" w:eastAsia="宋体" w:hAnsi="Arial" w:cs="Arial"/>
                <w:color w:val="000000"/>
                <w:sz w:val="17"/>
                <w:szCs w:val="17"/>
              </w:rPr>
              <w:t>844 </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5F6E" w14:textId="77777777" w:rsidR="00066C63" w:rsidRDefault="00066C63">
            <w:pPr>
              <w:jc w:val="right"/>
              <w:rPr>
                <w:rFonts w:ascii="宋体"/>
              </w:rPr>
            </w:pPr>
          </w:p>
        </w:tc>
      </w:tr>
      <w:tr w:rsidR="00066C63" w14:paraId="669C5F7D" w14:textId="77777777">
        <w:trPr>
          <w:jc w:val="center"/>
        </w:trPr>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5F70" w14:textId="77777777" w:rsidR="00066C63" w:rsidRDefault="009656F6">
            <w:pPr>
              <w:textAlignment w:val="bottom"/>
            </w:pPr>
            <w:r>
              <w:rPr>
                <w:rFonts w:ascii="Arial" w:eastAsia="宋体" w:hAnsi="Arial" w:cs="Arial"/>
                <w:color w:val="000000"/>
                <w:sz w:val="17"/>
                <w:szCs w:val="17"/>
              </w:rPr>
              <w:t>Conversion to Class B Common Stock</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5F71" w14:textId="77777777" w:rsidR="00066C63" w:rsidRDefault="009656F6">
            <w:pPr>
              <w:jc w:val="right"/>
              <w:textAlignment w:val="bottom"/>
            </w:pPr>
            <w:r>
              <w:rPr>
                <w:rFonts w:ascii="Arial" w:eastAsia="宋体" w:hAnsi="Arial" w:cs="Arial"/>
                <w:color w:val="000000"/>
                <w:sz w:val="17"/>
                <w:szCs w:val="17"/>
              </w:rPr>
              <w:t>(10)</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5F72" w14:textId="77777777" w:rsidR="00066C63" w:rsidRDefault="00066C63">
            <w:pPr>
              <w:jc w:val="right"/>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669C5F73" w14:textId="77777777" w:rsidR="00066C63" w:rsidRDefault="00066C63">
            <w:pPr>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669C5F74" w14:textId="77777777" w:rsidR="00066C63" w:rsidRDefault="00066C63">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5F75" w14:textId="77777777" w:rsidR="00066C63" w:rsidRDefault="009656F6">
            <w:pPr>
              <w:jc w:val="right"/>
              <w:textAlignment w:val="bottom"/>
            </w:pPr>
            <w:r>
              <w:rPr>
                <w:rFonts w:ascii="Arial" w:eastAsia="宋体" w:hAnsi="Arial" w:cs="Arial"/>
                <w:color w:val="000000"/>
                <w:sz w:val="17"/>
                <w:szCs w:val="17"/>
              </w:rPr>
              <w:t>10 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5F76" w14:textId="77777777" w:rsidR="00066C63" w:rsidRDefault="00066C63">
            <w:pPr>
              <w:jc w:val="right"/>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669C5F77" w14:textId="77777777" w:rsidR="00066C63" w:rsidRDefault="00066C63">
            <w:pPr>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669C5F78" w14:textId="77777777" w:rsidR="00066C63" w:rsidRDefault="00066C63">
            <w:pPr>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669C5F79" w14:textId="77777777" w:rsidR="00066C63" w:rsidRDefault="00066C63">
            <w:pPr>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669C5F7A" w14:textId="77777777" w:rsidR="00066C63" w:rsidRDefault="00066C63">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5F7B" w14:textId="77777777" w:rsidR="00066C63" w:rsidRDefault="009656F6">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5F7C" w14:textId="77777777" w:rsidR="00066C63" w:rsidRDefault="00066C63">
            <w:pPr>
              <w:jc w:val="right"/>
              <w:rPr>
                <w:rFonts w:ascii="宋体"/>
              </w:rPr>
            </w:pPr>
          </w:p>
        </w:tc>
      </w:tr>
      <w:tr w:rsidR="00066C63" w14:paraId="669C5F8A" w14:textId="77777777">
        <w:trPr>
          <w:jc w:val="center"/>
        </w:trPr>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5F7E" w14:textId="77777777" w:rsidR="00066C63" w:rsidRDefault="009656F6">
            <w:pPr>
              <w:textAlignment w:val="bottom"/>
            </w:pPr>
            <w:r>
              <w:rPr>
                <w:rFonts w:ascii="Arial" w:eastAsia="宋体" w:hAnsi="Arial" w:cs="Arial"/>
                <w:color w:val="000000"/>
                <w:sz w:val="17"/>
                <w:szCs w:val="17"/>
              </w:rPr>
              <w:t>Dividends on common stock ($0.795 per share) and preferred stock ($0.10 per share)</w:t>
            </w:r>
          </w:p>
        </w:tc>
        <w:tc>
          <w:tcPr>
            <w:tcW w:w="0" w:type="auto"/>
            <w:gridSpan w:val="3"/>
            <w:tcBorders>
              <w:top w:val="single" w:sz="8" w:space="0" w:color="808080"/>
            </w:tcBorders>
            <w:shd w:val="clear" w:color="auto" w:fill="FFF1E7"/>
            <w:tcMar>
              <w:top w:w="0" w:type="dxa"/>
              <w:left w:w="20" w:type="dxa"/>
              <w:bottom w:w="0" w:type="dxa"/>
              <w:right w:w="20" w:type="dxa"/>
            </w:tcMar>
          </w:tcPr>
          <w:p w14:paraId="669C5F7F" w14:textId="77777777" w:rsidR="00066C63" w:rsidRDefault="00066C63">
            <w:pPr>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669C5F80" w14:textId="77777777" w:rsidR="00066C63" w:rsidRDefault="00066C63">
            <w:pPr>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669C5F81" w14:textId="77777777" w:rsidR="00066C63" w:rsidRDefault="00066C63">
            <w:pPr>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669C5F82" w14:textId="77777777" w:rsidR="00066C63" w:rsidRDefault="00066C63">
            <w:pPr>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669C5F83" w14:textId="77777777" w:rsidR="00066C63" w:rsidRDefault="00066C63">
            <w:pPr>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669C5F84" w14:textId="77777777" w:rsidR="00066C63" w:rsidRDefault="00066C63">
            <w:pPr>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669C5F85" w14:textId="77777777" w:rsidR="00066C63" w:rsidRDefault="00066C63">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5F86" w14:textId="77777777" w:rsidR="00066C63" w:rsidRDefault="009656F6">
            <w:pPr>
              <w:jc w:val="right"/>
              <w:textAlignment w:val="bottom"/>
            </w:pPr>
            <w:r>
              <w:rPr>
                <w:rFonts w:ascii="Arial" w:eastAsia="宋体" w:hAnsi="Arial" w:cs="Arial"/>
                <w:color w:val="000000"/>
                <w:sz w:val="17"/>
                <w:szCs w:val="17"/>
              </w:rPr>
              <w:t>(1,256)</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5F87" w14:textId="77777777" w:rsidR="00066C63" w:rsidRDefault="00066C63">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5F88" w14:textId="77777777" w:rsidR="00066C63" w:rsidRDefault="009656F6">
            <w:pPr>
              <w:jc w:val="right"/>
              <w:textAlignment w:val="bottom"/>
            </w:pPr>
            <w:r>
              <w:rPr>
                <w:rFonts w:ascii="Arial" w:eastAsia="宋体" w:hAnsi="Arial" w:cs="Arial"/>
                <w:color w:val="000000"/>
                <w:sz w:val="17"/>
                <w:szCs w:val="17"/>
              </w:rPr>
              <w:t>(1,256)</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5F89" w14:textId="77777777" w:rsidR="00066C63" w:rsidRDefault="00066C63">
            <w:pPr>
              <w:jc w:val="right"/>
              <w:rPr>
                <w:rFonts w:ascii="宋体"/>
              </w:rPr>
            </w:pPr>
          </w:p>
        </w:tc>
      </w:tr>
      <w:tr w:rsidR="00066C63" w14:paraId="669C5F99" w14:textId="77777777">
        <w:trPr>
          <w:jc w:val="center"/>
        </w:trPr>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5F8B" w14:textId="77777777" w:rsidR="00066C63" w:rsidRDefault="009656F6">
            <w:pPr>
              <w:textAlignment w:val="bottom"/>
            </w:pPr>
            <w:r>
              <w:rPr>
                <w:rFonts w:ascii="Arial" w:eastAsia="宋体" w:hAnsi="Arial" w:cs="Arial"/>
                <w:color w:val="000000"/>
                <w:sz w:val="17"/>
                <w:szCs w:val="17"/>
              </w:rPr>
              <w:t>Issuance of shares to employees, net of shares withheld for employee taxes</w:t>
            </w:r>
          </w:p>
        </w:tc>
        <w:tc>
          <w:tcPr>
            <w:tcW w:w="0" w:type="auto"/>
            <w:gridSpan w:val="3"/>
            <w:tcBorders>
              <w:top w:val="single" w:sz="8" w:space="0" w:color="808080"/>
            </w:tcBorders>
            <w:shd w:val="clear" w:color="auto" w:fill="FFF1E7"/>
            <w:tcMar>
              <w:top w:w="0" w:type="dxa"/>
              <w:left w:w="20" w:type="dxa"/>
              <w:bottom w:w="0" w:type="dxa"/>
              <w:right w:w="20" w:type="dxa"/>
            </w:tcMar>
          </w:tcPr>
          <w:p w14:paraId="669C5F8C" w14:textId="77777777" w:rsidR="00066C63" w:rsidRDefault="00066C63">
            <w:pPr>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669C5F8D" w14:textId="77777777" w:rsidR="00066C63" w:rsidRDefault="00066C63">
            <w:pPr>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669C5F8E" w14:textId="77777777" w:rsidR="00066C63" w:rsidRDefault="00066C63">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5F8F" w14:textId="77777777" w:rsidR="00066C63" w:rsidRDefault="009656F6">
            <w:pPr>
              <w:jc w:val="right"/>
              <w:textAlignment w:val="bottom"/>
            </w:pPr>
            <w:r>
              <w:rPr>
                <w:rFonts w:ascii="Arial" w:eastAsia="宋体" w:hAnsi="Arial" w:cs="Arial"/>
                <w:color w:val="000000"/>
                <w:sz w:val="17"/>
                <w:szCs w:val="17"/>
              </w:rPr>
              <w:t>2 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5F90" w14:textId="77777777" w:rsidR="00066C63" w:rsidRDefault="00066C63">
            <w:pPr>
              <w:jc w:val="right"/>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669C5F91" w14:textId="77777777" w:rsidR="00066C63" w:rsidRDefault="00066C63">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5F92" w14:textId="77777777" w:rsidR="00066C63" w:rsidRDefault="009656F6">
            <w:pPr>
              <w:jc w:val="right"/>
              <w:textAlignment w:val="bottom"/>
            </w:pPr>
            <w:r>
              <w:rPr>
                <w:rFonts w:ascii="Arial" w:eastAsia="宋体" w:hAnsi="Arial" w:cs="Arial"/>
                <w:color w:val="000000"/>
                <w:sz w:val="17"/>
                <w:szCs w:val="17"/>
              </w:rPr>
              <w:t>35 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5F93" w14:textId="77777777" w:rsidR="00066C63" w:rsidRDefault="00066C63">
            <w:pPr>
              <w:jc w:val="right"/>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669C5F94" w14:textId="77777777" w:rsidR="00066C63" w:rsidRDefault="00066C63">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5F95" w14:textId="77777777" w:rsidR="00066C63" w:rsidRDefault="009656F6">
            <w:pPr>
              <w:jc w:val="right"/>
              <w:textAlignment w:val="bottom"/>
            </w:pPr>
            <w:r>
              <w:rPr>
                <w:rFonts w:ascii="Arial" w:eastAsia="宋体" w:hAnsi="Arial" w:cs="Arial"/>
                <w:color w:val="000000"/>
                <w:sz w:val="17"/>
                <w:szCs w:val="17"/>
              </w:rPr>
              <w:t>(42)</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5F96" w14:textId="77777777" w:rsidR="00066C63" w:rsidRDefault="00066C63">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5F97" w14:textId="77777777" w:rsidR="00066C63" w:rsidRDefault="009656F6">
            <w:pPr>
              <w:jc w:val="right"/>
              <w:textAlignment w:val="bottom"/>
            </w:pPr>
            <w:r>
              <w:rPr>
                <w:rFonts w:ascii="Arial" w:eastAsia="宋体" w:hAnsi="Arial" w:cs="Arial"/>
                <w:color w:val="000000"/>
                <w:sz w:val="17"/>
                <w:szCs w:val="17"/>
              </w:rPr>
              <w:t>(7)</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5F98" w14:textId="77777777" w:rsidR="00066C63" w:rsidRDefault="00066C63">
            <w:pPr>
              <w:jc w:val="right"/>
              <w:rPr>
                <w:rFonts w:ascii="宋体"/>
              </w:rPr>
            </w:pPr>
          </w:p>
        </w:tc>
      </w:tr>
      <w:tr w:rsidR="00066C63" w14:paraId="669C5FA6" w14:textId="77777777">
        <w:trPr>
          <w:jc w:val="center"/>
        </w:trPr>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5F9A" w14:textId="77777777" w:rsidR="00066C63" w:rsidRDefault="009656F6">
            <w:pPr>
              <w:textAlignment w:val="bottom"/>
            </w:pPr>
            <w:r>
              <w:rPr>
                <w:rFonts w:ascii="Arial" w:eastAsia="宋体" w:hAnsi="Arial" w:cs="Arial"/>
                <w:color w:val="000000"/>
                <w:sz w:val="17"/>
                <w:szCs w:val="17"/>
              </w:rPr>
              <w:t>Stock-based compensation</w:t>
            </w:r>
          </w:p>
        </w:tc>
        <w:tc>
          <w:tcPr>
            <w:tcW w:w="0" w:type="auto"/>
            <w:gridSpan w:val="3"/>
            <w:tcBorders>
              <w:top w:val="single" w:sz="8" w:space="0" w:color="808080"/>
            </w:tcBorders>
            <w:shd w:val="clear" w:color="auto" w:fill="FFF1E7"/>
            <w:tcMar>
              <w:top w:w="0" w:type="dxa"/>
              <w:left w:w="20" w:type="dxa"/>
              <w:bottom w:w="0" w:type="dxa"/>
              <w:right w:w="20" w:type="dxa"/>
            </w:tcMar>
          </w:tcPr>
          <w:p w14:paraId="669C5F9B" w14:textId="77777777" w:rsidR="00066C63" w:rsidRDefault="00066C63">
            <w:pPr>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669C5F9C" w14:textId="77777777" w:rsidR="00066C63" w:rsidRDefault="00066C63">
            <w:pPr>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669C5F9D" w14:textId="77777777" w:rsidR="00066C63" w:rsidRDefault="00066C63">
            <w:pPr>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669C5F9E" w14:textId="77777777" w:rsidR="00066C63" w:rsidRDefault="00066C63">
            <w:pPr>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669C5F9F" w14:textId="77777777" w:rsidR="00066C63" w:rsidRDefault="00066C63">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5FA0" w14:textId="77777777" w:rsidR="00066C63" w:rsidRDefault="009656F6">
            <w:pPr>
              <w:jc w:val="right"/>
              <w:textAlignment w:val="bottom"/>
            </w:pPr>
            <w:r>
              <w:rPr>
                <w:rFonts w:ascii="Arial" w:eastAsia="宋体" w:hAnsi="Arial" w:cs="Arial"/>
                <w:color w:val="000000"/>
                <w:sz w:val="17"/>
                <w:szCs w:val="17"/>
              </w:rPr>
              <w:t>467 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5FA1" w14:textId="77777777" w:rsidR="00066C63" w:rsidRDefault="00066C63">
            <w:pPr>
              <w:jc w:val="right"/>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669C5FA2" w14:textId="77777777" w:rsidR="00066C63" w:rsidRDefault="00066C63">
            <w:pPr>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669C5FA3" w14:textId="77777777" w:rsidR="00066C63" w:rsidRDefault="00066C63">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5FA4" w14:textId="77777777" w:rsidR="00066C63" w:rsidRDefault="009656F6">
            <w:pPr>
              <w:jc w:val="right"/>
              <w:textAlignment w:val="bottom"/>
            </w:pPr>
            <w:r>
              <w:rPr>
                <w:rFonts w:ascii="Arial" w:eastAsia="宋体" w:hAnsi="Arial" w:cs="Arial"/>
                <w:color w:val="000000"/>
                <w:sz w:val="17"/>
                <w:szCs w:val="17"/>
              </w:rPr>
              <w:t>467 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5FA5" w14:textId="77777777" w:rsidR="00066C63" w:rsidRDefault="00066C63">
            <w:pPr>
              <w:jc w:val="right"/>
              <w:rPr>
                <w:rFonts w:ascii="宋体"/>
              </w:rPr>
            </w:pPr>
          </w:p>
        </w:tc>
      </w:tr>
      <w:tr w:rsidR="00066C63" w14:paraId="669C5FB3" w14:textId="77777777">
        <w:trPr>
          <w:jc w:val="center"/>
        </w:trPr>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5FA7" w14:textId="77777777" w:rsidR="00066C63" w:rsidRDefault="009656F6">
            <w:pPr>
              <w:textAlignment w:val="bottom"/>
            </w:pPr>
            <w:r>
              <w:rPr>
                <w:rFonts w:ascii="Arial" w:eastAsia="宋体" w:hAnsi="Arial" w:cs="Arial"/>
                <w:color w:val="000000"/>
                <w:sz w:val="17"/>
                <w:szCs w:val="17"/>
              </w:rPr>
              <w:t>Net income</w:t>
            </w:r>
          </w:p>
        </w:tc>
        <w:tc>
          <w:tcPr>
            <w:tcW w:w="0" w:type="auto"/>
            <w:gridSpan w:val="3"/>
            <w:tcBorders>
              <w:top w:val="single" w:sz="8" w:space="0" w:color="808080"/>
            </w:tcBorders>
            <w:shd w:val="clear" w:color="auto" w:fill="FFF1E7"/>
            <w:tcMar>
              <w:top w:w="0" w:type="dxa"/>
              <w:left w:w="20" w:type="dxa"/>
              <w:bottom w:w="0" w:type="dxa"/>
              <w:right w:w="20" w:type="dxa"/>
            </w:tcMar>
          </w:tcPr>
          <w:p w14:paraId="669C5FA8" w14:textId="77777777" w:rsidR="00066C63" w:rsidRDefault="00066C63">
            <w:pPr>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669C5FA9" w14:textId="77777777" w:rsidR="00066C63" w:rsidRDefault="00066C63">
            <w:pPr>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669C5FAA" w14:textId="77777777" w:rsidR="00066C63" w:rsidRDefault="00066C63">
            <w:pPr>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669C5FAB" w14:textId="77777777" w:rsidR="00066C63" w:rsidRDefault="00066C63">
            <w:pPr>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669C5FAC" w14:textId="77777777" w:rsidR="00066C63" w:rsidRDefault="00066C63">
            <w:pPr>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669C5FAD" w14:textId="77777777" w:rsidR="00066C63" w:rsidRDefault="00066C63">
            <w:pPr>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669C5FAE" w14:textId="77777777" w:rsidR="00066C63" w:rsidRDefault="00066C63">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5FAF" w14:textId="77777777" w:rsidR="00066C63" w:rsidRDefault="009656F6">
            <w:pPr>
              <w:jc w:val="right"/>
              <w:textAlignment w:val="bottom"/>
            </w:pPr>
            <w:r>
              <w:rPr>
                <w:rFonts w:ascii="Arial" w:eastAsia="宋体" w:hAnsi="Arial" w:cs="Arial"/>
                <w:color w:val="000000"/>
                <w:sz w:val="17"/>
                <w:szCs w:val="17"/>
              </w:rPr>
              <w:t>4,218 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5FB0" w14:textId="77777777" w:rsidR="00066C63" w:rsidRDefault="00066C63">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5FB1" w14:textId="77777777" w:rsidR="00066C63" w:rsidRDefault="009656F6">
            <w:pPr>
              <w:jc w:val="right"/>
              <w:textAlignment w:val="bottom"/>
            </w:pPr>
            <w:r>
              <w:rPr>
                <w:rFonts w:ascii="Arial" w:eastAsia="宋体" w:hAnsi="Arial" w:cs="Arial"/>
                <w:color w:val="000000"/>
                <w:sz w:val="17"/>
                <w:szCs w:val="17"/>
              </w:rPr>
              <w:t>4,218 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5FB2" w14:textId="77777777" w:rsidR="00066C63" w:rsidRDefault="00066C63">
            <w:pPr>
              <w:jc w:val="right"/>
              <w:rPr>
                <w:rFonts w:ascii="宋体"/>
              </w:rPr>
            </w:pPr>
          </w:p>
        </w:tc>
      </w:tr>
      <w:tr w:rsidR="00066C63" w14:paraId="669C5FC0" w14:textId="77777777">
        <w:trPr>
          <w:jc w:val="center"/>
        </w:trPr>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5FB4" w14:textId="77777777" w:rsidR="00066C63" w:rsidRDefault="009656F6">
            <w:pPr>
              <w:textAlignment w:val="bottom"/>
            </w:pPr>
            <w:r>
              <w:rPr>
                <w:rFonts w:ascii="Arial" w:eastAsia="宋体" w:hAnsi="Arial" w:cs="Arial"/>
                <w:color w:val="000000"/>
                <w:sz w:val="17"/>
                <w:szCs w:val="17"/>
              </w:rPr>
              <w:t>Other comprehensive income (loss)</w:t>
            </w:r>
          </w:p>
        </w:tc>
        <w:tc>
          <w:tcPr>
            <w:tcW w:w="0" w:type="auto"/>
            <w:gridSpan w:val="3"/>
            <w:tcBorders>
              <w:top w:val="single" w:sz="8" w:space="0" w:color="808080"/>
            </w:tcBorders>
            <w:shd w:val="clear" w:color="auto" w:fill="FFF1E7"/>
            <w:tcMar>
              <w:top w:w="0" w:type="dxa"/>
              <w:left w:w="20" w:type="dxa"/>
              <w:bottom w:w="0" w:type="dxa"/>
              <w:right w:w="20" w:type="dxa"/>
            </w:tcMar>
          </w:tcPr>
          <w:p w14:paraId="669C5FB5" w14:textId="77777777" w:rsidR="00066C63" w:rsidRDefault="00066C63">
            <w:pPr>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669C5FB6" w14:textId="77777777" w:rsidR="00066C63" w:rsidRDefault="00066C63">
            <w:pPr>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669C5FB7" w14:textId="77777777" w:rsidR="00066C63" w:rsidRDefault="00066C63">
            <w:pPr>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669C5FB8" w14:textId="77777777" w:rsidR="00066C63" w:rsidRDefault="00066C63">
            <w:pPr>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669C5FB9" w14:textId="77777777" w:rsidR="00066C63" w:rsidRDefault="00066C63">
            <w:pPr>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669C5FBA" w14:textId="77777777" w:rsidR="00066C63" w:rsidRDefault="00066C63">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5FBB" w14:textId="77777777" w:rsidR="00066C63" w:rsidRDefault="009656F6">
            <w:pPr>
              <w:jc w:val="right"/>
              <w:textAlignment w:val="bottom"/>
            </w:pPr>
            <w:r>
              <w:rPr>
                <w:rFonts w:ascii="Arial" w:eastAsia="宋体" w:hAnsi="Arial" w:cs="Arial"/>
                <w:color w:val="000000"/>
                <w:sz w:val="17"/>
                <w:szCs w:val="17"/>
              </w:rPr>
              <w:t>(390)</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5FBC" w14:textId="77777777" w:rsidR="00066C63" w:rsidRDefault="00066C63">
            <w:pPr>
              <w:jc w:val="right"/>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669C5FBD" w14:textId="77777777" w:rsidR="00066C63" w:rsidRDefault="00066C63">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5FBE" w14:textId="77777777" w:rsidR="00066C63" w:rsidRDefault="009656F6">
            <w:pPr>
              <w:jc w:val="right"/>
              <w:textAlignment w:val="bottom"/>
            </w:pPr>
            <w:r>
              <w:rPr>
                <w:rFonts w:ascii="Arial" w:eastAsia="宋体" w:hAnsi="Arial" w:cs="Arial"/>
                <w:color w:val="000000"/>
                <w:sz w:val="17"/>
                <w:szCs w:val="17"/>
              </w:rPr>
              <w:t>(390)</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5FBF" w14:textId="77777777" w:rsidR="00066C63" w:rsidRDefault="00066C63">
            <w:pPr>
              <w:jc w:val="right"/>
              <w:rPr>
                <w:rFonts w:ascii="宋体"/>
              </w:rPr>
            </w:pPr>
          </w:p>
        </w:tc>
      </w:tr>
      <w:tr w:rsidR="00066C63" w14:paraId="669C5FD9" w14:textId="77777777">
        <w:trPr>
          <w:jc w:val="center"/>
        </w:trPr>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669C5FC1" w14:textId="77777777" w:rsidR="00066C63" w:rsidRDefault="009656F6">
            <w:pPr>
              <w:textAlignment w:val="bottom"/>
            </w:pPr>
            <w:r>
              <w:rPr>
                <w:rFonts w:ascii="Arial" w:eastAsia="宋体" w:hAnsi="Arial" w:cs="Arial"/>
                <w:b/>
                <w:bCs/>
                <w:color w:val="000000"/>
                <w:sz w:val="17"/>
                <w:szCs w:val="17"/>
              </w:rPr>
              <w:t>Balance at February 28, 2021</w:t>
            </w:r>
          </w:p>
        </w:tc>
        <w:tc>
          <w:tcPr>
            <w:tcW w:w="0" w:type="auto"/>
            <w:gridSpan w:val="2"/>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69C5FC2" w14:textId="77777777" w:rsidR="00066C63" w:rsidRDefault="009656F6">
            <w:pPr>
              <w:jc w:val="right"/>
              <w:textAlignment w:val="bottom"/>
            </w:pPr>
            <w:r>
              <w:rPr>
                <w:rFonts w:ascii="Arial" w:eastAsia="宋体" w:hAnsi="Arial" w:cs="Arial"/>
                <w:b/>
                <w:bCs/>
                <w:color w:val="000000"/>
                <w:sz w:val="17"/>
                <w:szCs w:val="17"/>
              </w:rPr>
              <w:t>305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69C5FC3" w14:textId="77777777" w:rsidR="00066C63" w:rsidRDefault="00066C63">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69C5FC4"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669C5FC5" w14:textId="77777777" w:rsidR="00066C63" w:rsidRDefault="009656F6">
            <w:pPr>
              <w:jc w:val="right"/>
              <w:textAlignment w:val="bottom"/>
            </w:pPr>
            <w:r>
              <w:rPr>
                <w:rFonts w:ascii="Arial" w:eastAsia="宋体" w:hAnsi="Arial" w:cs="Arial"/>
                <w:b/>
                <w:bCs/>
                <w:color w:val="000000"/>
                <w:sz w:val="17"/>
                <w:szCs w:val="17"/>
              </w:rPr>
              <w:t>—</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69C5FC6" w14:textId="77777777" w:rsidR="00066C63" w:rsidRDefault="00066C63">
            <w:pPr>
              <w:jc w:val="right"/>
              <w:rPr>
                <w:rFonts w:ascii="宋体"/>
              </w:rPr>
            </w:pPr>
          </w:p>
        </w:tc>
        <w:tc>
          <w:tcPr>
            <w:tcW w:w="0" w:type="auto"/>
            <w:gridSpan w:val="3"/>
            <w:tcBorders>
              <w:top w:val="single" w:sz="8" w:space="0" w:color="E87722"/>
              <w:bottom w:val="single" w:sz="8" w:space="0" w:color="E87722"/>
            </w:tcBorders>
            <w:shd w:val="clear" w:color="auto" w:fill="FFF1E7"/>
            <w:tcMar>
              <w:top w:w="0" w:type="dxa"/>
              <w:left w:w="20" w:type="dxa"/>
              <w:bottom w:w="0" w:type="dxa"/>
              <w:right w:w="20" w:type="dxa"/>
            </w:tcMar>
          </w:tcPr>
          <w:p w14:paraId="669C5FC7" w14:textId="77777777" w:rsidR="00066C63" w:rsidRDefault="00066C63">
            <w:pPr>
              <w:rPr>
                <w:rFonts w:ascii="宋体"/>
              </w:rPr>
            </w:pPr>
          </w:p>
        </w:tc>
        <w:tc>
          <w:tcPr>
            <w:tcW w:w="0" w:type="auto"/>
            <w:gridSpan w:val="2"/>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69C5FC8" w14:textId="77777777" w:rsidR="00066C63" w:rsidRDefault="009656F6">
            <w:pPr>
              <w:jc w:val="right"/>
              <w:textAlignment w:val="bottom"/>
            </w:pPr>
            <w:r>
              <w:rPr>
                <w:rFonts w:ascii="Arial" w:eastAsia="宋体" w:hAnsi="Arial" w:cs="Arial"/>
                <w:b/>
                <w:bCs/>
                <w:color w:val="000000"/>
                <w:sz w:val="17"/>
                <w:szCs w:val="17"/>
              </w:rPr>
              <w:t>1,274</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69C5FC9" w14:textId="77777777" w:rsidR="00066C63" w:rsidRDefault="00066C63">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69C5FCA"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669C5FCB" w14:textId="77777777" w:rsidR="00066C63" w:rsidRDefault="009656F6">
            <w:pPr>
              <w:jc w:val="right"/>
              <w:textAlignment w:val="bottom"/>
            </w:pPr>
            <w:r>
              <w:rPr>
                <w:rFonts w:ascii="Arial" w:eastAsia="宋体" w:hAnsi="Arial" w:cs="Arial"/>
                <w:b/>
                <w:bCs/>
                <w:color w:val="000000"/>
                <w:sz w:val="17"/>
                <w:szCs w:val="17"/>
              </w:rPr>
              <w:t>3</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69C5FCC" w14:textId="77777777" w:rsidR="00066C63" w:rsidRDefault="00066C63">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69C5FCD"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669C5FCE" w14:textId="77777777" w:rsidR="00066C63" w:rsidRDefault="009656F6">
            <w:pPr>
              <w:jc w:val="right"/>
              <w:textAlignment w:val="bottom"/>
            </w:pPr>
            <w:r>
              <w:rPr>
                <w:rFonts w:ascii="Arial" w:eastAsia="宋体" w:hAnsi="Arial" w:cs="Arial"/>
                <w:b/>
                <w:bCs/>
                <w:color w:val="000000"/>
                <w:sz w:val="17"/>
                <w:szCs w:val="17"/>
              </w:rPr>
              <w:t>9,645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69C5FCF" w14:textId="77777777" w:rsidR="00066C63" w:rsidRDefault="00066C63">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69C5FD0"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669C5FD1" w14:textId="77777777" w:rsidR="00066C63" w:rsidRDefault="009656F6">
            <w:pPr>
              <w:jc w:val="right"/>
              <w:textAlignment w:val="bottom"/>
            </w:pPr>
            <w:r>
              <w:rPr>
                <w:rFonts w:ascii="Arial" w:eastAsia="宋体" w:hAnsi="Arial" w:cs="Arial"/>
                <w:b/>
                <w:bCs/>
                <w:color w:val="000000"/>
                <w:sz w:val="17"/>
                <w:szCs w:val="17"/>
              </w:rPr>
              <w:t>(446)</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69C5FD2" w14:textId="77777777" w:rsidR="00066C63" w:rsidRDefault="00066C63">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69C5FD3"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669C5FD4" w14:textId="77777777" w:rsidR="00066C63" w:rsidRDefault="009656F6">
            <w:pPr>
              <w:jc w:val="right"/>
              <w:textAlignment w:val="bottom"/>
            </w:pPr>
            <w:r>
              <w:rPr>
                <w:rFonts w:ascii="Arial" w:eastAsia="宋体" w:hAnsi="Arial" w:cs="Arial"/>
                <w:b/>
                <w:bCs/>
                <w:color w:val="000000"/>
                <w:sz w:val="17"/>
                <w:szCs w:val="17"/>
              </w:rPr>
              <w:t>2,729</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69C5FD5" w14:textId="77777777" w:rsidR="00066C63" w:rsidRDefault="00066C63">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69C5FD6"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669C5FD7" w14:textId="77777777" w:rsidR="00066C63" w:rsidRDefault="009656F6">
            <w:pPr>
              <w:jc w:val="right"/>
              <w:textAlignment w:val="bottom"/>
            </w:pPr>
            <w:r>
              <w:rPr>
                <w:rFonts w:ascii="Arial" w:eastAsia="宋体" w:hAnsi="Arial" w:cs="Arial"/>
                <w:b/>
                <w:bCs/>
                <w:color w:val="000000"/>
                <w:sz w:val="17"/>
                <w:szCs w:val="17"/>
              </w:rPr>
              <w:t>11,931</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69C5FD8" w14:textId="77777777" w:rsidR="00066C63" w:rsidRDefault="00066C63">
            <w:pPr>
              <w:jc w:val="right"/>
              <w:rPr>
                <w:rFonts w:ascii="宋体"/>
              </w:rPr>
            </w:pPr>
          </w:p>
        </w:tc>
      </w:tr>
    </w:tbl>
    <w:p w14:paraId="669C5FDA" w14:textId="77777777" w:rsidR="00066C63" w:rsidRDefault="00066C63">
      <w:pPr>
        <w:spacing w:before="120" w:after="120"/>
        <w:jc w:val="center"/>
      </w:pPr>
    </w:p>
    <w:tbl>
      <w:tblPr>
        <w:tblW w:w="4992" w:type="pct"/>
        <w:tblCellMar>
          <w:top w:w="15" w:type="dxa"/>
          <w:left w:w="15" w:type="dxa"/>
          <w:bottom w:w="15" w:type="dxa"/>
          <w:right w:w="15" w:type="dxa"/>
        </w:tblCellMar>
        <w:tblLook w:val="04A0" w:firstRow="1" w:lastRow="0" w:firstColumn="1" w:lastColumn="0" w:noHBand="0" w:noVBand="1"/>
      </w:tblPr>
      <w:tblGrid>
        <w:gridCol w:w="42"/>
        <w:gridCol w:w="1727"/>
        <w:gridCol w:w="41"/>
        <w:gridCol w:w="87"/>
        <w:gridCol w:w="495"/>
        <w:gridCol w:w="36"/>
        <w:gridCol w:w="116"/>
        <w:gridCol w:w="616"/>
        <w:gridCol w:w="36"/>
        <w:gridCol w:w="36"/>
        <w:gridCol w:w="36"/>
        <w:gridCol w:w="36"/>
        <w:gridCol w:w="87"/>
        <w:gridCol w:w="495"/>
        <w:gridCol w:w="37"/>
        <w:gridCol w:w="117"/>
        <w:gridCol w:w="610"/>
        <w:gridCol w:w="37"/>
        <w:gridCol w:w="116"/>
        <w:gridCol w:w="712"/>
        <w:gridCol w:w="36"/>
        <w:gridCol w:w="116"/>
        <w:gridCol w:w="1165"/>
        <w:gridCol w:w="36"/>
        <w:gridCol w:w="116"/>
        <w:gridCol w:w="679"/>
        <w:gridCol w:w="36"/>
        <w:gridCol w:w="115"/>
        <w:gridCol w:w="473"/>
        <w:gridCol w:w="36"/>
      </w:tblGrid>
      <w:tr w:rsidR="00066C63" w14:paraId="669C5FF9" w14:textId="77777777">
        <w:tc>
          <w:tcPr>
            <w:tcW w:w="50" w:type="pct"/>
            <w:shd w:val="clear" w:color="auto" w:fill="auto"/>
          </w:tcPr>
          <w:p w14:paraId="669C5FDB" w14:textId="77777777" w:rsidR="00066C63" w:rsidRDefault="00066C63">
            <w:pPr>
              <w:rPr>
                <w:rFonts w:ascii="宋体"/>
              </w:rPr>
            </w:pPr>
          </w:p>
        </w:tc>
        <w:tc>
          <w:tcPr>
            <w:tcW w:w="1560" w:type="pct"/>
            <w:shd w:val="clear" w:color="auto" w:fill="auto"/>
          </w:tcPr>
          <w:p w14:paraId="669C5FDC" w14:textId="77777777" w:rsidR="00066C63" w:rsidRDefault="00066C63">
            <w:pPr>
              <w:rPr>
                <w:rFonts w:ascii="宋体"/>
              </w:rPr>
            </w:pPr>
          </w:p>
        </w:tc>
        <w:tc>
          <w:tcPr>
            <w:tcW w:w="5" w:type="pct"/>
            <w:shd w:val="clear" w:color="auto" w:fill="auto"/>
          </w:tcPr>
          <w:p w14:paraId="669C5FDD" w14:textId="77777777" w:rsidR="00066C63" w:rsidRDefault="00066C63">
            <w:pPr>
              <w:rPr>
                <w:rFonts w:ascii="宋体"/>
              </w:rPr>
            </w:pPr>
          </w:p>
        </w:tc>
        <w:tc>
          <w:tcPr>
            <w:tcW w:w="50" w:type="pct"/>
            <w:shd w:val="clear" w:color="auto" w:fill="auto"/>
          </w:tcPr>
          <w:p w14:paraId="669C5FDE" w14:textId="77777777" w:rsidR="00066C63" w:rsidRDefault="00066C63">
            <w:pPr>
              <w:rPr>
                <w:rFonts w:ascii="宋体"/>
              </w:rPr>
            </w:pPr>
          </w:p>
        </w:tc>
        <w:tc>
          <w:tcPr>
            <w:tcW w:w="285" w:type="pct"/>
            <w:shd w:val="clear" w:color="auto" w:fill="auto"/>
          </w:tcPr>
          <w:p w14:paraId="669C5FDF" w14:textId="77777777" w:rsidR="00066C63" w:rsidRDefault="00066C63">
            <w:pPr>
              <w:rPr>
                <w:rFonts w:ascii="宋体"/>
              </w:rPr>
            </w:pPr>
          </w:p>
        </w:tc>
        <w:tc>
          <w:tcPr>
            <w:tcW w:w="5" w:type="pct"/>
            <w:shd w:val="clear" w:color="auto" w:fill="auto"/>
          </w:tcPr>
          <w:p w14:paraId="669C5FE0" w14:textId="77777777" w:rsidR="00066C63" w:rsidRDefault="00066C63">
            <w:pPr>
              <w:rPr>
                <w:rFonts w:ascii="宋体"/>
              </w:rPr>
            </w:pPr>
          </w:p>
        </w:tc>
        <w:tc>
          <w:tcPr>
            <w:tcW w:w="50" w:type="pct"/>
            <w:shd w:val="clear" w:color="auto" w:fill="auto"/>
          </w:tcPr>
          <w:p w14:paraId="669C5FE1" w14:textId="77777777" w:rsidR="00066C63" w:rsidRDefault="00066C63">
            <w:pPr>
              <w:rPr>
                <w:rFonts w:ascii="宋体"/>
              </w:rPr>
            </w:pPr>
          </w:p>
        </w:tc>
        <w:tc>
          <w:tcPr>
            <w:tcW w:w="346" w:type="pct"/>
            <w:shd w:val="clear" w:color="auto" w:fill="auto"/>
          </w:tcPr>
          <w:p w14:paraId="669C5FE2" w14:textId="77777777" w:rsidR="00066C63" w:rsidRDefault="00066C63">
            <w:pPr>
              <w:rPr>
                <w:rFonts w:ascii="宋体"/>
              </w:rPr>
            </w:pPr>
          </w:p>
        </w:tc>
        <w:tc>
          <w:tcPr>
            <w:tcW w:w="5" w:type="pct"/>
            <w:shd w:val="clear" w:color="auto" w:fill="auto"/>
          </w:tcPr>
          <w:p w14:paraId="669C5FE3" w14:textId="77777777" w:rsidR="00066C63" w:rsidRDefault="00066C63">
            <w:pPr>
              <w:rPr>
                <w:rFonts w:ascii="宋体"/>
              </w:rPr>
            </w:pPr>
          </w:p>
        </w:tc>
        <w:tc>
          <w:tcPr>
            <w:tcW w:w="5" w:type="pct"/>
            <w:shd w:val="clear" w:color="auto" w:fill="auto"/>
          </w:tcPr>
          <w:p w14:paraId="669C5FE4" w14:textId="77777777" w:rsidR="00066C63" w:rsidRDefault="00066C63">
            <w:pPr>
              <w:rPr>
                <w:rFonts w:ascii="宋体"/>
              </w:rPr>
            </w:pPr>
          </w:p>
        </w:tc>
        <w:tc>
          <w:tcPr>
            <w:tcW w:w="28" w:type="pct"/>
            <w:shd w:val="clear" w:color="auto" w:fill="auto"/>
          </w:tcPr>
          <w:p w14:paraId="669C5FE5" w14:textId="77777777" w:rsidR="00066C63" w:rsidRDefault="00066C63">
            <w:pPr>
              <w:rPr>
                <w:rFonts w:ascii="宋体"/>
              </w:rPr>
            </w:pPr>
          </w:p>
        </w:tc>
        <w:tc>
          <w:tcPr>
            <w:tcW w:w="5" w:type="pct"/>
            <w:shd w:val="clear" w:color="auto" w:fill="auto"/>
          </w:tcPr>
          <w:p w14:paraId="669C5FE6" w14:textId="77777777" w:rsidR="00066C63" w:rsidRDefault="00066C63">
            <w:pPr>
              <w:rPr>
                <w:rFonts w:ascii="宋体"/>
              </w:rPr>
            </w:pPr>
          </w:p>
        </w:tc>
        <w:tc>
          <w:tcPr>
            <w:tcW w:w="50" w:type="pct"/>
            <w:shd w:val="clear" w:color="auto" w:fill="auto"/>
          </w:tcPr>
          <w:p w14:paraId="669C5FE7" w14:textId="77777777" w:rsidR="00066C63" w:rsidRDefault="00066C63">
            <w:pPr>
              <w:rPr>
                <w:rFonts w:ascii="宋体"/>
              </w:rPr>
            </w:pPr>
          </w:p>
        </w:tc>
        <w:tc>
          <w:tcPr>
            <w:tcW w:w="285" w:type="pct"/>
            <w:shd w:val="clear" w:color="auto" w:fill="auto"/>
          </w:tcPr>
          <w:p w14:paraId="669C5FE8" w14:textId="77777777" w:rsidR="00066C63" w:rsidRDefault="00066C63">
            <w:pPr>
              <w:rPr>
                <w:rFonts w:ascii="宋体"/>
              </w:rPr>
            </w:pPr>
          </w:p>
        </w:tc>
        <w:tc>
          <w:tcPr>
            <w:tcW w:w="5" w:type="pct"/>
            <w:shd w:val="clear" w:color="auto" w:fill="auto"/>
          </w:tcPr>
          <w:p w14:paraId="669C5FE9" w14:textId="77777777" w:rsidR="00066C63" w:rsidRDefault="00066C63">
            <w:pPr>
              <w:rPr>
                <w:rFonts w:ascii="宋体"/>
              </w:rPr>
            </w:pPr>
          </w:p>
        </w:tc>
        <w:tc>
          <w:tcPr>
            <w:tcW w:w="50" w:type="pct"/>
            <w:shd w:val="clear" w:color="auto" w:fill="auto"/>
          </w:tcPr>
          <w:p w14:paraId="669C5FEA" w14:textId="77777777" w:rsidR="00066C63" w:rsidRDefault="00066C63">
            <w:pPr>
              <w:rPr>
                <w:rFonts w:ascii="宋体"/>
              </w:rPr>
            </w:pPr>
          </w:p>
        </w:tc>
        <w:tc>
          <w:tcPr>
            <w:tcW w:w="323" w:type="pct"/>
            <w:shd w:val="clear" w:color="auto" w:fill="auto"/>
          </w:tcPr>
          <w:p w14:paraId="669C5FEB" w14:textId="77777777" w:rsidR="00066C63" w:rsidRDefault="00066C63">
            <w:pPr>
              <w:rPr>
                <w:rFonts w:ascii="宋体"/>
              </w:rPr>
            </w:pPr>
          </w:p>
        </w:tc>
        <w:tc>
          <w:tcPr>
            <w:tcW w:w="5" w:type="pct"/>
            <w:shd w:val="clear" w:color="auto" w:fill="auto"/>
          </w:tcPr>
          <w:p w14:paraId="669C5FEC" w14:textId="77777777" w:rsidR="00066C63" w:rsidRDefault="00066C63">
            <w:pPr>
              <w:rPr>
                <w:rFonts w:ascii="宋体"/>
              </w:rPr>
            </w:pPr>
          </w:p>
        </w:tc>
        <w:tc>
          <w:tcPr>
            <w:tcW w:w="50" w:type="pct"/>
            <w:shd w:val="clear" w:color="auto" w:fill="auto"/>
          </w:tcPr>
          <w:p w14:paraId="669C5FED" w14:textId="77777777" w:rsidR="00066C63" w:rsidRDefault="00066C63">
            <w:pPr>
              <w:rPr>
                <w:rFonts w:ascii="宋体"/>
              </w:rPr>
            </w:pPr>
          </w:p>
        </w:tc>
        <w:tc>
          <w:tcPr>
            <w:tcW w:w="385" w:type="pct"/>
            <w:shd w:val="clear" w:color="auto" w:fill="auto"/>
          </w:tcPr>
          <w:p w14:paraId="669C5FEE" w14:textId="77777777" w:rsidR="00066C63" w:rsidRDefault="00066C63">
            <w:pPr>
              <w:rPr>
                <w:rFonts w:ascii="宋体"/>
              </w:rPr>
            </w:pPr>
          </w:p>
        </w:tc>
        <w:tc>
          <w:tcPr>
            <w:tcW w:w="5" w:type="pct"/>
            <w:shd w:val="clear" w:color="auto" w:fill="auto"/>
          </w:tcPr>
          <w:p w14:paraId="669C5FEF" w14:textId="77777777" w:rsidR="00066C63" w:rsidRDefault="00066C63">
            <w:pPr>
              <w:rPr>
                <w:rFonts w:ascii="宋体"/>
              </w:rPr>
            </w:pPr>
          </w:p>
        </w:tc>
        <w:tc>
          <w:tcPr>
            <w:tcW w:w="50" w:type="pct"/>
            <w:shd w:val="clear" w:color="auto" w:fill="auto"/>
          </w:tcPr>
          <w:p w14:paraId="669C5FF0" w14:textId="77777777" w:rsidR="00066C63" w:rsidRDefault="00066C63">
            <w:pPr>
              <w:rPr>
                <w:rFonts w:ascii="宋体"/>
              </w:rPr>
            </w:pPr>
          </w:p>
        </w:tc>
        <w:tc>
          <w:tcPr>
            <w:tcW w:w="586" w:type="pct"/>
            <w:shd w:val="clear" w:color="auto" w:fill="auto"/>
          </w:tcPr>
          <w:p w14:paraId="669C5FF1" w14:textId="77777777" w:rsidR="00066C63" w:rsidRDefault="00066C63">
            <w:pPr>
              <w:rPr>
                <w:rFonts w:ascii="宋体"/>
              </w:rPr>
            </w:pPr>
          </w:p>
        </w:tc>
        <w:tc>
          <w:tcPr>
            <w:tcW w:w="5" w:type="pct"/>
            <w:shd w:val="clear" w:color="auto" w:fill="auto"/>
          </w:tcPr>
          <w:p w14:paraId="669C5FF2" w14:textId="77777777" w:rsidR="00066C63" w:rsidRDefault="00066C63">
            <w:pPr>
              <w:rPr>
                <w:rFonts w:ascii="宋体"/>
              </w:rPr>
            </w:pPr>
          </w:p>
        </w:tc>
        <w:tc>
          <w:tcPr>
            <w:tcW w:w="50" w:type="pct"/>
            <w:shd w:val="clear" w:color="auto" w:fill="auto"/>
          </w:tcPr>
          <w:p w14:paraId="669C5FF3" w14:textId="77777777" w:rsidR="00066C63" w:rsidRDefault="00066C63">
            <w:pPr>
              <w:rPr>
                <w:rFonts w:ascii="宋体"/>
              </w:rPr>
            </w:pPr>
          </w:p>
        </w:tc>
        <w:tc>
          <w:tcPr>
            <w:tcW w:w="370" w:type="pct"/>
            <w:shd w:val="clear" w:color="auto" w:fill="auto"/>
          </w:tcPr>
          <w:p w14:paraId="669C5FF4" w14:textId="77777777" w:rsidR="00066C63" w:rsidRDefault="00066C63">
            <w:pPr>
              <w:rPr>
                <w:rFonts w:ascii="宋体"/>
              </w:rPr>
            </w:pPr>
          </w:p>
        </w:tc>
        <w:tc>
          <w:tcPr>
            <w:tcW w:w="5" w:type="pct"/>
            <w:shd w:val="clear" w:color="auto" w:fill="auto"/>
          </w:tcPr>
          <w:p w14:paraId="669C5FF5" w14:textId="77777777" w:rsidR="00066C63" w:rsidRDefault="00066C63">
            <w:pPr>
              <w:rPr>
                <w:rFonts w:ascii="宋体"/>
              </w:rPr>
            </w:pPr>
          </w:p>
        </w:tc>
        <w:tc>
          <w:tcPr>
            <w:tcW w:w="50" w:type="pct"/>
            <w:shd w:val="clear" w:color="auto" w:fill="auto"/>
          </w:tcPr>
          <w:p w14:paraId="669C5FF6" w14:textId="77777777" w:rsidR="00066C63" w:rsidRDefault="00066C63">
            <w:pPr>
              <w:rPr>
                <w:rFonts w:ascii="宋体"/>
              </w:rPr>
            </w:pPr>
          </w:p>
        </w:tc>
        <w:tc>
          <w:tcPr>
            <w:tcW w:w="323" w:type="pct"/>
            <w:shd w:val="clear" w:color="auto" w:fill="auto"/>
          </w:tcPr>
          <w:p w14:paraId="669C5FF7" w14:textId="77777777" w:rsidR="00066C63" w:rsidRDefault="00066C63">
            <w:pPr>
              <w:rPr>
                <w:rFonts w:ascii="宋体"/>
              </w:rPr>
            </w:pPr>
          </w:p>
        </w:tc>
        <w:tc>
          <w:tcPr>
            <w:tcW w:w="5" w:type="pct"/>
            <w:shd w:val="clear" w:color="auto" w:fill="auto"/>
          </w:tcPr>
          <w:p w14:paraId="669C5FF8" w14:textId="77777777" w:rsidR="00066C63" w:rsidRDefault="00066C63">
            <w:pPr>
              <w:rPr>
                <w:rFonts w:ascii="宋体"/>
              </w:rPr>
            </w:pPr>
          </w:p>
        </w:tc>
      </w:tr>
      <w:tr w:rsidR="00066C63" w14:paraId="669C6000" w14:textId="77777777">
        <w:trPr>
          <w:trHeight w:val="240"/>
        </w:trPr>
        <w:tc>
          <w:tcPr>
            <w:tcW w:w="0" w:type="auto"/>
            <w:gridSpan w:val="3"/>
            <w:shd w:val="clear" w:color="auto" w:fill="auto"/>
            <w:tcMar>
              <w:top w:w="0" w:type="dxa"/>
              <w:left w:w="20" w:type="dxa"/>
              <w:bottom w:w="0" w:type="dxa"/>
              <w:right w:w="20" w:type="dxa"/>
            </w:tcMar>
          </w:tcPr>
          <w:p w14:paraId="669C5FFA" w14:textId="77777777" w:rsidR="00066C63" w:rsidRDefault="00066C63">
            <w:pPr>
              <w:rPr>
                <w:rFonts w:ascii="宋体"/>
              </w:rPr>
            </w:pPr>
          </w:p>
        </w:tc>
        <w:tc>
          <w:tcPr>
            <w:tcW w:w="0" w:type="auto"/>
            <w:gridSpan w:val="15"/>
            <w:tcBorders>
              <w:bottom w:val="single" w:sz="8" w:space="0" w:color="E87722"/>
            </w:tcBorders>
            <w:shd w:val="clear" w:color="auto" w:fill="auto"/>
            <w:tcMar>
              <w:top w:w="40" w:type="dxa"/>
              <w:left w:w="20" w:type="dxa"/>
              <w:bottom w:w="40" w:type="dxa"/>
              <w:right w:w="20" w:type="dxa"/>
            </w:tcMar>
            <w:vAlign w:val="bottom"/>
          </w:tcPr>
          <w:p w14:paraId="669C5FFB" w14:textId="77777777" w:rsidR="00066C63" w:rsidRDefault="009656F6">
            <w:pPr>
              <w:jc w:val="center"/>
              <w:textAlignment w:val="bottom"/>
            </w:pPr>
            <w:r>
              <w:rPr>
                <w:rFonts w:ascii="sans-serif" w:eastAsia="sans-serif" w:hAnsi="sans-serif" w:cs="sans-serif"/>
                <w:b/>
                <w:bCs/>
                <w:color w:val="000000"/>
                <w:sz w:val="17"/>
                <w:szCs w:val="17"/>
              </w:rPr>
              <w:t>COMMON STOCK</w:t>
            </w:r>
          </w:p>
        </w:tc>
        <w:tc>
          <w:tcPr>
            <w:tcW w:w="0" w:type="auto"/>
            <w:gridSpan w:val="3"/>
            <w:vMerge w:val="restart"/>
            <w:tcBorders>
              <w:bottom w:val="single" w:sz="8" w:space="0" w:color="E87722"/>
            </w:tcBorders>
            <w:shd w:val="clear" w:color="auto" w:fill="auto"/>
            <w:tcMar>
              <w:top w:w="40" w:type="dxa"/>
              <w:left w:w="20" w:type="dxa"/>
              <w:bottom w:w="40" w:type="dxa"/>
              <w:right w:w="20" w:type="dxa"/>
            </w:tcMar>
            <w:vAlign w:val="bottom"/>
          </w:tcPr>
          <w:p w14:paraId="669C5FFC" w14:textId="77777777" w:rsidR="00066C63" w:rsidRDefault="009656F6">
            <w:pPr>
              <w:jc w:val="right"/>
              <w:textAlignment w:val="bottom"/>
            </w:pPr>
            <w:r>
              <w:rPr>
                <w:rFonts w:ascii="sans-serif" w:eastAsia="sans-serif" w:hAnsi="sans-serif" w:cs="sans-serif"/>
                <w:b/>
                <w:bCs/>
                <w:color w:val="000000"/>
                <w:sz w:val="17"/>
                <w:szCs w:val="17"/>
              </w:rPr>
              <w:t>CAPITAL IN EXCESS OF STATED VALUE</w:t>
            </w:r>
          </w:p>
        </w:tc>
        <w:tc>
          <w:tcPr>
            <w:tcW w:w="0" w:type="auto"/>
            <w:gridSpan w:val="3"/>
            <w:vMerge w:val="restart"/>
            <w:tcBorders>
              <w:bottom w:val="single" w:sz="8" w:space="0" w:color="E87722"/>
            </w:tcBorders>
            <w:shd w:val="clear" w:color="auto" w:fill="auto"/>
            <w:tcMar>
              <w:top w:w="40" w:type="dxa"/>
              <w:left w:w="20" w:type="dxa"/>
              <w:bottom w:w="40" w:type="dxa"/>
              <w:right w:w="20" w:type="dxa"/>
            </w:tcMar>
            <w:vAlign w:val="bottom"/>
          </w:tcPr>
          <w:p w14:paraId="669C5FFD" w14:textId="77777777" w:rsidR="00066C63" w:rsidRDefault="009656F6">
            <w:pPr>
              <w:jc w:val="right"/>
              <w:textAlignment w:val="bottom"/>
            </w:pPr>
            <w:r>
              <w:rPr>
                <w:rFonts w:ascii="sans-serif" w:eastAsia="sans-serif" w:hAnsi="sans-serif" w:cs="sans-serif"/>
                <w:b/>
                <w:bCs/>
                <w:color w:val="000000"/>
                <w:sz w:val="17"/>
                <w:szCs w:val="17"/>
              </w:rPr>
              <w:t>ACCUMULATED OTHER COMPREHENSIVE INCOME (LOSS)</w:t>
            </w:r>
          </w:p>
        </w:tc>
        <w:tc>
          <w:tcPr>
            <w:tcW w:w="0" w:type="auto"/>
            <w:gridSpan w:val="3"/>
            <w:vMerge w:val="restart"/>
            <w:tcBorders>
              <w:bottom w:val="single" w:sz="8" w:space="0" w:color="E87722"/>
            </w:tcBorders>
            <w:shd w:val="clear" w:color="auto" w:fill="auto"/>
            <w:tcMar>
              <w:top w:w="40" w:type="dxa"/>
              <w:left w:w="20" w:type="dxa"/>
              <w:bottom w:w="40" w:type="dxa"/>
              <w:right w:w="20" w:type="dxa"/>
            </w:tcMar>
            <w:vAlign w:val="bottom"/>
          </w:tcPr>
          <w:p w14:paraId="669C5FFE" w14:textId="77777777" w:rsidR="00066C63" w:rsidRDefault="009656F6">
            <w:pPr>
              <w:jc w:val="right"/>
              <w:textAlignment w:val="bottom"/>
            </w:pPr>
            <w:r>
              <w:rPr>
                <w:rFonts w:ascii="sans-serif" w:eastAsia="sans-serif" w:hAnsi="sans-serif" w:cs="sans-serif"/>
                <w:b/>
                <w:bCs/>
                <w:color w:val="000000"/>
                <w:sz w:val="17"/>
                <w:szCs w:val="17"/>
              </w:rPr>
              <w:t>RETAINED EARNINGS (DEFICIT)</w:t>
            </w:r>
          </w:p>
        </w:tc>
        <w:tc>
          <w:tcPr>
            <w:tcW w:w="0" w:type="auto"/>
            <w:gridSpan w:val="3"/>
            <w:vMerge w:val="restart"/>
            <w:tcBorders>
              <w:bottom w:val="single" w:sz="8" w:space="0" w:color="E87722"/>
            </w:tcBorders>
            <w:shd w:val="clear" w:color="auto" w:fill="auto"/>
            <w:tcMar>
              <w:top w:w="40" w:type="dxa"/>
              <w:left w:w="20" w:type="dxa"/>
              <w:bottom w:w="40" w:type="dxa"/>
              <w:right w:w="20" w:type="dxa"/>
            </w:tcMar>
            <w:vAlign w:val="bottom"/>
          </w:tcPr>
          <w:p w14:paraId="669C5FFF" w14:textId="77777777" w:rsidR="00066C63" w:rsidRDefault="009656F6">
            <w:pPr>
              <w:jc w:val="right"/>
              <w:textAlignment w:val="bottom"/>
            </w:pPr>
            <w:r>
              <w:rPr>
                <w:rFonts w:ascii="sans-serif" w:eastAsia="sans-serif" w:hAnsi="sans-serif" w:cs="sans-serif"/>
                <w:b/>
                <w:bCs/>
                <w:color w:val="000000"/>
                <w:sz w:val="17"/>
                <w:szCs w:val="17"/>
              </w:rPr>
              <w:t>TOTAL</w:t>
            </w:r>
          </w:p>
        </w:tc>
      </w:tr>
      <w:tr w:rsidR="00066C63" w14:paraId="669C6009" w14:textId="77777777">
        <w:trPr>
          <w:trHeight w:val="240"/>
        </w:trPr>
        <w:tc>
          <w:tcPr>
            <w:tcW w:w="0" w:type="auto"/>
            <w:gridSpan w:val="3"/>
            <w:shd w:val="clear" w:color="auto" w:fill="auto"/>
            <w:tcMar>
              <w:top w:w="0" w:type="dxa"/>
              <w:left w:w="20" w:type="dxa"/>
              <w:bottom w:w="0" w:type="dxa"/>
              <w:right w:w="20" w:type="dxa"/>
            </w:tcMar>
          </w:tcPr>
          <w:p w14:paraId="669C6001" w14:textId="77777777" w:rsidR="00066C63" w:rsidRDefault="00066C63">
            <w:pPr>
              <w:rPr>
                <w:rFonts w:ascii="宋体"/>
              </w:rPr>
            </w:pPr>
          </w:p>
        </w:tc>
        <w:tc>
          <w:tcPr>
            <w:tcW w:w="0" w:type="auto"/>
            <w:gridSpan w:val="6"/>
            <w:tcBorders>
              <w:top w:val="single" w:sz="8" w:space="0" w:color="E87722"/>
            </w:tcBorders>
            <w:shd w:val="clear" w:color="auto" w:fill="auto"/>
            <w:tcMar>
              <w:top w:w="40" w:type="dxa"/>
              <w:left w:w="20" w:type="dxa"/>
              <w:bottom w:w="40" w:type="dxa"/>
              <w:right w:w="20" w:type="dxa"/>
            </w:tcMar>
            <w:vAlign w:val="bottom"/>
          </w:tcPr>
          <w:p w14:paraId="669C6002" w14:textId="77777777" w:rsidR="00066C63" w:rsidRDefault="009656F6">
            <w:pPr>
              <w:jc w:val="center"/>
              <w:textAlignment w:val="bottom"/>
            </w:pPr>
            <w:r>
              <w:rPr>
                <w:rFonts w:ascii="sans-serif" w:eastAsia="sans-serif" w:hAnsi="sans-serif" w:cs="sans-serif"/>
                <w:b/>
                <w:bCs/>
                <w:color w:val="000000"/>
                <w:sz w:val="17"/>
                <w:szCs w:val="17"/>
              </w:rPr>
              <w:t>CLASS A</w:t>
            </w:r>
          </w:p>
        </w:tc>
        <w:tc>
          <w:tcPr>
            <w:tcW w:w="0" w:type="auto"/>
            <w:gridSpan w:val="3"/>
            <w:tcBorders>
              <w:top w:val="single" w:sz="8" w:space="0" w:color="E87722"/>
            </w:tcBorders>
            <w:shd w:val="clear" w:color="auto" w:fill="auto"/>
            <w:tcMar>
              <w:top w:w="0" w:type="dxa"/>
              <w:left w:w="20" w:type="dxa"/>
              <w:bottom w:w="0" w:type="dxa"/>
              <w:right w:w="20" w:type="dxa"/>
            </w:tcMar>
          </w:tcPr>
          <w:p w14:paraId="669C6003" w14:textId="77777777" w:rsidR="00066C63" w:rsidRDefault="00066C63">
            <w:pPr>
              <w:rPr>
                <w:rFonts w:ascii="宋体"/>
              </w:rPr>
            </w:pPr>
          </w:p>
        </w:tc>
        <w:tc>
          <w:tcPr>
            <w:tcW w:w="0" w:type="auto"/>
            <w:gridSpan w:val="6"/>
            <w:tcBorders>
              <w:top w:val="single" w:sz="8" w:space="0" w:color="E87722"/>
            </w:tcBorders>
            <w:shd w:val="clear" w:color="auto" w:fill="auto"/>
            <w:tcMar>
              <w:top w:w="40" w:type="dxa"/>
              <w:left w:w="20" w:type="dxa"/>
              <w:bottom w:w="40" w:type="dxa"/>
              <w:right w:w="20" w:type="dxa"/>
            </w:tcMar>
            <w:vAlign w:val="bottom"/>
          </w:tcPr>
          <w:p w14:paraId="669C6004" w14:textId="77777777" w:rsidR="00066C63" w:rsidRDefault="009656F6">
            <w:pPr>
              <w:jc w:val="center"/>
              <w:textAlignment w:val="bottom"/>
            </w:pPr>
            <w:r>
              <w:rPr>
                <w:rFonts w:ascii="sans-serif" w:eastAsia="sans-serif" w:hAnsi="sans-serif" w:cs="sans-serif"/>
                <w:b/>
                <w:bCs/>
                <w:color w:val="000000"/>
                <w:sz w:val="17"/>
                <w:szCs w:val="17"/>
              </w:rPr>
              <w:t>CLASS B</w:t>
            </w:r>
          </w:p>
        </w:tc>
        <w:tc>
          <w:tcPr>
            <w:tcW w:w="0" w:type="auto"/>
            <w:gridSpan w:val="3"/>
            <w:vMerge/>
            <w:tcBorders>
              <w:bottom w:val="single" w:sz="8" w:space="0" w:color="E87722"/>
            </w:tcBorders>
            <w:shd w:val="clear" w:color="auto" w:fill="auto"/>
            <w:tcMar>
              <w:top w:w="40" w:type="dxa"/>
              <w:left w:w="20" w:type="dxa"/>
              <w:bottom w:w="40" w:type="dxa"/>
              <w:right w:w="20" w:type="dxa"/>
            </w:tcMar>
            <w:vAlign w:val="bottom"/>
          </w:tcPr>
          <w:p w14:paraId="669C6005" w14:textId="77777777" w:rsidR="00066C63" w:rsidRDefault="00066C63">
            <w:pPr>
              <w:jc w:val="right"/>
              <w:rPr>
                <w:rFonts w:ascii="宋体"/>
              </w:rPr>
            </w:pPr>
          </w:p>
        </w:tc>
        <w:tc>
          <w:tcPr>
            <w:tcW w:w="0" w:type="auto"/>
            <w:gridSpan w:val="3"/>
            <w:vMerge/>
            <w:tcBorders>
              <w:bottom w:val="single" w:sz="8" w:space="0" w:color="E87722"/>
            </w:tcBorders>
            <w:shd w:val="clear" w:color="auto" w:fill="auto"/>
            <w:tcMar>
              <w:top w:w="40" w:type="dxa"/>
              <w:left w:w="20" w:type="dxa"/>
              <w:bottom w:w="40" w:type="dxa"/>
              <w:right w:w="20" w:type="dxa"/>
            </w:tcMar>
            <w:vAlign w:val="bottom"/>
          </w:tcPr>
          <w:p w14:paraId="669C6006" w14:textId="77777777" w:rsidR="00066C63" w:rsidRDefault="00066C63">
            <w:pPr>
              <w:jc w:val="right"/>
              <w:rPr>
                <w:rFonts w:ascii="宋体"/>
              </w:rPr>
            </w:pPr>
          </w:p>
        </w:tc>
        <w:tc>
          <w:tcPr>
            <w:tcW w:w="0" w:type="auto"/>
            <w:gridSpan w:val="3"/>
            <w:vMerge/>
            <w:tcBorders>
              <w:bottom w:val="single" w:sz="8" w:space="0" w:color="E87722"/>
            </w:tcBorders>
            <w:shd w:val="clear" w:color="auto" w:fill="auto"/>
            <w:tcMar>
              <w:top w:w="40" w:type="dxa"/>
              <w:left w:w="20" w:type="dxa"/>
              <w:bottom w:w="40" w:type="dxa"/>
              <w:right w:w="20" w:type="dxa"/>
            </w:tcMar>
            <w:vAlign w:val="bottom"/>
          </w:tcPr>
          <w:p w14:paraId="669C6007" w14:textId="77777777" w:rsidR="00066C63" w:rsidRDefault="00066C63">
            <w:pPr>
              <w:jc w:val="right"/>
              <w:rPr>
                <w:rFonts w:ascii="宋体"/>
              </w:rPr>
            </w:pPr>
          </w:p>
        </w:tc>
        <w:tc>
          <w:tcPr>
            <w:tcW w:w="0" w:type="auto"/>
            <w:gridSpan w:val="3"/>
            <w:vMerge/>
            <w:tcBorders>
              <w:bottom w:val="single" w:sz="8" w:space="0" w:color="E87722"/>
            </w:tcBorders>
            <w:shd w:val="clear" w:color="auto" w:fill="auto"/>
            <w:tcMar>
              <w:top w:w="40" w:type="dxa"/>
              <w:left w:w="20" w:type="dxa"/>
              <w:bottom w:w="40" w:type="dxa"/>
              <w:right w:w="20" w:type="dxa"/>
            </w:tcMar>
            <w:vAlign w:val="bottom"/>
          </w:tcPr>
          <w:p w14:paraId="669C6008" w14:textId="77777777" w:rsidR="00066C63" w:rsidRDefault="00066C63">
            <w:pPr>
              <w:jc w:val="right"/>
              <w:rPr>
                <w:rFonts w:ascii="宋体"/>
              </w:rPr>
            </w:pPr>
          </w:p>
        </w:tc>
      </w:tr>
      <w:tr w:rsidR="00066C63" w14:paraId="669C6014" w14:textId="77777777">
        <w:trPr>
          <w:trHeight w:val="240"/>
        </w:trPr>
        <w:tc>
          <w:tcPr>
            <w:tcW w:w="0" w:type="auto"/>
            <w:gridSpan w:val="3"/>
            <w:tcBorders>
              <w:bottom w:val="single" w:sz="8" w:space="0" w:color="E87722"/>
            </w:tcBorders>
            <w:shd w:val="clear" w:color="auto" w:fill="auto"/>
            <w:tcMar>
              <w:top w:w="40" w:type="dxa"/>
              <w:left w:w="20" w:type="dxa"/>
              <w:bottom w:w="40" w:type="dxa"/>
              <w:right w:w="20" w:type="dxa"/>
            </w:tcMar>
            <w:vAlign w:val="bottom"/>
          </w:tcPr>
          <w:p w14:paraId="669C600A" w14:textId="77777777" w:rsidR="00066C63" w:rsidRDefault="009656F6">
            <w:pPr>
              <w:textAlignment w:val="bottom"/>
            </w:pPr>
            <w:r>
              <w:rPr>
                <w:rFonts w:ascii="Arial Narrow" w:eastAsia="Arial Narrow" w:hAnsi="Arial Narrow" w:cs="Arial Narrow"/>
                <w:i/>
                <w:iCs/>
                <w:color w:val="000000"/>
                <w:sz w:val="17"/>
                <w:szCs w:val="17"/>
              </w:rPr>
              <w:t>(In millions, except per share data)</w:t>
            </w:r>
          </w:p>
        </w:tc>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669C600B" w14:textId="77777777" w:rsidR="00066C63" w:rsidRDefault="009656F6">
            <w:pPr>
              <w:jc w:val="right"/>
              <w:textAlignment w:val="bottom"/>
            </w:pPr>
            <w:r>
              <w:rPr>
                <w:rFonts w:ascii="sans-serif" w:eastAsia="sans-serif" w:hAnsi="sans-serif" w:cs="sans-serif"/>
                <w:b/>
                <w:bCs/>
                <w:color w:val="000000"/>
                <w:sz w:val="17"/>
                <w:szCs w:val="17"/>
              </w:rPr>
              <w:t>SHARES</w:t>
            </w:r>
          </w:p>
        </w:tc>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669C600C" w14:textId="77777777" w:rsidR="00066C63" w:rsidRDefault="009656F6">
            <w:pPr>
              <w:jc w:val="right"/>
              <w:textAlignment w:val="bottom"/>
            </w:pPr>
            <w:r>
              <w:rPr>
                <w:rFonts w:ascii="sans-serif" w:eastAsia="sans-serif" w:hAnsi="sans-serif" w:cs="sans-serif"/>
                <w:b/>
                <w:bCs/>
                <w:color w:val="000000"/>
                <w:sz w:val="17"/>
                <w:szCs w:val="17"/>
              </w:rPr>
              <w:t>AMOUNT</w:t>
            </w:r>
          </w:p>
        </w:tc>
        <w:tc>
          <w:tcPr>
            <w:tcW w:w="0" w:type="auto"/>
            <w:gridSpan w:val="3"/>
            <w:tcBorders>
              <w:bottom w:val="single" w:sz="8" w:space="0" w:color="E87722"/>
            </w:tcBorders>
            <w:shd w:val="clear" w:color="auto" w:fill="auto"/>
            <w:tcMar>
              <w:top w:w="0" w:type="dxa"/>
              <w:left w:w="20" w:type="dxa"/>
              <w:bottom w:w="0" w:type="dxa"/>
              <w:right w:w="20" w:type="dxa"/>
            </w:tcMar>
          </w:tcPr>
          <w:p w14:paraId="669C600D" w14:textId="77777777" w:rsidR="00066C63" w:rsidRDefault="00066C63">
            <w:pPr>
              <w:rPr>
                <w:rFonts w:ascii="宋体"/>
              </w:rPr>
            </w:pPr>
          </w:p>
        </w:tc>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669C600E" w14:textId="77777777" w:rsidR="00066C63" w:rsidRDefault="009656F6">
            <w:pPr>
              <w:jc w:val="right"/>
              <w:textAlignment w:val="bottom"/>
            </w:pPr>
            <w:r>
              <w:rPr>
                <w:rFonts w:ascii="sans-serif" w:eastAsia="sans-serif" w:hAnsi="sans-serif" w:cs="sans-serif"/>
                <w:b/>
                <w:bCs/>
                <w:color w:val="000000"/>
                <w:sz w:val="17"/>
                <w:szCs w:val="17"/>
              </w:rPr>
              <w:t>SHARES</w:t>
            </w:r>
          </w:p>
        </w:tc>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669C600F" w14:textId="77777777" w:rsidR="00066C63" w:rsidRDefault="009656F6">
            <w:pPr>
              <w:jc w:val="right"/>
              <w:textAlignment w:val="bottom"/>
            </w:pPr>
            <w:r>
              <w:rPr>
                <w:rFonts w:ascii="sans-serif" w:eastAsia="sans-serif" w:hAnsi="sans-serif" w:cs="sans-serif"/>
                <w:b/>
                <w:bCs/>
                <w:color w:val="000000"/>
                <w:sz w:val="17"/>
                <w:szCs w:val="17"/>
              </w:rPr>
              <w:t>AMOUNT</w:t>
            </w:r>
          </w:p>
        </w:tc>
        <w:tc>
          <w:tcPr>
            <w:tcW w:w="0" w:type="auto"/>
            <w:gridSpan w:val="3"/>
            <w:vMerge/>
            <w:tcBorders>
              <w:bottom w:val="single" w:sz="8" w:space="0" w:color="E87722"/>
            </w:tcBorders>
            <w:shd w:val="clear" w:color="auto" w:fill="auto"/>
            <w:tcMar>
              <w:top w:w="40" w:type="dxa"/>
              <w:left w:w="20" w:type="dxa"/>
              <w:bottom w:w="40" w:type="dxa"/>
              <w:right w:w="20" w:type="dxa"/>
            </w:tcMar>
            <w:vAlign w:val="bottom"/>
          </w:tcPr>
          <w:p w14:paraId="669C6010" w14:textId="77777777" w:rsidR="00066C63" w:rsidRDefault="00066C63">
            <w:pPr>
              <w:jc w:val="right"/>
              <w:rPr>
                <w:rFonts w:ascii="宋体"/>
              </w:rPr>
            </w:pPr>
          </w:p>
        </w:tc>
        <w:tc>
          <w:tcPr>
            <w:tcW w:w="0" w:type="auto"/>
            <w:gridSpan w:val="3"/>
            <w:vMerge/>
            <w:tcBorders>
              <w:bottom w:val="single" w:sz="8" w:space="0" w:color="E87722"/>
            </w:tcBorders>
            <w:shd w:val="clear" w:color="auto" w:fill="auto"/>
            <w:tcMar>
              <w:top w:w="40" w:type="dxa"/>
              <w:left w:w="20" w:type="dxa"/>
              <w:bottom w:w="40" w:type="dxa"/>
              <w:right w:w="20" w:type="dxa"/>
            </w:tcMar>
            <w:vAlign w:val="bottom"/>
          </w:tcPr>
          <w:p w14:paraId="669C6011" w14:textId="77777777" w:rsidR="00066C63" w:rsidRDefault="00066C63">
            <w:pPr>
              <w:jc w:val="right"/>
              <w:rPr>
                <w:rFonts w:ascii="宋体"/>
              </w:rPr>
            </w:pPr>
          </w:p>
        </w:tc>
        <w:tc>
          <w:tcPr>
            <w:tcW w:w="0" w:type="auto"/>
            <w:gridSpan w:val="3"/>
            <w:vMerge/>
            <w:tcBorders>
              <w:bottom w:val="single" w:sz="8" w:space="0" w:color="E87722"/>
            </w:tcBorders>
            <w:shd w:val="clear" w:color="auto" w:fill="auto"/>
            <w:tcMar>
              <w:top w:w="40" w:type="dxa"/>
              <w:left w:w="20" w:type="dxa"/>
              <w:bottom w:w="40" w:type="dxa"/>
              <w:right w:w="20" w:type="dxa"/>
            </w:tcMar>
            <w:vAlign w:val="bottom"/>
          </w:tcPr>
          <w:p w14:paraId="669C6012" w14:textId="77777777" w:rsidR="00066C63" w:rsidRDefault="00066C63">
            <w:pPr>
              <w:jc w:val="right"/>
              <w:rPr>
                <w:rFonts w:ascii="宋体"/>
              </w:rPr>
            </w:pPr>
          </w:p>
        </w:tc>
        <w:tc>
          <w:tcPr>
            <w:tcW w:w="0" w:type="auto"/>
            <w:gridSpan w:val="3"/>
            <w:vMerge/>
            <w:tcBorders>
              <w:bottom w:val="single" w:sz="8" w:space="0" w:color="E87722"/>
            </w:tcBorders>
            <w:shd w:val="clear" w:color="auto" w:fill="auto"/>
            <w:tcMar>
              <w:top w:w="40" w:type="dxa"/>
              <w:left w:w="20" w:type="dxa"/>
              <w:bottom w:w="40" w:type="dxa"/>
              <w:right w:w="20" w:type="dxa"/>
            </w:tcMar>
            <w:vAlign w:val="bottom"/>
          </w:tcPr>
          <w:p w14:paraId="669C6013" w14:textId="77777777" w:rsidR="00066C63" w:rsidRDefault="00066C63">
            <w:pPr>
              <w:jc w:val="right"/>
              <w:rPr>
                <w:rFonts w:ascii="宋体"/>
              </w:rPr>
            </w:pPr>
          </w:p>
        </w:tc>
      </w:tr>
      <w:tr w:rsidR="00066C63" w14:paraId="669C602D"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015" w14:textId="77777777" w:rsidR="00066C63" w:rsidRDefault="009656F6">
            <w:pPr>
              <w:textAlignment w:val="bottom"/>
            </w:pPr>
            <w:r>
              <w:rPr>
                <w:rFonts w:ascii="Arial" w:eastAsia="宋体" w:hAnsi="Arial" w:cs="Arial"/>
                <w:b/>
                <w:bCs/>
                <w:color w:val="000000"/>
                <w:sz w:val="17"/>
                <w:szCs w:val="17"/>
              </w:rPr>
              <w:t>Balance at May 31, 2019</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6016" w14:textId="77777777" w:rsidR="00066C63" w:rsidRDefault="009656F6">
            <w:pPr>
              <w:jc w:val="right"/>
              <w:textAlignment w:val="bottom"/>
            </w:pPr>
            <w:r>
              <w:rPr>
                <w:rFonts w:ascii="Arial" w:eastAsia="宋体" w:hAnsi="Arial" w:cs="Arial"/>
                <w:b/>
                <w:bCs/>
                <w:color w:val="000000"/>
                <w:sz w:val="17"/>
                <w:szCs w:val="17"/>
              </w:rPr>
              <w:t>315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6017" w14:textId="77777777" w:rsidR="00066C63" w:rsidRDefault="00066C63">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69C6018"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69C6019" w14:textId="77777777" w:rsidR="00066C63" w:rsidRDefault="009656F6">
            <w:pPr>
              <w:jc w:val="right"/>
              <w:textAlignment w:val="bottom"/>
            </w:pPr>
            <w:r>
              <w:rPr>
                <w:rFonts w:ascii="Arial" w:eastAsia="宋体" w:hAnsi="Arial" w:cs="Arial"/>
                <w:b/>
                <w:bCs/>
                <w:color w:val="000000"/>
                <w:sz w:val="17"/>
                <w:szCs w:val="17"/>
              </w:rPr>
              <w:t>—</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601A" w14:textId="77777777" w:rsidR="00066C63" w:rsidRDefault="00066C63">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601B" w14:textId="77777777" w:rsidR="00066C63" w:rsidRDefault="00066C63">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601C" w14:textId="77777777" w:rsidR="00066C63" w:rsidRDefault="009656F6">
            <w:pPr>
              <w:jc w:val="right"/>
              <w:textAlignment w:val="bottom"/>
            </w:pPr>
            <w:r>
              <w:rPr>
                <w:rFonts w:ascii="Arial" w:eastAsia="宋体" w:hAnsi="Arial" w:cs="Arial"/>
                <w:b/>
                <w:bCs/>
                <w:color w:val="000000"/>
                <w:sz w:val="17"/>
                <w:szCs w:val="17"/>
              </w:rPr>
              <w:t>1,253</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601D" w14:textId="77777777" w:rsidR="00066C63" w:rsidRDefault="00066C63">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69C601E"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69C601F" w14:textId="77777777" w:rsidR="00066C63" w:rsidRDefault="009656F6">
            <w:pPr>
              <w:jc w:val="right"/>
              <w:textAlignment w:val="bottom"/>
            </w:pPr>
            <w:r>
              <w:rPr>
                <w:rFonts w:ascii="Arial" w:eastAsia="宋体" w:hAnsi="Arial" w:cs="Arial"/>
                <w:b/>
                <w:bCs/>
                <w:color w:val="000000"/>
                <w:sz w:val="17"/>
                <w:szCs w:val="17"/>
              </w:rPr>
              <w:t>3</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6020" w14:textId="77777777" w:rsidR="00066C63" w:rsidRDefault="00066C63">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69C6021"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69C6022" w14:textId="77777777" w:rsidR="00066C63" w:rsidRDefault="009656F6">
            <w:pPr>
              <w:jc w:val="right"/>
              <w:textAlignment w:val="bottom"/>
            </w:pPr>
            <w:r>
              <w:rPr>
                <w:rFonts w:ascii="Arial" w:eastAsia="宋体" w:hAnsi="Arial" w:cs="Arial"/>
                <w:b/>
                <w:bCs/>
                <w:color w:val="000000"/>
                <w:sz w:val="17"/>
                <w:szCs w:val="17"/>
              </w:rPr>
              <w:t>7,163</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6023" w14:textId="77777777" w:rsidR="00066C63" w:rsidRDefault="00066C63">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69C6024"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69C6025" w14:textId="77777777" w:rsidR="00066C63" w:rsidRDefault="009656F6">
            <w:pPr>
              <w:jc w:val="right"/>
              <w:textAlignment w:val="bottom"/>
            </w:pPr>
            <w:r>
              <w:rPr>
                <w:rFonts w:ascii="Arial" w:eastAsia="宋体" w:hAnsi="Arial" w:cs="Arial"/>
                <w:b/>
                <w:bCs/>
                <w:color w:val="000000"/>
                <w:sz w:val="17"/>
                <w:szCs w:val="17"/>
              </w:rPr>
              <w:t>231</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6026" w14:textId="77777777" w:rsidR="00066C63" w:rsidRDefault="00066C63">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69C6027"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69C6028" w14:textId="77777777" w:rsidR="00066C63" w:rsidRDefault="009656F6">
            <w:pPr>
              <w:jc w:val="right"/>
              <w:textAlignment w:val="bottom"/>
            </w:pPr>
            <w:r>
              <w:rPr>
                <w:rFonts w:ascii="Arial" w:eastAsia="宋体" w:hAnsi="Arial" w:cs="Arial"/>
                <w:b/>
                <w:bCs/>
                <w:color w:val="000000"/>
                <w:sz w:val="17"/>
                <w:szCs w:val="17"/>
              </w:rPr>
              <w:t>1,643</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6029" w14:textId="77777777" w:rsidR="00066C63" w:rsidRDefault="00066C63">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69C602A"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69C602B" w14:textId="77777777" w:rsidR="00066C63" w:rsidRDefault="009656F6">
            <w:pPr>
              <w:jc w:val="right"/>
              <w:textAlignment w:val="bottom"/>
            </w:pPr>
            <w:r>
              <w:rPr>
                <w:rFonts w:ascii="Arial" w:eastAsia="宋体" w:hAnsi="Arial" w:cs="Arial"/>
                <w:b/>
                <w:bCs/>
                <w:color w:val="000000"/>
                <w:sz w:val="17"/>
                <w:szCs w:val="17"/>
              </w:rPr>
              <w:t>9,040</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602C" w14:textId="77777777" w:rsidR="00066C63" w:rsidRDefault="00066C63">
            <w:pPr>
              <w:jc w:val="right"/>
              <w:rPr>
                <w:rFonts w:ascii="宋体"/>
              </w:rPr>
            </w:pPr>
          </w:p>
        </w:tc>
      </w:tr>
      <w:tr w:rsidR="00066C63" w14:paraId="669C603B"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02E" w14:textId="77777777" w:rsidR="00066C63" w:rsidRDefault="009656F6">
            <w:pPr>
              <w:textAlignment w:val="bottom"/>
            </w:pPr>
            <w:r>
              <w:rPr>
                <w:rFonts w:ascii="Arial" w:eastAsia="宋体" w:hAnsi="Arial" w:cs="Arial"/>
                <w:color w:val="000000"/>
                <w:sz w:val="17"/>
                <w:szCs w:val="17"/>
              </w:rPr>
              <w:t>Stock options exercised</w:t>
            </w:r>
          </w:p>
        </w:tc>
        <w:tc>
          <w:tcPr>
            <w:tcW w:w="0" w:type="auto"/>
            <w:gridSpan w:val="3"/>
            <w:tcBorders>
              <w:top w:val="single" w:sz="8" w:space="0" w:color="E87722"/>
            </w:tcBorders>
            <w:shd w:val="clear" w:color="auto" w:fill="auto"/>
            <w:tcMar>
              <w:top w:w="0" w:type="dxa"/>
              <w:left w:w="20" w:type="dxa"/>
              <w:bottom w:w="0" w:type="dxa"/>
              <w:right w:w="20" w:type="dxa"/>
            </w:tcMar>
          </w:tcPr>
          <w:p w14:paraId="669C602F"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6030"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6031" w14:textId="77777777" w:rsidR="00066C63" w:rsidRDefault="00066C63">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6032" w14:textId="77777777" w:rsidR="00066C63" w:rsidRDefault="009656F6">
            <w:pPr>
              <w:jc w:val="right"/>
              <w:textAlignment w:val="bottom"/>
            </w:pPr>
            <w:r>
              <w:rPr>
                <w:rFonts w:ascii="Arial" w:eastAsia="宋体" w:hAnsi="Arial" w:cs="Arial"/>
                <w:color w:val="000000"/>
                <w:sz w:val="17"/>
                <w:szCs w:val="17"/>
              </w:rPr>
              <w:t>17 </w:t>
            </w:r>
          </w:p>
        </w:tc>
        <w:tc>
          <w:tcPr>
            <w:tcW w:w="0" w:type="auto"/>
            <w:tcBorders>
              <w:top w:val="single" w:sz="8" w:space="0" w:color="E87722"/>
            </w:tcBorders>
            <w:shd w:val="clear" w:color="auto" w:fill="auto"/>
            <w:tcMar>
              <w:top w:w="40" w:type="dxa"/>
              <w:left w:w="0" w:type="dxa"/>
              <w:bottom w:w="40" w:type="dxa"/>
              <w:right w:w="20" w:type="dxa"/>
            </w:tcMar>
            <w:vAlign w:val="bottom"/>
          </w:tcPr>
          <w:p w14:paraId="669C6033" w14:textId="77777777" w:rsidR="00066C63" w:rsidRDefault="00066C63">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6034" w14:textId="77777777" w:rsidR="00066C63" w:rsidRDefault="00066C63">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6035" w14:textId="77777777" w:rsidR="00066C63" w:rsidRDefault="009656F6">
            <w:pPr>
              <w:jc w:val="right"/>
              <w:textAlignment w:val="bottom"/>
            </w:pPr>
            <w:r>
              <w:rPr>
                <w:rFonts w:ascii="Arial" w:eastAsia="宋体" w:hAnsi="Arial" w:cs="Arial"/>
                <w:color w:val="000000"/>
                <w:sz w:val="17"/>
                <w:szCs w:val="17"/>
              </w:rPr>
              <w:t>580 </w:t>
            </w:r>
          </w:p>
        </w:tc>
        <w:tc>
          <w:tcPr>
            <w:tcW w:w="0" w:type="auto"/>
            <w:tcBorders>
              <w:top w:val="single" w:sz="8" w:space="0" w:color="E87722"/>
            </w:tcBorders>
            <w:shd w:val="clear" w:color="auto" w:fill="auto"/>
            <w:tcMar>
              <w:top w:w="40" w:type="dxa"/>
              <w:left w:w="0" w:type="dxa"/>
              <w:bottom w:w="40" w:type="dxa"/>
              <w:right w:w="20" w:type="dxa"/>
            </w:tcMar>
            <w:vAlign w:val="bottom"/>
          </w:tcPr>
          <w:p w14:paraId="669C6036" w14:textId="77777777" w:rsidR="00066C63" w:rsidRDefault="00066C63">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6037"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6038" w14:textId="77777777" w:rsidR="00066C63" w:rsidRDefault="00066C63">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6039" w14:textId="77777777" w:rsidR="00066C63" w:rsidRDefault="009656F6">
            <w:pPr>
              <w:jc w:val="right"/>
              <w:textAlignment w:val="bottom"/>
            </w:pPr>
            <w:r>
              <w:rPr>
                <w:rFonts w:ascii="Arial" w:eastAsia="宋体" w:hAnsi="Arial" w:cs="Arial"/>
                <w:color w:val="000000"/>
                <w:sz w:val="17"/>
                <w:szCs w:val="17"/>
              </w:rPr>
              <w:t>580 </w:t>
            </w:r>
          </w:p>
        </w:tc>
        <w:tc>
          <w:tcPr>
            <w:tcW w:w="0" w:type="auto"/>
            <w:tcBorders>
              <w:top w:val="single" w:sz="8" w:space="0" w:color="E87722"/>
            </w:tcBorders>
            <w:shd w:val="clear" w:color="auto" w:fill="auto"/>
            <w:tcMar>
              <w:top w:w="40" w:type="dxa"/>
              <w:left w:w="0" w:type="dxa"/>
              <w:bottom w:w="40" w:type="dxa"/>
              <w:right w:w="20" w:type="dxa"/>
            </w:tcMar>
            <w:vAlign w:val="bottom"/>
          </w:tcPr>
          <w:p w14:paraId="669C603A" w14:textId="77777777" w:rsidR="00066C63" w:rsidRDefault="00066C63">
            <w:pPr>
              <w:jc w:val="right"/>
              <w:rPr>
                <w:rFonts w:ascii="宋体"/>
              </w:rPr>
            </w:pPr>
          </w:p>
        </w:tc>
      </w:tr>
      <w:tr w:rsidR="00066C63" w14:paraId="669C604A"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603C" w14:textId="77777777" w:rsidR="00066C63" w:rsidRDefault="009656F6">
            <w:pPr>
              <w:textAlignment w:val="bottom"/>
            </w:pPr>
            <w:r>
              <w:rPr>
                <w:rFonts w:ascii="Arial" w:eastAsia="宋体" w:hAnsi="Arial" w:cs="Arial"/>
                <w:color w:val="000000"/>
                <w:sz w:val="17"/>
                <w:szCs w:val="17"/>
              </w:rPr>
              <w:t>Repurchase of Class B Common Stock</w:t>
            </w:r>
          </w:p>
        </w:tc>
        <w:tc>
          <w:tcPr>
            <w:tcW w:w="0" w:type="auto"/>
            <w:gridSpan w:val="3"/>
            <w:tcBorders>
              <w:top w:val="single" w:sz="8" w:space="0" w:color="808080"/>
            </w:tcBorders>
            <w:shd w:val="clear" w:color="auto" w:fill="auto"/>
            <w:tcMar>
              <w:top w:w="0" w:type="dxa"/>
              <w:left w:w="20" w:type="dxa"/>
              <w:bottom w:w="0" w:type="dxa"/>
              <w:right w:w="20" w:type="dxa"/>
            </w:tcMar>
          </w:tcPr>
          <w:p w14:paraId="669C603D" w14:textId="77777777" w:rsidR="00066C63" w:rsidRDefault="00066C63">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603E" w14:textId="77777777" w:rsidR="00066C63" w:rsidRDefault="00066C63">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603F" w14:textId="77777777" w:rsidR="00066C63" w:rsidRDefault="00066C63">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040" w14:textId="77777777" w:rsidR="00066C63" w:rsidRDefault="009656F6">
            <w:pPr>
              <w:jc w:val="right"/>
              <w:textAlignment w:val="bottom"/>
            </w:pPr>
            <w:r>
              <w:rPr>
                <w:rFonts w:ascii="Arial" w:eastAsia="宋体" w:hAnsi="Arial" w:cs="Arial"/>
                <w:color w:val="000000"/>
                <w:sz w:val="17"/>
                <w:szCs w:val="17"/>
              </w:rPr>
              <w:t>(32)</w:t>
            </w:r>
          </w:p>
        </w:tc>
        <w:tc>
          <w:tcPr>
            <w:tcW w:w="0" w:type="auto"/>
            <w:tcBorders>
              <w:top w:val="single" w:sz="8" w:space="0" w:color="808080"/>
            </w:tcBorders>
            <w:shd w:val="clear" w:color="auto" w:fill="auto"/>
            <w:tcMar>
              <w:top w:w="40" w:type="dxa"/>
              <w:left w:w="0" w:type="dxa"/>
              <w:bottom w:w="40" w:type="dxa"/>
              <w:right w:w="20" w:type="dxa"/>
            </w:tcMar>
            <w:vAlign w:val="bottom"/>
          </w:tcPr>
          <w:p w14:paraId="669C6041" w14:textId="77777777" w:rsidR="00066C63" w:rsidRDefault="00066C63">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6042" w14:textId="77777777" w:rsidR="00066C63" w:rsidRDefault="00066C63">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043" w14:textId="77777777" w:rsidR="00066C63" w:rsidRDefault="009656F6">
            <w:pPr>
              <w:jc w:val="right"/>
              <w:textAlignment w:val="bottom"/>
            </w:pPr>
            <w:r>
              <w:rPr>
                <w:rFonts w:ascii="Arial" w:eastAsia="宋体" w:hAnsi="Arial" w:cs="Arial"/>
                <w:color w:val="000000"/>
                <w:sz w:val="17"/>
                <w:szCs w:val="17"/>
              </w:rPr>
              <w:t>(150)</w:t>
            </w:r>
          </w:p>
        </w:tc>
        <w:tc>
          <w:tcPr>
            <w:tcW w:w="0" w:type="auto"/>
            <w:tcBorders>
              <w:top w:val="single" w:sz="8" w:space="0" w:color="808080"/>
            </w:tcBorders>
            <w:shd w:val="clear" w:color="auto" w:fill="auto"/>
            <w:tcMar>
              <w:top w:w="40" w:type="dxa"/>
              <w:left w:w="0" w:type="dxa"/>
              <w:bottom w:w="40" w:type="dxa"/>
              <w:right w:w="20" w:type="dxa"/>
            </w:tcMar>
            <w:vAlign w:val="bottom"/>
          </w:tcPr>
          <w:p w14:paraId="669C6044" w14:textId="77777777" w:rsidR="00066C63" w:rsidRDefault="00066C63">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6045" w14:textId="77777777" w:rsidR="00066C63" w:rsidRDefault="00066C63">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046" w14:textId="77777777" w:rsidR="00066C63" w:rsidRDefault="009656F6">
            <w:pPr>
              <w:jc w:val="right"/>
              <w:textAlignment w:val="bottom"/>
            </w:pPr>
            <w:r>
              <w:rPr>
                <w:rFonts w:ascii="Arial" w:eastAsia="宋体" w:hAnsi="Arial" w:cs="Arial"/>
                <w:color w:val="000000"/>
                <w:sz w:val="17"/>
                <w:szCs w:val="17"/>
              </w:rPr>
              <w:t>(2,724)</w:t>
            </w:r>
          </w:p>
        </w:tc>
        <w:tc>
          <w:tcPr>
            <w:tcW w:w="0" w:type="auto"/>
            <w:tcBorders>
              <w:top w:val="single" w:sz="8" w:space="0" w:color="808080"/>
            </w:tcBorders>
            <w:shd w:val="clear" w:color="auto" w:fill="auto"/>
            <w:tcMar>
              <w:top w:w="40" w:type="dxa"/>
              <w:left w:w="0" w:type="dxa"/>
              <w:bottom w:w="40" w:type="dxa"/>
              <w:right w:w="20" w:type="dxa"/>
            </w:tcMar>
            <w:vAlign w:val="bottom"/>
          </w:tcPr>
          <w:p w14:paraId="669C6047"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048" w14:textId="77777777" w:rsidR="00066C63" w:rsidRDefault="009656F6">
            <w:pPr>
              <w:jc w:val="right"/>
              <w:textAlignment w:val="bottom"/>
            </w:pPr>
            <w:r>
              <w:rPr>
                <w:rFonts w:ascii="Arial" w:eastAsia="宋体" w:hAnsi="Arial" w:cs="Arial"/>
                <w:color w:val="000000"/>
                <w:sz w:val="17"/>
                <w:szCs w:val="17"/>
              </w:rPr>
              <w:t>(2,874)</w:t>
            </w:r>
          </w:p>
        </w:tc>
        <w:tc>
          <w:tcPr>
            <w:tcW w:w="0" w:type="auto"/>
            <w:tcBorders>
              <w:top w:val="single" w:sz="8" w:space="0" w:color="808080"/>
            </w:tcBorders>
            <w:shd w:val="clear" w:color="auto" w:fill="auto"/>
            <w:tcMar>
              <w:top w:w="40" w:type="dxa"/>
              <w:left w:w="0" w:type="dxa"/>
              <w:bottom w:w="40" w:type="dxa"/>
              <w:right w:w="20" w:type="dxa"/>
            </w:tcMar>
            <w:vAlign w:val="bottom"/>
          </w:tcPr>
          <w:p w14:paraId="669C6049" w14:textId="77777777" w:rsidR="00066C63" w:rsidRDefault="00066C63">
            <w:pPr>
              <w:jc w:val="right"/>
              <w:rPr>
                <w:rFonts w:ascii="宋体"/>
              </w:rPr>
            </w:pPr>
          </w:p>
        </w:tc>
      </w:tr>
      <w:tr w:rsidR="00066C63" w14:paraId="669C6057"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604B" w14:textId="77777777" w:rsidR="00066C63" w:rsidRDefault="009656F6">
            <w:pPr>
              <w:textAlignment w:val="bottom"/>
            </w:pPr>
            <w:r>
              <w:rPr>
                <w:rFonts w:ascii="Arial" w:eastAsia="宋体" w:hAnsi="Arial" w:cs="Arial"/>
                <w:color w:val="000000"/>
                <w:sz w:val="17"/>
                <w:szCs w:val="17"/>
              </w:rPr>
              <w:t>Dividends on common stock ($0.710 per share) and preferred stock ($0.10 per share)</w:t>
            </w:r>
          </w:p>
        </w:tc>
        <w:tc>
          <w:tcPr>
            <w:tcW w:w="0" w:type="auto"/>
            <w:gridSpan w:val="3"/>
            <w:tcBorders>
              <w:top w:val="single" w:sz="8" w:space="0" w:color="808080"/>
            </w:tcBorders>
            <w:shd w:val="clear" w:color="auto" w:fill="auto"/>
            <w:tcMar>
              <w:top w:w="0" w:type="dxa"/>
              <w:left w:w="20" w:type="dxa"/>
              <w:bottom w:w="0" w:type="dxa"/>
              <w:right w:w="20" w:type="dxa"/>
            </w:tcMar>
          </w:tcPr>
          <w:p w14:paraId="669C604C" w14:textId="77777777" w:rsidR="00066C63" w:rsidRDefault="00066C63">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604D" w14:textId="77777777" w:rsidR="00066C63" w:rsidRDefault="00066C63">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604E" w14:textId="77777777" w:rsidR="00066C63" w:rsidRDefault="00066C63">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604F" w14:textId="77777777" w:rsidR="00066C63" w:rsidRDefault="00066C63">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6050" w14:textId="77777777" w:rsidR="00066C63" w:rsidRDefault="00066C63">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6051" w14:textId="77777777" w:rsidR="00066C63" w:rsidRDefault="00066C63">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6052" w14:textId="77777777" w:rsidR="00066C63" w:rsidRDefault="00066C63">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053" w14:textId="77777777" w:rsidR="00066C63" w:rsidRDefault="009656F6">
            <w:pPr>
              <w:jc w:val="right"/>
              <w:textAlignment w:val="bottom"/>
            </w:pPr>
            <w:r>
              <w:rPr>
                <w:rFonts w:ascii="Arial" w:eastAsia="宋体" w:hAnsi="Arial" w:cs="Arial"/>
                <w:color w:val="000000"/>
                <w:sz w:val="17"/>
                <w:szCs w:val="17"/>
              </w:rPr>
              <w:t>(1,110)</w:t>
            </w:r>
          </w:p>
        </w:tc>
        <w:tc>
          <w:tcPr>
            <w:tcW w:w="0" w:type="auto"/>
            <w:tcBorders>
              <w:top w:val="single" w:sz="8" w:space="0" w:color="808080"/>
            </w:tcBorders>
            <w:shd w:val="clear" w:color="auto" w:fill="auto"/>
            <w:tcMar>
              <w:top w:w="40" w:type="dxa"/>
              <w:left w:w="0" w:type="dxa"/>
              <w:bottom w:w="40" w:type="dxa"/>
              <w:right w:w="20" w:type="dxa"/>
            </w:tcMar>
            <w:vAlign w:val="bottom"/>
          </w:tcPr>
          <w:p w14:paraId="669C6054"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055" w14:textId="77777777" w:rsidR="00066C63" w:rsidRDefault="009656F6">
            <w:pPr>
              <w:jc w:val="right"/>
              <w:textAlignment w:val="bottom"/>
            </w:pPr>
            <w:r>
              <w:rPr>
                <w:rFonts w:ascii="Arial" w:eastAsia="宋体" w:hAnsi="Arial" w:cs="Arial"/>
                <w:color w:val="000000"/>
                <w:sz w:val="17"/>
                <w:szCs w:val="17"/>
              </w:rPr>
              <w:t>(1,110)</w:t>
            </w:r>
          </w:p>
        </w:tc>
        <w:tc>
          <w:tcPr>
            <w:tcW w:w="0" w:type="auto"/>
            <w:tcBorders>
              <w:top w:val="single" w:sz="8" w:space="0" w:color="808080"/>
            </w:tcBorders>
            <w:shd w:val="clear" w:color="auto" w:fill="auto"/>
            <w:tcMar>
              <w:top w:w="40" w:type="dxa"/>
              <w:left w:w="0" w:type="dxa"/>
              <w:bottom w:w="40" w:type="dxa"/>
              <w:right w:w="20" w:type="dxa"/>
            </w:tcMar>
            <w:vAlign w:val="bottom"/>
          </w:tcPr>
          <w:p w14:paraId="669C6056" w14:textId="77777777" w:rsidR="00066C63" w:rsidRDefault="00066C63">
            <w:pPr>
              <w:jc w:val="right"/>
              <w:rPr>
                <w:rFonts w:ascii="宋体"/>
              </w:rPr>
            </w:pPr>
          </w:p>
        </w:tc>
      </w:tr>
      <w:tr w:rsidR="00066C63" w14:paraId="669C6066"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6058" w14:textId="77777777" w:rsidR="00066C63" w:rsidRDefault="009656F6">
            <w:pPr>
              <w:textAlignment w:val="bottom"/>
            </w:pPr>
            <w:r>
              <w:rPr>
                <w:rFonts w:ascii="Arial" w:eastAsia="宋体" w:hAnsi="Arial" w:cs="Arial"/>
                <w:color w:val="000000"/>
                <w:sz w:val="17"/>
                <w:szCs w:val="17"/>
              </w:rPr>
              <w:t>Issuance of shares to employees, net of shares withheld for employee taxes</w:t>
            </w:r>
          </w:p>
        </w:tc>
        <w:tc>
          <w:tcPr>
            <w:tcW w:w="0" w:type="auto"/>
            <w:gridSpan w:val="3"/>
            <w:tcBorders>
              <w:top w:val="single" w:sz="8" w:space="0" w:color="808080"/>
            </w:tcBorders>
            <w:shd w:val="clear" w:color="auto" w:fill="auto"/>
            <w:tcMar>
              <w:top w:w="0" w:type="dxa"/>
              <w:left w:w="20" w:type="dxa"/>
              <w:bottom w:w="0" w:type="dxa"/>
              <w:right w:w="20" w:type="dxa"/>
            </w:tcMar>
          </w:tcPr>
          <w:p w14:paraId="669C6059" w14:textId="77777777" w:rsidR="00066C63" w:rsidRDefault="00066C63">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605A" w14:textId="77777777" w:rsidR="00066C63" w:rsidRDefault="00066C63">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605B" w14:textId="77777777" w:rsidR="00066C63" w:rsidRDefault="00066C63">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05C" w14:textId="77777777" w:rsidR="00066C63" w:rsidRDefault="009656F6">
            <w:pPr>
              <w:jc w:val="right"/>
              <w:textAlignment w:val="bottom"/>
            </w:pPr>
            <w:r>
              <w:rPr>
                <w:rFonts w:ascii="Arial" w:eastAsia="宋体" w:hAnsi="Arial" w:cs="Arial"/>
                <w:color w:val="000000"/>
                <w:sz w:val="17"/>
                <w:szCs w:val="17"/>
              </w:rPr>
              <w:t>2 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05D" w14:textId="77777777" w:rsidR="00066C63" w:rsidRDefault="00066C63">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605E" w14:textId="77777777" w:rsidR="00066C63" w:rsidRDefault="00066C63">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05F" w14:textId="77777777" w:rsidR="00066C63" w:rsidRDefault="009656F6">
            <w:pPr>
              <w:jc w:val="right"/>
              <w:textAlignment w:val="bottom"/>
            </w:pPr>
            <w:r>
              <w:rPr>
                <w:rFonts w:ascii="Arial" w:eastAsia="宋体" w:hAnsi="Arial" w:cs="Arial"/>
                <w:color w:val="000000"/>
                <w:sz w:val="17"/>
                <w:szCs w:val="17"/>
              </w:rPr>
              <w:t>75 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060" w14:textId="77777777" w:rsidR="00066C63" w:rsidRDefault="00066C63">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6061" w14:textId="77777777" w:rsidR="00066C63" w:rsidRDefault="00066C63">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062" w14:textId="77777777" w:rsidR="00066C63" w:rsidRDefault="009656F6">
            <w:pPr>
              <w:jc w:val="right"/>
              <w:textAlignment w:val="bottom"/>
            </w:pPr>
            <w:r>
              <w:rPr>
                <w:rFonts w:ascii="Arial" w:eastAsia="宋体" w:hAnsi="Arial" w:cs="Arial"/>
                <w:color w:val="000000"/>
                <w:sz w:val="17"/>
                <w:szCs w:val="17"/>
              </w:rPr>
              <w:t>(9)</w:t>
            </w:r>
          </w:p>
        </w:tc>
        <w:tc>
          <w:tcPr>
            <w:tcW w:w="0" w:type="auto"/>
            <w:tcBorders>
              <w:top w:val="single" w:sz="8" w:space="0" w:color="808080"/>
            </w:tcBorders>
            <w:shd w:val="clear" w:color="auto" w:fill="auto"/>
            <w:tcMar>
              <w:top w:w="40" w:type="dxa"/>
              <w:left w:w="0" w:type="dxa"/>
              <w:bottom w:w="40" w:type="dxa"/>
              <w:right w:w="20" w:type="dxa"/>
            </w:tcMar>
            <w:vAlign w:val="bottom"/>
          </w:tcPr>
          <w:p w14:paraId="669C6063"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064" w14:textId="77777777" w:rsidR="00066C63" w:rsidRDefault="009656F6">
            <w:pPr>
              <w:jc w:val="right"/>
              <w:textAlignment w:val="bottom"/>
            </w:pPr>
            <w:r>
              <w:rPr>
                <w:rFonts w:ascii="Arial" w:eastAsia="宋体" w:hAnsi="Arial" w:cs="Arial"/>
                <w:color w:val="000000"/>
                <w:sz w:val="17"/>
                <w:szCs w:val="17"/>
              </w:rPr>
              <w:t>66 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065" w14:textId="77777777" w:rsidR="00066C63" w:rsidRDefault="00066C63">
            <w:pPr>
              <w:jc w:val="right"/>
              <w:rPr>
                <w:rFonts w:ascii="宋体"/>
              </w:rPr>
            </w:pPr>
          </w:p>
        </w:tc>
      </w:tr>
      <w:tr w:rsidR="00066C63" w14:paraId="669C6073"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6067" w14:textId="77777777" w:rsidR="00066C63" w:rsidRDefault="009656F6">
            <w:pPr>
              <w:textAlignment w:val="bottom"/>
            </w:pPr>
            <w:r>
              <w:rPr>
                <w:rFonts w:ascii="Arial" w:eastAsia="宋体" w:hAnsi="Arial" w:cs="Arial"/>
                <w:color w:val="000000"/>
                <w:sz w:val="17"/>
                <w:szCs w:val="17"/>
              </w:rPr>
              <w:t>Stock-based compensation</w:t>
            </w:r>
          </w:p>
        </w:tc>
        <w:tc>
          <w:tcPr>
            <w:tcW w:w="0" w:type="auto"/>
            <w:gridSpan w:val="3"/>
            <w:tcBorders>
              <w:top w:val="single" w:sz="8" w:space="0" w:color="808080"/>
            </w:tcBorders>
            <w:shd w:val="clear" w:color="auto" w:fill="auto"/>
            <w:tcMar>
              <w:top w:w="0" w:type="dxa"/>
              <w:left w:w="20" w:type="dxa"/>
              <w:bottom w:w="0" w:type="dxa"/>
              <w:right w:w="20" w:type="dxa"/>
            </w:tcMar>
          </w:tcPr>
          <w:p w14:paraId="669C6068" w14:textId="77777777" w:rsidR="00066C63" w:rsidRDefault="00066C63">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6069" w14:textId="77777777" w:rsidR="00066C63" w:rsidRDefault="00066C63">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606A" w14:textId="77777777" w:rsidR="00066C63" w:rsidRDefault="00066C63">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606B" w14:textId="77777777" w:rsidR="00066C63" w:rsidRDefault="00066C63">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606C" w14:textId="77777777" w:rsidR="00066C63" w:rsidRDefault="00066C63">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06D" w14:textId="77777777" w:rsidR="00066C63" w:rsidRDefault="009656F6">
            <w:pPr>
              <w:jc w:val="right"/>
              <w:textAlignment w:val="bottom"/>
            </w:pPr>
            <w:r>
              <w:rPr>
                <w:rFonts w:ascii="Arial" w:eastAsia="宋体" w:hAnsi="Arial" w:cs="Arial"/>
                <w:color w:val="000000"/>
                <w:sz w:val="17"/>
                <w:szCs w:val="17"/>
              </w:rPr>
              <w:t>303 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06E" w14:textId="77777777" w:rsidR="00066C63" w:rsidRDefault="00066C63">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606F" w14:textId="77777777" w:rsidR="00066C63" w:rsidRDefault="00066C63">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6070" w14:textId="77777777" w:rsidR="00066C63" w:rsidRDefault="00066C63">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071" w14:textId="77777777" w:rsidR="00066C63" w:rsidRDefault="009656F6">
            <w:pPr>
              <w:jc w:val="right"/>
              <w:textAlignment w:val="bottom"/>
            </w:pPr>
            <w:r>
              <w:rPr>
                <w:rFonts w:ascii="Arial" w:eastAsia="宋体" w:hAnsi="Arial" w:cs="Arial"/>
                <w:color w:val="000000"/>
                <w:sz w:val="17"/>
                <w:szCs w:val="17"/>
              </w:rPr>
              <w:t>303 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072" w14:textId="77777777" w:rsidR="00066C63" w:rsidRDefault="00066C63">
            <w:pPr>
              <w:jc w:val="right"/>
              <w:rPr>
                <w:rFonts w:ascii="宋体"/>
              </w:rPr>
            </w:pPr>
          </w:p>
        </w:tc>
      </w:tr>
      <w:tr w:rsidR="00066C63" w14:paraId="669C6080"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6074" w14:textId="77777777" w:rsidR="00066C63" w:rsidRDefault="009656F6">
            <w:pPr>
              <w:textAlignment w:val="bottom"/>
            </w:pPr>
            <w:r>
              <w:rPr>
                <w:rFonts w:ascii="Arial" w:eastAsia="宋体" w:hAnsi="Arial" w:cs="Arial"/>
                <w:color w:val="000000"/>
                <w:sz w:val="17"/>
                <w:szCs w:val="17"/>
              </w:rPr>
              <w:t>Net income</w:t>
            </w:r>
          </w:p>
        </w:tc>
        <w:tc>
          <w:tcPr>
            <w:tcW w:w="0" w:type="auto"/>
            <w:gridSpan w:val="3"/>
            <w:tcBorders>
              <w:top w:val="single" w:sz="8" w:space="0" w:color="808080"/>
            </w:tcBorders>
            <w:shd w:val="clear" w:color="auto" w:fill="auto"/>
            <w:tcMar>
              <w:top w:w="0" w:type="dxa"/>
              <w:left w:w="20" w:type="dxa"/>
              <w:bottom w:w="0" w:type="dxa"/>
              <w:right w:w="20" w:type="dxa"/>
            </w:tcMar>
          </w:tcPr>
          <w:p w14:paraId="669C6075" w14:textId="77777777" w:rsidR="00066C63" w:rsidRDefault="00066C63">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6076" w14:textId="77777777" w:rsidR="00066C63" w:rsidRDefault="00066C63">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6077" w14:textId="77777777" w:rsidR="00066C63" w:rsidRDefault="00066C63">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6078" w14:textId="77777777" w:rsidR="00066C63" w:rsidRDefault="00066C63">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6079" w14:textId="77777777" w:rsidR="00066C63" w:rsidRDefault="00066C63">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607A" w14:textId="77777777" w:rsidR="00066C63" w:rsidRDefault="00066C63">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607B" w14:textId="77777777" w:rsidR="00066C63" w:rsidRDefault="00066C63">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07C" w14:textId="77777777" w:rsidR="00066C63" w:rsidRDefault="009656F6">
            <w:pPr>
              <w:jc w:val="right"/>
              <w:textAlignment w:val="bottom"/>
            </w:pPr>
            <w:r>
              <w:rPr>
                <w:rFonts w:ascii="Arial" w:eastAsia="宋体" w:hAnsi="Arial" w:cs="Arial"/>
                <w:color w:val="000000"/>
                <w:sz w:val="17"/>
                <w:szCs w:val="17"/>
              </w:rPr>
              <w:t>3,329 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07D"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07E" w14:textId="77777777" w:rsidR="00066C63" w:rsidRDefault="009656F6">
            <w:pPr>
              <w:jc w:val="right"/>
              <w:textAlignment w:val="bottom"/>
            </w:pPr>
            <w:r>
              <w:rPr>
                <w:rFonts w:ascii="Arial" w:eastAsia="宋体" w:hAnsi="Arial" w:cs="Arial"/>
                <w:color w:val="000000"/>
                <w:sz w:val="17"/>
                <w:szCs w:val="17"/>
              </w:rPr>
              <w:t>3,329 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07F" w14:textId="77777777" w:rsidR="00066C63" w:rsidRDefault="00066C63">
            <w:pPr>
              <w:jc w:val="right"/>
              <w:rPr>
                <w:rFonts w:ascii="宋体"/>
              </w:rPr>
            </w:pPr>
          </w:p>
        </w:tc>
      </w:tr>
      <w:tr w:rsidR="00066C63" w14:paraId="669C608D"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6081" w14:textId="77777777" w:rsidR="00066C63" w:rsidRDefault="009656F6">
            <w:pPr>
              <w:textAlignment w:val="bottom"/>
            </w:pPr>
            <w:r>
              <w:rPr>
                <w:rFonts w:ascii="Arial" w:eastAsia="宋体" w:hAnsi="Arial" w:cs="Arial"/>
                <w:color w:val="000000"/>
                <w:sz w:val="17"/>
                <w:szCs w:val="17"/>
              </w:rPr>
              <w:t>Other comprehensive income (loss)</w:t>
            </w:r>
          </w:p>
        </w:tc>
        <w:tc>
          <w:tcPr>
            <w:tcW w:w="0" w:type="auto"/>
            <w:gridSpan w:val="3"/>
            <w:tcBorders>
              <w:top w:val="single" w:sz="8" w:space="0" w:color="808080"/>
            </w:tcBorders>
            <w:shd w:val="clear" w:color="auto" w:fill="auto"/>
            <w:tcMar>
              <w:top w:w="0" w:type="dxa"/>
              <w:left w:w="20" w:type="dxa"/>
              <w:bottom w:w="0" w:type="dxa"/>
              <w:right w:w="20" w:type="dxa"/>
            </w:tcMar>
          </w:tcPr>
          <w:p w14:paraId="669C6082" w14:textId="77777777" w:rsidR="00066C63" w:rsidRDefault="00066C63">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6083" w14:textId="77777777" w:rsidR="00066C63" w:rsidRDefault="00066C63">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6084" w14:textId="77777777" w:rsidR="00066C63" w:rsidRDefault="00066C63">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6085" w14:textId="77777777" w:rsidR="00066C63" w:rsidRDefault="00066C63">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6086" w14:textId="77777777" w:rsidR="00066C63" w:rsidRDefault="00066C63">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6087" w14:textId="77777777" w:rsidR="00066C63" w:rsidRDefault="00066C63">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088" w14:textId="77777777" w:rsidR="00066C63" w:rsidRDefault="009656F6">
            <w:pPr>
              <w:jc w:val="right"/>
              <w:textAlignment w:val="bottom"/>
            </w:pPr>
            <w:r>
              <w:rPr>
                <w:rFonts w:ascii="Arial" w:eastAsia="宋体" w:hAnsi="Arial" w:cs="Arial"/>
                <w:color w:val="000000"/>
                <w:sz w:val="17"/>
                <w:szCs w:val="17"/>
              </w:rPr>
              <w:t>(288)</w:t>
            </w:r>
          </w:p>
        </w:tc>
        <w:tc>
          <w:tcPr>
            <w:tcW w:w="0" w:type="auto"/>
            <w:tcBorders>
              <w:top w:val="single" w:sz="8" w:space="0" w:color="808080"/>
            </w:tcBorders>
            <w:shd w:val="clear" w:color="auto" w:fill="auto"/>
            <w:tcMar>
              <w:top w:w="40" w:type="dxa"/>
              <w:left w:w="0" w:type="dxa"/>
              <w:bottom w:w="40" w:type="dxa"/>
              <w:right w:w="20" w:type="dxa"/>
            </w:tcMar>
            <w:vAlign w:val="bottom"/>
          </w:tcPr>
          <w:p w14:paraId="669C6089" w14:textId="77777777" w:rsidR="00066C63" w:rsidRDefault="00066C63">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608A" w14:textId="77777777" w:rsidR="00066C63" w:rsidRDefault="00066C63">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08B" w14:textId="77777777" w:rsidR="00066C63" w:rsidRDefault="009656F6">
            <w:pPr>
              <w:jc w:val="right"/>
              <w:textAlignment w:val="bottom"/>
            </w:pPr>
            <w:r>
              <w:rPr>
                <w:rFonts w:ascii="Arial" w:eastAsia="宋体" w:hAnsi="Arial" w:cs="Arial"/>
                <w:color w:val="000000"/>
                <w:sz w:val="17"/>
                <w:szCs w:val="17"/>
              </w:rPr>
              <w:t>(288)</w:t>
            </w:r>
          </w:p>
        </w:tc>
        <w:tc>
          <w:tcPr>
            <w:tcW w:w="0" w:type="auto"/>
            <w:tcBorders>
              <w:top w:val="single" w:sz="8" w:space="0" w:color="808080"/>
            </w:tcBorders>
            <w:shd w:val="clear" w:color="auto" w:fill="auto"/>
            <w:tcMar>
              <w:top w:w="40" w:type="dxa"/>
              <w:left w:w="0" w:type="dxa"/>
              <w:bottom w:w="40" w:type="dxa"/>
              <w:right w:w="20" w:type="dxa"/>
            </w:tcMar>
            <w:vAlign w:val="bottom"/>
          </w:tcPr>
          <w:p w14:paraId="669C608C" w14:textId="77777777" w:rsidR="00066C63" w:rsidRDefault="00066C63">
            <w:pPr>
              <w:jc w:val="right"/>
              <w:rPr>
                <w:rFonts w:ascii="宋体"/>
              </w:rPr>
            </w:pPr>
          </w:p>
        </w:tc>
      </w:tr>
      <w:tr w:rsidR="00066C63" w14:paraId="669C609A"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608E" w14:textId="77777777" w:rsidR="00066C63" w:rsidRDefault="009656F6">
            <w:pPr>
              <w:textAlignment w:val="bottom"/>
            </w:pPr>
            <w:r>
              <w:rPr>
                <w:rFonts w:ascii="Arial" w:eastAsia="宋体" w:hAnsi="Arial" w:cs="Arial"/>
                <w:color w:val="000000"/>
                <w:sz w:val="17"/>
                <w:szCs w:val="17"/>
              </w:rPr>
              <w:t>Adoption of ASC Topic 842</w:t>
            </w:r>
          </w:p>
        </w:tc>
        <w:tc>
          <w:tcPr>
            <w:tcW w:w="0" w:type="auto"/>
            <w:gridSpan w:val="3"/>
            <w:tcBorders>
              <w:top w:val="single" w:sz="8" w:space="0" w:color="808080"/>
            </w:tcBorders>
            <w:shd w:val="clear" w:color="auto" w:fill="auto"/>
            <w:tcMar>
              <w:top w:w="0" w:type="dxa"/>
              <w:left w:w="20" w:type="dxa"/>
              <w:bottom w:w="0" w:type="dxa"/>
              <w:right w:w="20" w:type="dxa"/>
            </w:tcMar>
          </w:tcPr>
          <w:p w14:paraId="669C608F" w14:textId="77777777" w:rsidR="00066C63" w:rsidRDefault="00066C63">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6090" w14:textId="77777777" w:rsidR="00066C63" w:rsidRDefault="00066C63">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6091" w14:textId="77777777" w:rsidR="00066C63" w:rsidRDefault="00066C63">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6092" w14:textId="77777777" w:rsidR="00066C63" w:rsidRDefault="00066C63">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6093" w14:textId="77777777" w:rsidR="00066C63" w:rsidRDefault="00066C63">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6094" w14:textId="77777777" w:rsidR="00066C63" w:rsidRDefault="00066C63">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6095" w14:textId="77777777" w:rsidR="00066C63" w:rsidRDefault="00066C63">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096" w14:textId="77777777" w:rsidR="00066C63" w:rsidRDefault="009656F6">
            <w:pPr>
              <w:jc w:val="right"/>
              <w:textAlignment w:val="bottom"/>
            </w:pPr>
            <w:r>
              <w:rPr>
                <w:rFonts w:ascii="Arial" w:eastAsia="宋体" w:hAnsi="Arial" w:cs="Arial"/>
                <w:color w:val="000000"/>
                <w:sz w:val="17"/>
                <w:szCs w:val="17"/>
              </w:rPr>
              <w:t>(1)</w:t>
            </w:r>
          </w:p>
        </w:tc>
        <w:tc>
          <w:tcPr>
            <w:tcW w:w="0" w:type="auto"/>
            <w:tcBorders>
              <w:top w:val="single" w:sz="8" w:space="0" w:color="808080"/>
            </w:tcBorders>
            <w:shd w:val="clear" w:color="auto" w:fill="auto"/>
            <w:tcMar>
              <w:top w:w="40" w:type="dxa"/>
              <w:left w:w="0" w:type="dxa"/>
              <w:bottom w:w="40" w:type="dxa"/>
              <w:right w:w="20" w:type="dxa"/>
            </w:tcMar>
            <w:vAlign w:val="bottom"/>
          </w:tcPr>
          <w:p w14:paraId="669C6097"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098" w14:textId="77777777" w:rsidR="00066C63" w:rsidRDefault="009656F6">
            <w:pPr>
              <w:jc w:val="right"/>
              <w:textAlignment w:val="bottom"/>
            </w:pPr>
            <w:r>
              <w:rPr>
                <w:rFonts w:ascii="Arial" w:eastAsia="宋体" w:hAnsi="Arial" w:cs="Arial"/>
                <w:color w:val="000000"/>
                <w:sz w:val="17"/>
                <w:szCs w:val="17"/>
              </w:rPr>
              <w:t>(1)</w:t>
            </w:r>
          </w:p>
        </w:tc>
        <w:tc>
          <w:tcPr>
            <w:tcW w:w="0" w:type="auto"/>
            <w:tcBorders>
              <w:top w:val="single" w:sz="8" w:space="0" w:color="808080"/>
            </w:tcBorders>
            <w:shd w:val="clear" w:color="auto" w:fill="auto"/>
            <w:tcMar>
              <w:top w:w="40" w:type="dxa"/>
              <w:left w:w="0" w:type="dxa"/>
              <w:bottom w:w="40" w:type="dxa"/>
              <w:right w:w="20" w:type="dxa"/>
            </w:tcMar>
            <w:vAlign w:val="bottom"/>
          </w:tcPr>
          <w:p w14:paraId="669C6099" w14:textId="77777777" w:rsidR="00066C63" w:rsidRDefault="00066C63">
            <w:pPr>
              <w:jc w:val="right"/>
              <w:rPr>
                <w:rFonts w:ascii="宋体"/>
              </w:rPr>
            </w:pPr>
          </w:p>
        </w:tc>
      </w:tr>
      <w:tr w:rsidR="00066C63" w14:paraId="669C60B3"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669C609B" w14:textId="77777777" w:rsidR="00066C63" w:rsidRDefault="009656F6">
            <w:pPr>
              <w:textAlignment w:val="bottom"/>
            </w:pPr>
            <w:r>
              <w:rPr>
                <w:rFonts w:ascii="Arial" w:eastAsia="宋体" w:hAnsi="Arial" w:cs="Arial"/>
                <w:b/>
                <w:bCs/>
                <w:color w:val="000000"/>
                <w:sz w:val="17"/>
                <w:szCs w:val="17"/>
              </w:rPr>
              <w:t>Balance at February 29, 2020</w:t>
            </w: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669C609C" w14:textId="77777777" w:rsidR="00066C63" w:rsidRDefault="009656F6">
            <w:pPr>
              <w:jc w:val="right"/>
              <w:textAlignment w:val="bottom"/>
            </w:pPr>
            <w:r>
              <w:rPr>
                <w:rFonts w:ascii="Arial" w:eastAsia="宋体" w:hAnsi="Arial" w:cs="Arial"/>
                <w:b/>
                <w:bCs/>
                <w:color w:val="000000"/>
                <w:sz w:val="17"/>
                <w:szCs w:val="17"/>
              </w:rPr>
              <w:t>315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69C609D" w14:textId="77777777" w:rsidR="00066C63" w:rsidRDefault="00066C63">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69C609E"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69C609F" w14:textId="77777777" w:rsidR="00066C63" w:rsidRDefault="009656F6">
            <w:pPr>
              <w:jc w:val="right"/>
              <w:textAlignment w:val="bottom"/>
            </w:pPr>
            <w:r>
              <w:rPr>
                <w:rFonts w:ascii="Arial" w:eastAsia="宋体" w:hAnsi="Arial" w:cs="Arial"/>
                <w:b/>
                <w:bCs/>
                <w:color w:val="000000"/>
                <w:sz w:val="17"/>
                <w:szCs w:val="17"/>
              </w:rPr>
              <w:t>—</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69C60A0" w14:textId="77777777" w:rsidR="00066C63" w:rsidRDefault="00066C63">
            <w:pPr>
              <w:jc w:val="right"/>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tcPr>
          <w:p w14:paraId="669C60A1" w14:textId="77777777" w:rsidR="00066C63" w:rsidRDefault="00066C63">
            <w:pPr>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669C60A2" w14:textId="77777777" w:rsidR="00066C63" w:rsidRDefault="009656F6">
            <w:pPr>
              <w:jc w:val="right"/>
              <w:textAlignment w:val="bottom"/>
            </w:pPr>
            <w:r>
              <w:rPr>
                <w:rFonts w:ascii="Arial" w:eastAsia="宋体" w:hAnsi="Arial" w:cs="Arial"/>
                <w:b/>
                <w:bCs/>
                <w:color w:val="000000"/>
                <w:sz w:val="17"/>
                <w:szCs w:val="17"/>
              </w:rPr>
              <w:t>1,240</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69C60A3" w14:textId="77777777" w:rsidR="00066C63" w:rsidRDefault="00066C63">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69C60A4"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69C60A5" w14:textId="77777777" w:rsidR="00066C63" w:rsidRDefault="009656F6">
            <w:pPr>
              <w:jc w:val="right"/>
              <w:textAlignment w:val="bottom"/>
            </w:pPr>
            <w:r>
              <w:rPr>
                <w:rFonts w:ascii="Arial" w:eastAsia="宋体" w:hAnsi="Arial" w:cs="Arial"/>
                <w:b/>
                <w:bCs/>
                <w:color w:val="000000"/>
                <w:sz w:val="17"/>
                <w:szCs w:val="17"/>
              </w:rPr>
              <w:t>3</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69C60A6" w14:textId="77777777" w:rsidR="00066C63" w:rsidRDefault="00066C63">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69C60A7"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69C60A8" w14:textId="77777777" w:rsidR="00066C63" w:rsidRDefault="009656F6">
            <w:pPr>
              <w:jc w:val="right"/>
              <w:textAlignment w:val="bottom"/>
            </w:pPr>
            <w:r>
              <w:rPr>
                <w:rFonts w:ascii="Arial" w:eastAsia="宋体" w:hAnsi="Arial" w:cs="Arial"/>
                <w:b/>
                <w:bCs/>
                <w:color w:val="000000"/>
                <w:sz w:val="17"/>
                <w:szCs w:val="17"/>
              </w:rPr>
              <w:t>7,971</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69C60A9" w14:textId="77777777" w:rsidR="00066C63" w:rsidRDefault="00066C63">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69C60AA"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69C60AB" w14:textId="77777777" w:rsidR="00066C63" w:rsidRDefault="009656F6">
            <w:pPr>
              <w:jc w:val="right"/>
              <w:textAlignment w:val="bottom"/>
            </w:pPr>
            <w:r>
              <w:rPr>
                <w:rFonts w:ascii="Arial" w:eastAsia="宋体" w:hAnsi="Arial" w:cs="Arial"/>
                <w:b/>
                <w:bCs/>
                <w:color w:val="000000"/>
                <w:sz w:val="17"/>
                <w:szCs w:val="17"/>
              </w:rPr>
              <w:t>(57)</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69C60AC" w14:textId="77777777" w:rsidR="00066C63" w:rsidRDefault="00066C63">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69C60AD"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69C60AE" w14:textId="77777777" w:rsidR="00066C63" w:rsidRDefault="009656F6">
            <w:pPr>
              <w:jc w:val="right"/>
              <w:textAlignment w:val="bottom"/>
            </w:pPr>
            <w:r>
              <w:rPr>
                <w:rFonts w:ascii="Arial" w:eastAsia="宋体" w:hAnsi="Arial" w:cs="Arial"/>
                <w:b/>
                <w:bCs/>
                <w:color w:val="000000"/>
                <w:sz w:val="17"/>
                <w:szCs w:val="17"/>
              </w:rPr>
              <w:t>1,128</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69C60AF" w14:textId="77777777" w:rsidR="00066C63" w:rsidRDefault="00066C63">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69C60B0"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69C60B1" w14:textId="77777777" w:rsidR="00066C63" w:rsidRDefault="009656F6">
            <w:pPr>
              <w:jc w:val="right"/>
              <w:textAlignment w:val="bottom"/>
            </w:pPr>
            <w:r>
              <w:rPr>
                <w:rFonts w:ascii="Arial" w:eastAsia="宋体" w:hAnsi="Arial" w:cs="Arial"/>
                <w:b/>
                <w:bCs/>
                <w:color w:val="000000"/>
                <w:sz w:val="17"/>
                <w:szCs w:val="17"/>
              </w:rPr>
              <w:t>9,045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69C60B2" w14:textId="77777777" w:rsidR="00066C63" w:rsidRDefault="00066C63">
            <w:pPr>
              <w:jc w:val="right"/>
              <w:rPr>
                <w:rFonts w:ascii="宋体"/>
              </w:rPr>
            </w:pPr>
          </w:p>
        </w:tc>
      </w:tr>
    </w:tbl>
    <w:p w14:paraId="669C60B4" w14:textId="77777777" w:rsidR="00066C63" w:rsidRDefault="009656F6">
      <w:pPr>
        <w:spacing w:before="110" w:after="120"/>
      </w:pPr>
      <w:r>
        <w:rPr>
          <w:rFonts w:ascii="Arial" w:eastAsia="宋体" w:hAnsi="Arial" w:cs="Arial"/>
          <w:i/>
          <w:iCs/>
          <w:color w:val="000000"/>
          <w:sz w:val="17"/>
          <w:szCs w:val="17"/>
        </w:rPr>
        <w:t>The accompanying Notes to the Unaudited Condensed Consolidated Financial Statements are an integral part of this statement.</w:t>
      </w:r>
    </w:p>
    <w:p w14:paraId="669C60B5" w14:textId="77777777" w:rsidR="00066C63" w:rsidRDefault="009656F6">
      <w:pPr>
        <w:spacing w:before="120" w:after="120"/>
      </w:pPr>
      <w:r>
        <w:rPr>
          <w:rFonts w:ascii="Arial" w:eastAsia="宋体" w:hAnsi="Arial" w:cs="Arial"/>
          <w:color w:val="E87722"/>
          <w:sz w:val="17"/>
          <w:szCs w:val="17"/>
        </w:rPr>
        <w:t>6</w:t>
      </w:r>
      <w:r>
        <w:rPr>
          <w:rFonts w:ascii="sans-serif" w:eastAsia="sans-serif" w:hAnsi="sans-serif" w:cs="sans-serif"/>
          <w:color w:val="000000"/>
          <w:sz w:val="17"/>
          <w:szCs w:val="17"/>
        </w:rPr>
        <w:t xml:space="preserve"> </w:t>
      </w:r>
    </w:p>
    <w:p w14:paraId="669C60B6" w14:textId="77777777" w:rsidR="00066C63" w:rsidRDefault="009656F6">
      <w:r>
        <w:pict w14:anchorId="669C7E36">
          <v:rect id="_x0000_i1032" style="width:415.3pt;height:1.5pt" o:hralign="center" o:hrstd="t" o:hr="t" fillcolor="#a0a0a0" stroked="f"/>
        </w:pict>
      </w:r>
    </w:p>
    <w:p w14:paraId="669C60B7" w14:textId="77777777" w:rsidR="00066C63" w:rsidRDefault="00066C63"/>
    <w:p w14:paraId="669C60B8" w14:textId="77777777" w:rsidR="00066C63" w:rsidRDefault="009656F6">
      <w:hyperlink r:id="rId49" w:anchor="i1e99cb26debe49fe8b698d0f0eb1273a_7" w:history="1">
        <w:r>
          <w:rPr>
            <w:rStyle w:val="a5"/>
            <w:rFonts w:ascii="sans-serif" w:eastAsia="sans-serif" w:hAnsi="sans-serif" w:cs="sans-serif"/>
            <w:sz w:val="17"/>
            <w:szCs w:val="17"/>
          </w:rPr>
          <w:t>Table of Contents</w:t>
        </w:r>
      </w:hyperlink>
    </w:p>
    <w:p w14:paraId="669C60B9" w14:textId="77777777" w:rsidR="00066C63" w:rsidRDefault="00066C63"/>
    <w:p w14:paraId="669C60BA" w14:textId="77777777" w:rsidR="00066C63" w:rsidRDefault="009656F6">
      <w:pPr>
        <w:spacing w:before="360" w:after="180"/>
      </w:pPr>
      <w:r>
        <w:rPr>
          <w:rFonts w:ascii="sans-serif" w:eastAsia="sans-serif" w:hAnsi="sans-serif" w:cs="sans-serif"/>
          <w:color w:val="000000"/>
          <w:sz w:val="44"/>
          <w:szCs w:val="44"/>
        </w:rPr>
        <w:t>NOTES TO THE UNAUDITED CONDENSED CONSOLIDATED FINANCIAL STATEMENTS</w:t>
      </w:r>
    </w:p>
    <w:tbl>
      <w:tblPr>
        <w:tblW w:w="5000" w:type="pct"/>
        <w:tblCellMar>
          <w:top w:w="15" w:type="dxa"/>
          <w:left w:w="15" w:type="dxa"/>
          <w:bottom w:w="15" w:type="dxa"/>
          <w:right w:w="15" w:type="dxa"/>
        </w:tblCellMar>
        <w:tblLook w:val="04A0" w:firstRow="1" w:lastRow="0" w:firstColumn="1" w:lastColumn="0" w:noHBand="0" w:noVBand="1"/>
      </w:tblPr>
      <w:tblGrid>
        <w:gridCol w:w="69"/>
        <w:gridCol w:w="768"/>
        <w:gridCol w:w="36"/>
        <w:gridCol w:w="69"/>
        <w:gridCol w:w="6895"/>
        <w:gridCol w:w="37"/>
        <w:gridCol w:w="69"/>
        <w:gridCol w:w="357"/>
        <w:gridCol w:w="36"/>
      </w:tblGrid>
      <w:tr w:rsidR="00066C63" w14:paraId="669C60C4" w14:textId="77777777">
        <w:tc>
          <w:tcPr>
            <w:tcW w:w="50" w:type="pct"/>
            <w:shd w:val="clear" w:color="auto" w:fill="auto"/>
          </w:tcPr>
          <w:p w14:paraId="669C60BB" w14:textId="77777777" w:rsidR="00066C63" w:rsidRDefault="00066C63">
            <w:pPr>
              <w:rPr>
                <w:rFonts w:ascii="宋体"/>
              </w:rPr>
            </w:pPr>
          </w:p>
        </w:tc>
        <w:tc>
          <w:tcPr>
            <w:tcW w:w="469" w:type="pct"/>
            <w:shd w:val="clear" w:color="auto" w:fill="auto"/>
          </w:tcPr>
          <w:p w14:paraId="669C60BC" w14:textId="77777777" w:rsidR="00066C63" w:rsidRDefault="00066C63">
            <w:pPr>
              <w:rPr>
                <w:rFonts w:ascii="宋体"/>
              </w:rPr>
            </w:pPr>
          </w:p>
        </w:tc>
        <w:tc>
          <w:tcPr>
            <w:tcW w:w="5" w:type="pct"/>
            <w:shd w:val="clear" w:color="auto" w:fill="auto"/>
          </w:tcPr>
          <w:p w14:paraId="669C60BD" w14:textId="77777777" w:rsidR="00066C63" w:rsidRDefault="00066C63">
            <w:pPr>
              <w:rPr>
                <w:rFonts w:ascii="宋体"/>
              </w:rPr>
            </w:pPr>
          </w:p>
        </w:tc>
        <w:tc>
          <w:tcPr>
            <w:tcW w:w="50" w:type="pct"/>
            <w:shd w:val="clear" w:color="auto" w:fill="auto"/>
          </w:tcPr>
          <w:p w14:paraId="669C60BE" w14:textId="77777777" w:rsidR="00066C63" w:rsidRDefault="00066C63">
            <w:pPr>
              <w:rPr>
                <w:rFonts w:ascii="宋体"/>
              </w:rPr>
            </w:pPr>
          </w:p>
        </w:tc>
        <w:tc>
          <w:tcPr>
            <w:tcW w:w="4142" w:type="pct"/>
            <w:shd w:val="clear" w:color="auto" w:fill="auto"/>
          </w:tcPr>
          <w:p w14:paraId="669C60BF" w14:textId="77777777" w:rsidR="00066C63" w:rsidRDefault="00066C63">
            <w:pPr>
              <w:rPr>
                <w:rFonts w:ascii="宋体"/>
              </w:rPr>
            </w:pPr>
          </w:p>
        </w:tc>
        <w:tc>
          <w:tcPr>
            <w:tcW w:w="5" w:type="pct"/>
            <w:shd w:val="clear" w:color="auto" w:fill="auto"/>
          </w:tcPr>
          <w:p w14:paraId="669C60C0" w14:textId="77777777" w:rsidR="00066C63" w:rsidRDefault="00066C63">
            <w:pPr>
              <w:rPr>
                <w:rFonts w:ascii="宋体"/>
              </w:rPr>
            </w:pPr>
          </w:p>
        </w:tc>
        <w:tc>
          <w:tcPr>
            <w:tcW w:w="50" w:type="pct"/>
            <w:shd w:val="clear" w:color="auto" w:fill="auto"/>
          </w:tcPr>
          <w:p w14:paraId="669C60C1" w14:textId="77777777" w:rsidR="00066C63" w:rsidRDefault="00066C63">
            <w:pPr>
              <w:rPr>
                <w:rFonts w:ascii="宋体"/>
              </w:rPr>
            </w:pPr>
          </w:p>
        </w:tc>
        <w:tc>
          <w:tcPr>
            <w:tcW w:w="222" w:type="pct"/>
            <w:shd w:val="clear" w:color="auto" w:fill="auto"/>
          </w:tcPr>
          <w:p w14:paraId="669C60C2" w14:textId="77777777" w:rsidR="00066C63" w:rsidRDefault="00066C63">
            <w:pPr>
              <w:rPr>
                <w:rFonts w:ascii="宋体"/>
              </w:rPr>
            </w:pPr>
          </w:p>
        </w:tc>
        <w:tc>
          <w:tcPr>
            <w:tcW w:w="5" w:type="pct"/>
            <w:shd w:val="clear" w:color="auto" w:fill="auto"/>
          </w:tcPr>
          <w:p w14:paraId="669C60C3" w14:textId="77777777" w:rsidR="00066C63" w:rsidRDefault="00066C63">
            <w:pPr>
              <w:rPr>
                <w:rFonts w:ascii="宋体"/>
              </w:rPr>
            </w:pPr>
          </w:p>
        </w:tc>
      </w:tr>
      <w:tr w:rsidR="00066C63" w14:paraId="669C60C8"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0C5" w14:textId="77777777" w:rsidR="00066C63" w:rsidRDefault="009656F6">
            <w:pPr>
              <w:textAlignment w:val="bottom"/>
            </w:pPr>
            <w:r>
              <w:rPr>
                <w:rFonts w:ascii="sans-serif" w:eastAsia="sans-serif" w:hAnsi="sans-serif" w:cs="sans-serif"/>
                <w:b/>
                <w:bCs/>
                <w:color w:val="000000"/>
                <w:sz w:val="18"/>
                <w:szCs w:val="18"/>
              </w:rPr>
              <w:t>Note 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0C6" w14:textId="77777777" w:rsidR="00066C63" w:rsidRDefault="009656F6">
            <w:pPr>
              <w:textAlignment w:val="bottom"/>
            </w:pPr>
            <w:hyperlink r:id="rId50" w:anchor="i1e99cb26debe49fe8b698d0f0eb1273a_34" w:history="1">
              <w:r>
                <w:rPr>
                  <w:rStyle w:val="a5"/>
                  <w:rFonts w:ascii="sans-serif" w:eastAsia="sans-serif" w:hAnsi="sans-serif" w:cs="sans-serif"/>
                  <w:color w:val="000000"/>
                  <w:sz w:val="16"/>
                  <w:szCs w:val="16"/>
                  <w:u w:val="none"/>
                </w:rPr>
                <w:t>Summary of Significant Accounting Policies</w:t>
              </w:r>
            </w:hyperlink>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0C7" w14:textId="77777777" w:rsidR="00066C63" w:rsidRDefault="009656F6">
            <w:pPr>
              <w:textAlignment w:val="bottom"/>
            </w:pPr>
            <w:hyperlink r:id="rId51" w:anchor="i1e99cb26debe49fe8b698d0f0eb1273a_34" w:history="1">
              <w:r>
                <w:rPr>
                  <w:rStyle w:val="a5"/>
                  <w:rFonts w:ascii="sans-serif" w:eastAsia="sans-serif" w:hAnsi="sans-serif" w:cs="sans-serif"/>
                  <w:color w:val="000000"/>
                  <w:sz w:val="16"/>
                  <w:szCs w:val="16"/>
                  <w:u w:val="none"/>
                </w:rPr>
                <w:t>8</w:t>
              </w:r>
            </w:hyperlink>
          </w:p>
        </w:tc>
      </w:tr>
      <w:tr w:rsidR="00066C63" w14:paraId="669C60CC"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60C9" w14:textId="77777777" w:rsidR="00066C63" w:rsidRDefault="009656F6">
            <w:pPr>
              <w:textAlignment w:val="bottom"/>
            </w:pPr>
            <w:r>
              <w:rPr>
                <w:rFonts w:ascii="sans-serif" w:eastAsia="sans-serif" w:hAnsi="sans-serif" w:cs="sans-serif"/>
                <w:b/>
                <w:bCs/>
                <w:color w:val="000000"/>
                <w:sz w:val="18"/>
                <w:szCs w:val="18"/>
              </w:rPr>
              <w:t>Note 2</w:t>
            </w: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60CA" w14:textId="77777777" w:rsidR="00066C63" w:rsidRDefault="009656F6">
            <w:pPr>
              <w:textAlignment w:val="bottom"/>
            </w:pPr>
            <w:hyperlink r:id="rId52" w:anchor="i1e99cb26debe49fe8b698d0f0eb1273a_37" w:history="1">
              <w:r>
                <w:rPr>
                  <w:rStyle w:val="a5"/>
                  <w:rFonts w:ascii="sans-serif" w:eastAsia="sans-serif" w:hAnsi="sans-serif" w:cs="sans-serif"/>
                  <w:color w:val="000000"/>
                  <w:sz w:val="16"/>
                  <w:szCs w:val="16"/>
                  <w:u w:val="none"/>
                </w:rPr>
                <w:t>Inventories</w:t>
              </w:r>
            </w:hyperlink>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60CB" w14:textId="77777777" w:rsidR="00066C63" w:rsidRDefault="009656F6">
            <w:pPr>
              <w:textAlignment w:val="bottom"/>
            </w:pPr>
            <w:hyperlink r:id="rId53" w:anchor="i1e99cb26debe49fe8b698d0f0eb1273a_37" w:history="1">
              <w:r>
                <w:rPr>
                  <w:rStyle w:val="a5"/>
                  <w:rFonts w:ascii="sans-serif" w:eastAsia="sans-serif" w:hAnsi="sans-serif" w:cs="sans-serif"/>
                  <w:color w:val="000000"/>
                  <w:sz w:val="16"/>
                  <w:szCs w:val="16"/>
                  <w:u w:val="none"/>
                </w:rPr>
                <w:t>8</w:t>
              </w:r>
            </w:hyperlink>
          </w:p>
        </w:tc>
      </w:tr>
      <w:tr w:rsidR="00066C63" w14:paraId="669C60D0"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60CD" w14:textId="77777777" w:rsidR="00066C63" w:rsidRDefault="009656F6">
            <w:pPr>
              <w:textAlignment w:val="bottom"/>
            </w:pPr>
            <w:r>
              <w:rPr>
                <w:rFonts w:ascii="sans-serif" w:eastAsia="sans-serif" w:hAnsi="sans-serif" w:cs="sans-serif"/>
                <w:b/>
                <w:bCs/>
                <w:color w:val="000000"/>
                <w:sz w:val="18"/>
                <w:szCs w:val="18"/>
              </w:rPr>
              <w:t>Note 3</w:t>
            </w: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60CE" w14:textId="77777777" w:rsidR="00066C63" w:rsidRDefault="009656F6">
            <w:pPr>
              <w:textAlignment w:val="bottom"/>
            </w:pPr>
            <w:hyperlink r:id="rId54" w:anchor="i1e99cb26debe49fe8b698d0f0eb1273a_40" w:history="1">
              <w:r>
                <w:rPr>
                  <w:rStyle w:val="a5"/>
                  <w:rFonts w:ascii="sans-serif" w:eastAsia="sans-serif" w:hAnsi="sans-serif" w:cs="sans-serif"/>
                  <w:color w:val="000000"/>
                  <w:sz w:val="16"/>
                  <w:szCs w:val="16"/>
                  <w:u w:val="none"/>
                </w:rPr>
                <w:t>Accrued Liabilities</w:t>
              </w:r>
            </w:hyperlink>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60CF" w14:textId="77777777" w:rsidR="00066C63" w:rsidRDefault="009656F6">
            <w:pPr>
              <w:textAlignment w:val="bottom"/>
            </w:pPr>
            <w:hyperlink r:id="rId55" w:anchor="i1e99cb26debe49fe8b698d0f0eb1273a_40" w:history="1">
              <w:r>
                <w:rPr>
                  <w:rStyle w:val="a5"/>
                  <w:rFonts w:ascii="sans-serif" w:eastAsia="sans-serif" w:hAnsi="sans-serif" w:cs="sans-serif"/>
                  <w:color w:val="000000"/>
                  <w:sz w:val="16"/>
                  <w:szCs w:val="16"/>
                  <w:u w:val="none"/>
                </w:rPr>
                <w:t>8</w:t>
              </w:r>
            </w:hyperlink>
          </w:p>
        </w:tc>
      </w:tr>
      <w:tr w:rsidR="00066C63" w14:paraId="669C60D4"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60D1" w14:textId="77777777" w:rsidR="00066C63" w:rsidRDefault="009656F6">
            <w:pPr>
              <w:textAlignment w:val="bottom"/>
            </w:pPr>
            <w:r>
              <w:rPr>
                <w:rFonts w:ascii="sans-serif" w:eastAsia="sans-serif" w:hAnsi="sans-serif" w:cs="sans-serif"/>
                <w:b/>
                <w:bCs/>
                <w:color w:val="000000"/>
                <w:sz w:val="18"/>
                <w:szCs w:val="18"/>
              </w:rPr>
              <w:t>Note 4</w:t>
            </w: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60D2" w14:textId="77777777" w:rsidR="00066C63" w:rsidRDefault="009656F6">
            <w:pPr>
              <w:textAlignment w:val="bottom"/>
            </w:pPr>
            <w:hyperlink r:id="rId56" w:anchor="i1e99cb26debe49fe8b698d0f0eb1273a_43" w:history="1">
              <w:r>
                <w:rPr>
                  <w:rStyle w:val="a5"/>
                  <w:rFonts w:ascii="sans-serif" w:eastAsia="sans-serif" w:hAnsi="sans-serif" w:cs="sans-serif"/>
                  <w:color w:val="000000"/>
                  <w:sz w:val="16"/>
                  <w:szCs w:val="16"/>
                  <w:u w:val="none"/>
                </w:rPr>
                <w:t>Fair Value Measurements</w:t>
              </w:r>
            </w:hyperlink>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60D3" w14:textId="77777777" w:rsidR="00066C63" w:rsidRDefault="009656F6">
            <w:pPr>
              <w:textAlignment w:val="bottom"/>
            </w:pPr>
            <w:hyperlink r:id="rId57" w:anchor="i1e99cb26debe49fe8b698d0f0eb1273a_43" w:history="1">
              <w:r>
                <w:rPr>
                  <w:rStyle w:val="a5"/>
                  <w:rFonts w:ascii="sans-serif" w:eastAsia="sans-serif" w:hAnsi="sans-serif" w:cs="sans-serif"/>
                  <w:color w:val="000000"/>
                  <w:sz w:val="16"/>
                  <w:szCs w:val="16"/>
                  <w:u w:val="none"/>
                </w:rPr>
                <w:t>8</w:t>
              </w:r>
            </w:hyperlink>
          </w:p>
        </w:tc>
      </w:tr>
      <w:tr w:rsidR="00066C63" w14:paraId="669C60D8"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60D5" w14:textId="77777777" w:rsidR="00066C63" w:rsidRDefault="009656F6">
            <w:pPr>
              <w:textAlignment w:val="bottom"/>
            </w:pPr>
            <w:r>
              <w:rPr>
                <w:rFonts w:ascii="sans-serif" w:eastAsia="sans-serif" w:hAnsi="sans-serif" w:cs="sans-serif"/>
                <w:b/>
                <w:bCs/>
                <w:color w:val="000000"/>
                <w:sz w:val="18"/>
                <w:szCs w:val="18"/>
              </w:rPr>
              <w:t>Note 5</w:t>
            </w: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60D6" w14:textId="77777777" w:rsidR="00066C63" w:rsidRDefault="009656F6">
            <w:pPr>
              <w:textAlignment w:val="bottom"/>
            </w:pPr>
            <w:hyperlink r:id="rId58" w:anchor="i1e99cb26debe49fe8b698d0f0eb1273a_46" w:history="1">
              <w:r>
                <w:rPr>
                  <w:rStyle w:val="a5"/>
                  <w:rFonts w:ascii="sans-serif" w:eastAsia="sans-serif" w:hAnsi="sans-serif" w:cs="sans-serif"/>
                  <w:color w:val="000000"/>
                  <w:sz w:val="16"/>
                  <w:szCs w:val="16"/>
                  <w:u w:val="none"/>
                </w:rPr>
                <w:t xml:space="preserve">Short-Term </w:t>
              </w:r>
              <w:r>
                <w:rPr>
                  <w:rStyle w:val="a5"/>
                  <w:rFonts w:ascii="sans-serif" w:eastAsia="sans-serif" w:hAnsi="sans-serif" w:cs="sans-serif"/>
                  <w:color w:val="000000"/>
                  <w:sz w:val="16"/>
                  <w:szCs w:val="16"/>
                  <w:u w:val="none"/>
                </w:rPr>
                <w:t>Borrowings and Credit Lines</w:t>
              </w:r>
            </w:hyperlink>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60D7" w14:textId="77777777" w:rsidR="00066C63" w:rsidRDefault="009656F6">
            <w:pPr>
              <w:textAlignment w:val="bottom"/>
            </w:pPr>
            <w:hyperlink r:id="rId59" w:anchor="i1e99cb26debe49fe8b698d0f0eb1273a_46" w:history="1">
              <w:r>
                <w:rPr>
                  <w:rStyle w:val="a5"/>
                  <w:rFonts w:ascii="sans-serif" w:eastAsia="sans-serif" w:hAnsi="sans-serif" w:cs="sans-serif"/>
                  <w:color w:val="000000"/>
                  <w:sz w:val="16"/>
                  <w:szCs w:val="16"/>
                  <w:u w:val="none"/>
                </w:rPr>
                <w:t>10</w:t>
              </w:r>
            </w:hyperlink>
          </w:p>
        </w:tc>
      </w:tr>
      <w:tr w:rsidR="00066C63" w14:paraId="669C60DC"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60D9" w14:textId="77777777" w:rsidR="00066C63" w:rsidRDefault="009656F6">
            <w:pPr>
              <w:textAlignment w:val="bottom"/>
            </w:pPr>
            <w:r>
              <w:rPr>
                <w:rFonts w:ascii="sans-serif" w:eastAsia="sans-serif" w:hAnsi="sans-serif" w:cs="sans-serif"/>
                <w:b/>
                <w:bCs/>
                <w:color w:val="000000"/>
                <w:sz w:val="18"/>
                <w:szCs w:val="18"/>
              </w:rPr>
              <w:t>Note 6</w:t>
            </w: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60DA" w14:textId="77777777" w:rsidR="00066C63" w:rsidRDefault="009656F6">
            <w:pPr>
              <w:textAlignment w:val="bottom"/>
            </w:pPr>
            <w:hyperlink r:id="rId60" w:anchor="i1e99cb26debe49fe8b698d0f0eb1273a_49" w:history="1">
              <w:r>
                <w:rPr>
                  <w:rStyle w:val="a5"/>
                  <w:rFonts w:ascii="sans-serif" w:eastAsia="sans-serif" w:hAnsi="sans-serif" w:cs="sans-serif"/>
                  <w:color w:val="000000"/>
                  <w:sz w:val="16"/>
                  <w:szCs w:val="16"/>
                  <w:u w:val="none"/>
                </w:rPr>
                <w:t>Income Taxes</w:t>
              </w:r>
            </w:hyperlink>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60DB" w14:textId="77777777" w:rsidR="00066C63" w:rsidRDefault="009656F6">
            <w:pPr>
              <w:textAlignment w:val="bottom"/>
            </w:pPr>
            <w:hyperlink r:id="rId61" w:anchor="i1e99cb26debe49fe8b698d0f0eb1273a_49" w:history="1">
              <w:r>
                <w:rPr>
                  <w:rStyle w:val="a5"/>
                  <w:rFonts w:ascii="sans-serif" w:eastAsia="sans-serif" w:hAnsi="sans-serif" w:cs="sans-serif"/>
                  <w:color w:val="000000"/>
                  <w:sz w:val="16"/>
                  <w:szCs w:val="16"/>
                  <w:u w:val="none"/>
                </w:rPr>
                <w:t>1</w:t>
              </w:r>
              <w:r>
                <w:rPr>
                  <w:rStyle w:val="a5"/>
                  <w:rFonts w:ascii="sans-serif" w:eastAsia="sans-serif" w:hAnsi="sans-serif" w:cs="sans-serif"/>
                  <w:color w:val="000000"/>
                  <w:sz w:val="16"/>
                  <w:szCs w:val="16"/>
                  <w:u w:val="none"/>
                </w:rPr>
                <w:t>0</w:t>
              </w:r>
            </w:hyperlink>
          </w:p>
        </w:tc>
      </w:tr>
      <w:tr w:rsidR="00066C63" w14:paraId="669C60E0"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60DD" w14:textId="77777777" w:rsidR="00066C63" w:rsidRDefault="009656F6">
            <w:pPr>
              <w:textAlignment w:val="bottom"/>
            </w:pPr>
            <w:r>
              <w:rPr>
                <w:rFonts w:ascii="sans-serif" w:eastAsia="sans-serif" w:hAnsi="sans-serif" w:cs="sans-serif"/>
                <w:b/>
                <w:bCs/>
                <w:color w:val="000000"/>
                <w:sz w:val="18"/>
                <w:szCs w:val="18"/>
              </w:rPr>
              <w:t>Note 7</w:t>
            </w: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60DE" w14:textId="77777777" w:rsidR="00066C63" w:rsidRDefault="009656F6">
            <w:pPr>
              <w:textAlignment w:val="bottom"/>
            </w:pPr>
            <w:hyperlink r:id="rId62" w:anchor="i1e99cb26debe49fe8b698d0f0eb1273a_52" w:history="1">
              <w:r>
                <w:rPr>
                  <w:rStyle w:val="a5"/>
                  <w:rFonts w:ascii="sans-serif" w:eastAsia="sans-serif" w:hAnsi="sans-serif" w:cs="sans-serif"/>
                  <w:color w:val="000000"/>
                  <w:sz w:val="16"/>
                  <w:szCs w:val="16"/>
                  <w:u w:val="none"/>
                </w:rPr>
                <w:t>Stock-Based Compensation</w:t>
              </w:r>
            </w:hyperlink>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60DF" w14:textId="77777777" w:rsidR="00066C63" w:rsidRDefault="009656F6">
            <w:pPr>
              <w:textAlignment w:val="bottom"/>
            </w:pPr>
            <w:hyperlink r:id="rId63" w:anchor="i1e99cb26debe49fe8b698d0f0eb1273a_52" w:history="1">
              <w:r>
                <w:rPr>
                  <w:rStyle w:val="a5"/>
                  <w:rFonts w:ascii="sans-serif" w:eastAsia="sans-serif" w:hAnsi="sans-serif" w:cs="sans-serif"/>
                  <w:color w:val="000000"/>
                  <w:sz w:val="16"/>
                  <w:szCs w:val="16"/>
                  <w:u w:val="none"/>
                </w:rPr>
                <w:t>11</w:t>
              </w:r>
            </w:hyperlink>
          </w:p>
        </w:tc>
      </w:tr>
      <w:tr w:rsidR="00066C63" w14:paraId="669C60E4"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60E1" w14:textId="77777777" w:rsidR="00066C63" w:rsidRDefault="009656F6">
            <w:pPr>
              <w:textAlignment w:val="bottom"/>
            </w:pPr>
            <w:r>
              <w:rPr>
                <w:rFonts w:ascii="sans-serif" w:eastAsia="sans-serif" w:hAnsi="sans-serif" w:cs="sans-serif"/>
                <w:b/>
                <w:bCs/>
                <w:color w:val="000000"/>
                <w:sz w:val="18"/>
                <w:szCs w:val="18"/>
              </w:rPr>
              <w:t>Note 8</w:t>
            </w: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60E2" w14:textId="77777777" w:rsidR="00066C63" w:rsidRDefault="009656F6">
            <w:pPr>
              <w:textAlignment w:val="bottom"/>
            </w:pPr>
            <w:hyperlink r:id="rId64" w:anchor="i1e99cb26debe49fe8b698d0f0eb1273a_55" w:history="1">
              <w:r>
                <w:rPr>
                  <w:rStyle w:val="a5"/>
                  <w:rFonts w:ascii="sans-serif" w:eastAsia="sans-serif" w:hAnsi="sans-serif" w:cs="sans-serif"/>
                  <w:color w:val="000000"/>
                  <w:sz w:val="16"/>
                  <w:szCs w:val="16"/>
                  <w:u w:val="none"/>
                </w:rPr>
                <w:t>Earning</w:t>
              </w:r>
              <w:r>
                <w:rPr>
                  <w:rStyle w:val="a5"/>
                  <w:rFonts w:ascii="sans-serif" w:eastAsia="sans-serif" w:hAnsi="sans-serif" w:cs="sans-serif"/>
                  <w:color w:val="000000"/>
                  <w:sz w:val="16"/>
                  <w:szCs w:val="16"/>
                  <w:u w:val="none"/>
                </w:rPr>
                <w:t>s Per Share</w:t>
              </w:r>
            </w:hyperlink>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60E3" w14:textId="77777777" w:rsidR="00066C63" w:rsidRDefault="009656F6">
            <w:pPr>
              <w:textAlignment w:val="bottom"/>
            </w:pPr>
            <w:hyperlink r:id="rId65" w:anchor="i1e99cb26debe49fe8b698d0f0eb1273a_55" w:history="1">
              <w:r>
                <w:rPr>
                  <w:rStyle w:val="a5"/>
                  <w:rFonts w:ascii="sans-serif" w:eastAsia="sans-serif" w:hAnsi="sans-serif" w:cs="sans-serif"/>
                  <w:color w:val="000000"/>
                  <w:sz w:val="16"/>
                  <w:szCs w:val="16"/>
                  <w:u w:val="none"/>
                </w:rPr>
                <w:t>12</w:t>
              </w:r>
            </w:hyperlink>
          </w:p>
        </w:tc>
      </w:tr>
      <w:tr w:rsidR="00066C63" w14:paraId="669C60E8"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60E5" w14:textId="77777777" w:rsidR="00066C63" w:rsidRDefault="009656F6">
            <w:pPr>
              <w:textAlignment w:val="bottom"/>
            </w:pPr>
            <w:r>
              <w:rPr>
                <w:rFonts w:ascii="sans-serif" w:eastAsia="sans-serif" w:hAnsi="sans-serif" w:cs="sans-serif"/>
                <w:b/>
                <w:bCs/>
                <w:color w:val="000000"/>
                <w:sz w:val="18"/>
                <w:szCs w:val="18"/>
              </w:rPr>
              <w:t>Note 9</w:t>
            </w: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60E6" w14:textId="77777777" w:rsidR="00066C63" w:rsidRDefault="009656F6">
            <w:pPr>
              <w:textAlignment w:val="bottom"/>
            </w:pPr>
            <w:hyperlink r:id="rId66" w:anchor="i1e99cb26debe49fe8b698d0f0eb1273a_58" w:history="1">
              <w:r>
                <w:rPr>
                  <w:rStyle w:val="a5"/>
                  <w:rFonts w:ascii="sans-serif" w:eastAsia="sans-serif" w:hAnsi="sans-serif" w:cs="sans-serif"/>
                  <w:color w:val="000000"/>
                  <w:sz w:val="16"/>
                  <w:szCs w:val="16"/>
                  <w:u w:val="none"/>
                </w:rPr>
                <w:t>Risk Management and Derivatives</w:t>
              </w:r>
            </w:hyperlink>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60E7" w14:textId="77777777" w:rsidR="00066C63" w:rsidRDefault="009656F6">
            <w:pPr>
              <w:textAlignment w:val="bottom"/>
            </w:pPr>
            <w:hyperlink r:id="rId67" w:anchor="i1e99cb26debe49fe8b698d0f0eb1273a_58" w:history="1">
              <w:r>
                <w:rPr>
                  <w:rStyle w:val="a5"/>
                  <w:rFonts w:ascii="sans-serif" w:eastAsia="sans-serif" w:hAnsi="sans-serif" w:cs="sans-serif"/>
                  <w:color w:val="000000"/>
                  <w:sz w:val="16"/>
                  <w:szCs w:val="16"/>
                  <w:u w:val="none"/>
                </w:rPr>
                <w:t>13</w:t>
              </w:r>
            </w:hyperlink>
          </w:p>
        </w:tc>
      </w:tr>
      <w:tr w:rsidR="00066C63" w14:paraId="669C60EC"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60E9" w14:textId="77777777" w:rsidR="00066C63" w:rsidRDefault="009656F6">
            <w:pPr>
              <w:textAlignment w:val="bottom"/>
            </w:pPr>
            <w:r>
              <w:rPr>
                <w:rFonts w:ascii="sans-serif" w:eastAsia="sans-serif" w:hAnsi="sans-serif" w:cs="sans-serif"/>
                <w:b/>
                <w:bCs/>
                <w:color w:val="000000"/>
                <w:sz w:val="18"/>
                <w:szCs w:val="18"/>
              </w:rPr>
              <w:t>Note 10</w:t>
            </w: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60EA" w14:textId="77777777" w:rsidR="00066C63" w:rsidRDefault="009656F6">
            <w:pPr>
              <w:textAlignment w:val="bottom"/>
            </w:pPr>
            <w:hyperlink r:id="rId68" w:anchor="i1e99cb26debe49fe8b698d0f0eb1273a_61" w:history="1">
              <w:r>
                <w:rPr>
                  <w:rStyle w:val="a5"/>
                  <w:rFonts w:ascii="sans-serif" w:eastAsia="sans-serif" w:hAnsi="sans-serif" w:cs="sans-serif"/>
                  <w:color w:val="000000"/>
                  <w:sz w:val="16"/>
                  <w:szCs w:val="16"/>
                  <w:u w:val="none"/>
                </w:rPr>
                <w:t xml:space="preserve">Accumulated </w:t>
              </w:r>
              <w:r>
                <w:rPr>
                  <w:rStyle w:val="a5"/>
                  <w:rFonts w:ascii="sans-serif" w:eastAsia="sans-serif" w:hAnsi="sans-serif" w:cs="sans-serif"/>
                  <w:color w:val="000000"/>
                  <w:sz w:val="16"/>
                  <w:szCs w:val="16"/>
                  <w:u w:val="none"/>
                </w:rPr>
                <w:t>Other Comprehensive Income (Loss)</w:t>
              </w:r>
            </w:hyperlink>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60EB" w14:textId="77777777" w:rsidR="00066C63" w:rsidRDefault="009656F6">
            <w:pPr>
              <w:textAlignment w:val="bottom"/>
            </w:pPr>
            <w:hyperlink r:id="rId69" w:anchor="i1e99cb26debe49fe8b698d0f0eb1273a_61" w:history="1">
              <w:r>
                <w:rPr>
                  <w:rStyle w:val="a5"/>
                  <w:rFonts w:ascii="sans-serif" w:eastAsia="sans-serif" w:hAnsi="sans-serif" w:cs="sans-serif"/>
                  <w:color w:val="000000"/>
                  <w:sz w:val="16"/>
                  <w:szCs w:val="16"/>
                  <w:u w:val="none"/>
                </w:rPr>
                <w:t>17</w:t>
              </w:r>
            </w:hyperlink>
          </w:p>
        </w:tc>
      </w:tr>
      <w:tr w:rsidR="00066C63" w14:paraId="669C60F0"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60ED" w14:textId="77777777" w:rsidR="00066C63" w:rsidRDefault="009656F6">
            <w:pPr>
              <w:textAlignment w:val="bottom"/>
            </w:pPr>
            <w:r>
              <w:rPr>
                <w:rFonts w:ascii="sans-serif" w:eastAsia="sans-serif" w:hAnsi="sans-serif" w:cs="sans-serif"/>
                <w:b/>
                <w:bCs/>
                <w:color w:val="000000"/>
                <w:sz w:val="18"/>
                <w:szCs w:val="18"/>
              </w:rPr>
              <w:t>Note 11</w:t>
            </w: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60EE" w14:textId="77777777" w:rsidR="00066C63" w:rsidRDefault="009656F6">
            <w:pPr>
              <w:textAlignment w:val="bottom"/>
            </w:pPr>
            <w:hyperlink r:id="rId70" w:anchor="i1e99cb26debe49fe8b698d0f0eb1273a_64" w:history="1">
              <w:r>
                <w:rPr>
                  <w:rStyle w:val="a5"/>
                  <w:rFonts w:ascii="sans-serif" w:eastAsia="sans-serif" w:hAnsi="sans-serif" w:cs="sans-serif"/>
                  <w:color w:val="000000"/>
                  <w:sz w:val="16"/>
                  <w:szCs w:val="16"/>
                  <w:u w:val="none"/>
                </w:rPr>
                <w:t>Revenues</w:t>
              </w:r>
            </w:hyperlink>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60EF" w14:textId="77777777" w:rsidR="00066C63" w:rsidRDefault="009656F6">
            <w:pPr>
              <w:textAlignment w:val="bottom"/>
            </w:pPr>
            <w:hyperlink r:id="rId71" w:anchor="i1e99cb26debe49fe8b698d0f0eb1273a_64" w:history="1">
              <w:r>
                <w:rPr>
                  <w:rStyle w:val="a5"/>
                  <w:rFonts w:ascii="sans-serif" w:eastAsia="sans-serif" w:hAnsi="sans-serif" w:cs="sans-serif"/>
                  <w:color w:val="000000"/>
                  <w:sz w:val="16"/>
                  <w:szCs w:val="16"/>
                  <w:u w:val="none"/>
                </w:rPr>
                <w:t>19</w:t>
              </w:r>
            </w:hyperlink>
          </w:p>
        </w:tc>
      </w:tr>
      <w:tr w:rsidR="00066C63" w14:paraId="669C60F4"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60F1" w14:textId="77777777" w:rsidR="00066C63" w:rsidRDefault="009656F6">
            <w:pPr>
              <w:textAlignment w:val="bottom"/>
            </w:pPr>
            <w:r>
              <w:rPr>
                <w:rFonts w:ascii="sans-serif" w:eastAsia="sans-serif" w:hAnsi="sans-serif" w:cs="sans-serif"/>
                <w:b/>
                <w:bCs/>
                <w:color w:val="000000"/>
                <w:sz w:val="18"/>
                <w:szCs w:val="18"/>
              </w:rPr>
              <w:t>Note 12</w:t>
            </w: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60F2" w14:textId="77777777" w:rsidR="00066C63" w:rsidRDefault="009656F6">
            <w:pPr>
              <w:textAlignment w:val="bottom"/>
            </w:pPr>
            <w:hyperlink r:id="rId72" w:anchor="i1e99cb26debe49fe8b698d0f0eb1273a_67" w:history="1">
              <w:r>
                <w:rPr>
                  <w:rStyle w:val="a5"/>
                  <w:rFonts w:ascii="sans-serif" w:eastAsia="sans-serif" w:hAnsi="sans-serif" w:cs="sans-serif"/>
                  <w:color w:val="000000"/>
                  <w:sz w:val="16"/>
                  <w:szCs w:val="16"/>
                  <w:u w:val="none"/>
                </w:rPr>
                <w:t>Operating Segments</w:t>
              </w:r>
            </w:hyperlink>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60F3" w14:textId="77777777" w:rsidR="00066C63" w:rsidRDefault="009656F6">
            <w:pPr>
              <w:textAlignment w:val="bottom"/>
            </w:pPr>
            <w:hyperlink r:id="rId73" w:anchor="i1e99cb26debe49fe8b698d0f0eb1273a_67" w:history="1">
              <w:r>
                <w:rPr>
                  <w:rStyle w:val="a5"/>
                  <w:rFonts w:ascii="sans-serif" w:eastAsia="sans-serif" w:hAnsi="sans-serif" w:cs="sans-serif"/>
                  <w:color w:val="000000"/>
                  <w:sz w:val="16"/>
                  <w:szCs w:val="16"/>
                  <w:u w:val="none"/>
                </w:rPr>
                <w:t>21</w:t>
              </w:r>
            </w:hyperlink>
          </w:p>
        </w:tc>
      </w:tr>
      <w:tr w:rsidR="00066C63" w14:paraId="669C60F8"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60F5" w14:textId="77777777" w:rsidR="00066C63" w:rsidRDefault="009656F6">
            <w:pPr>
              <w:textAlignment w:val="bottom"/>
            </w:pPr>
            <w:r>
              <w:rPr>
                <w:rFonts w:ascii="sans-serif" w:eastAsia="sans-serif" w:hAnsi="sans-serif" w:cs="sans-serif"/>
                <w:b/>
                <w:bCs/>
                <w:color w:val="000000"/>
                <w:sz w:val="18"/>
                <w:szCs w:val="18"/>
              </w:rPr>
              <w:t>Note 13</w:t>
            </w: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60F6" w14:textId="77777777" w:rsidR="00066C63" w:rsidRDefault="009656F6">
            <w:pPr>
              <w:textAlignment w:val="bottom"/>
            </w:pPr>
            <w:hyperlink r:id="rId74" w:anchor="i1e99cb26debe49fe8b698d0f0eb1273a_70" w:history="1">
              <w:r>
                <w:rPr>
                  <w:rStyle w:val="a5"/>
                  <w:rFonts w:ascii="sans-serif" w:eastAsia="sans-serif" w:hAnsi="sans-serif" w:cs="sans-serif"/>
                  <w:color w:val="000000"/>
                  <w:sz w:val="16"/>
                  <w:szCs w:val="16"/>
                  <w:u w:val="none"/>
                </w:rPr>
                <w:t>Acquisitions and Divestit</w:t>
              </w:r>
              <w:r>
                <w:rPr>
                  <w:rStyle w:val="a5"/>
                  <w:rFonts w:ascii="sans-serif" w:eastAsia="sans-serif" w:hAnsi="sans-serif" w:cs="sans-serif"/>
                  <w:color w:val="000000"/>
                  <w:sz w:val="16"/>
                  <w:szCs w:val="16"/>
                  <w:u w:val="none"/>
                </w:rPr>
                <w:t>ures</w:t>
              </w:r>
            </w:hyperlink>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60F7" w14:textId="77777777" w:rsidR="00066C63" w:rsidRDefault="009656F6">
            <w:pPr>
              <w:textAlignment w:val="bottom"/>
            </w:pPr>
            <w:hyperlink r:id="rId75" w:anchor="i1e99cb26debe49fe8b698d0f0eb1273a_70" w:history="1">
              <w:r>
                <w:rPr>
                  <w:rStyle w:val="a5"/>
                  <w:rFonts w:ascii="sans-serif" w:eastAsia="sans-serif" w:hAnsi="sans-serif" w:cs="sans-serif"/>
                  <w:color w:val="000000"/>
                  <w:sz w:val="16"/>
                  <w:szCs w:val="16"/>
                  <w:u w:val="none"/>
                </w:rPr>
                <w:t>23</w:t>
              </w:r>
            </w:hyperlink>
          </w:p>
        </w:tc>
      </w:tr>
      <w:tr w:rsidR="00066C63" w14:paraId="669C60FC" w14:textId="77777777">
        <w:tc>
          <w:tcPr>
            <w:tcW w:w="0" w:type="auto"/>
            <w:gridSpan w:val="3"/>
            <w:tcBorders>
              <w:top w:val="single" w:sz="8" w:space="0" w:color="929292"/>
              <w:bottom w:val="single" w:sz="8" w:space="0" w:color="E87722"/>
            </w:tcBorders>
            <w:shd w:val="clear" w:color="auto" w:fill="auto"/>
            <w:tcMar>
              <w:top w:w="40" w:type="dxa"/>
              <w:left w:w="20" w:type="dxa"/>
              <w:bottom w:w="40" w:type="dxa"/>
              <w:right w:w="20" w:type="dxa"/>
            </w:tcMar>
            <w:vAlign w:val="bottom"/>
          </w:tcPr>
          <w:p w14:paraId="669C60F9" w14:textId="77777777" w:rsidR="00066C63" w:rsidRDefault="009656F6">
            <w:pPr>
              <w:textAlignment w:val="bottom"/>
            </w:pPr>
            <w:r>
              <w:rPr>
                <w:rFonts w:ascii="sans-serif" w:eastAsia="sans-serif" w:hAnsi="sans-serif" w:cs="sans-serif"/>
                <w:b/>
                <w:bCs/>
                <w:color w:val="000000"/>
                <w:sz w:val="18"/>
                <w:szCs w:val="18"/>
              </w:rPr>
              <w:t>Note 14</w:t>
            </w:r>
          </w:p>
        </w:tc>
        <w:tc>
          <w:tcPr>
            <w:tcW w:w="0" w:type="auto"/>
            <w:gridSpan w:val="3"/>
            <w:tcBorders>
              <w:top w:val="single" w:sz="8" w:space="0" w:color="929292"/>
              <w:bottom w:val="single" w:sz="8" w:space="0" w:color="E87722"/>
            </w:tcBorders>
            <w:shd w:val="clear" w:color="auto" w:fill="auto"/>
            <w:tcMar>
              <w:top w:w="40" w:type="dxa"/>
              <w:left w:w="20" w:type="dxa"/>
              <w:bottom w:w="40" w:type="dxa"/>
              <w:right w:w="20" w:type="dxa"/>
            </w:tcMar>
            <w:vAlign w:val="bottom"/>
          </w:tcPr>
          <w:p w14:paraId="669C60FA" w14:textId="77777777" w:rsidR="00066C63" w:rsidRDefault="009656F6">
            <w:pPr>
              <w:textAlignment w:val="bottom"/>
            </w:pPr>
            <w:hyperlink r:id="rId76" w:anchor="i1e99cb26debe49fe8b698d0f0eb1273a_76" w:history="1">
              <w:r>
                <w:rPr>
                  <w:rStyle w:val="a5"/>
                  <w:rFonts w:ascii="sans-serif" w:eastAsia="sans-serif" w:hAnsi="sans-serif" w:cs="sans-serif"/>
                  <w:color w:val="000000"/>
                  <w:sz w:val="16"/>
                  <w:szCs w:val="16"/>
                  <w:u w:val="none"/>
                </w:rPr>
                <w:t>Restructuring</w:t>
              </w:r>
            </w:hyperlink>
          </w:p>
        </w:tc>
        <w:tc>
          <w:tcPr>
            <w:tcW w:w="0" w:type="auto"/>
            <w:gridSpan w:val="3"/>
            <w:tcBorders>
              <w:top w:val="single" w:sz="8" w:space="0" w:color="929292"/>
              <w:bottom w:val="single" w:sz="8" w:space="0" w:color="E87722"/>
            </w:tcBorders>
            <w:shd w:val="clear" w:color="auto" w:fill="auto"/>
            <w:tcMar>
              <w:top w:w="40" w:type="dxa"/>
              <w:left w:w="20" w:type="dxa"/>
              <w:bottom w:w="40" w:type="dxa"/>
              <w:right w:w="20" w:type="dxa"/>
            </w:tcMar>
            <w:vAlign w:val="bottom"/>
          </w:tcPr>
          <w:p w14:paraId="669C60FB" w14:textId="77777777" w:rsidR="00066C63" w:rsidRDefault="009656F6">
            <w:pPr>
              <w:textAlignment w:val="bottom"/>
            </w:pPr>
            <w:hyperlink r:id="rId77" w:anchor="i1e99cb26debe49fe8b698d0f0eb1273a_76" w:history="1">
              <w:r>
                <w:rPr>
                  <w:rStyle w:val="a5"/>
                  <w:rFonts w:ascii="sans-serif" w:eastAsia="sans-serif" w:hAnsi="sans-serif" w:cs="sans-serif"/>
                  <w:color w:val="000000"/>
                  <w:sz w:val="16"/>
                  <w:szCs w:val="16"/>
                  <w:u w:val="none"/>
                </w:rPr>
                <w:t>24</w:t>
              </w:r>
            </w:hyperlink>
          </w:p>
        </w:tc>
      </w:tr>
    </w:tbl>
    <w:p w14:paraId="669C60FD" w14:textId="77777777" w:rsidR="00066C63" w:rsidRDefault="009656F6">
      <w:pPr>
        <w:spacing w:before="120" w:after="120"/>
        <w:jc w:val="right"/>
      </w:pPr>
      <w:r>
        <w:rPr>
          <w:rFonts w:ascii="Arial" w:eastAsia="宋体" w:hAnsi="Arial" w:cs="Arial"/>
          <w:color w:val="E87722"/>
          <w:sz w:val="17"/>
          <w:szCs w:val="17"/>
        </w:rPr>
        <w:t>7</w:t>
      </w:r>
    </w:p>
    <w:p w14:paraId="669C60FE" w14:textId="77777777" w:rsidR="00066C63" w:rsidRDefault="009656F6">
      <w:r>
        <w:pict w14:anchorId="669C7E37">
          <v:rect id="_x0000_i1033" style="width:415.3pt;height:1.5pt" o:hralign="center" o:hrstd="t" o:hr="t" fillcolor="#a0a0a0" stroked="f"/>
        </w:pict>
      </w:r>
    </w:p>
    <w:p w14:paraId="669C60FF" w14:textId="77777777" w:rsidR="00066C63" w:rsidRDefault="00066C63"/>
    <w:p w14:paraId="669C6100" w14:textId="77777777" w:rsidR="00066C63" w:rsidRDefault="009656F6">
      <w:hyperlink r:id="rId78" w:anchor="i1e99cb26debe49fe8b698d0f0eb1273a_7" w:history="1">
        <w:r>
          <w:rPr>
            <w:rStyle w:val="a5"/>
            <w:rFonts w:ascii="sans-serif" w:eastAsia="sans-serif" w:hAnsi="sans-serif" w:cs="sans-serif"/>
            <w:sz w:val="17"/>
            <w:szCs w:val="17"/>
          </w:rPr>
          <w:t>Table of Contents</w:t>
        </w:r>
      </w:hyperlink>
    </w:p>
    <w:p w14:paraId="669C6101" w14:textId="77777777" w:rsidR="00066C63" w:rsidRDefault="00066C63"/>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066C63" w14:paraId="669C6105" w14:textId="77777777">
        <w:tc>
          <w:tcPr>
            <w:tcW w:w="50" w:type="pct"/>
            <w:shd w:val="clear" w:color="auto" w:fill="auto"/>
          </w:tcPr>
          <w:p w14:paraId="669C6102" w14:textId="77777777" w:rsidR="00066C63" w:rsidRDefault="00066C63">
            <w:pPr>
              <w:rPr>
                <w:rFonts w:ascii="宋体"/>
              </w:rPr>
            </w:pPr>
          </w:p>
        </w:tc>
        <w:tc>
          <w:tcPr>
            <w:tcW w:w="4945" w:type="pct"/>
            <w:shd w:val="clear" w:color="auto" w:fill="auto"/>
          </w:tcPr>
          <w:p w14:paraId="669C6103" w14:textId="77777777" w:rsidR="00066C63" w:rsidRDefault="00066C63">
            <w:pPr>
              <w:rPr>
                <w:rFonts w:ascii="宋体"/>
              </w:rPr>
            </w:pPr>
          </w:p>
        </w:tc>
        <w:tc>
          <w:tcPr>
            <w:tcW w:w="5" w:type="pct"/>
            <w:shd w:val="clear" w:color="auto" w:fill="auto"/>
          </w:tcPr>
          <w:p w14:paraId="669C6104" w14:textId="77777777" w:rsidR="00066C63" w:rsidRDefault="00066C63">
            <w:pPr>
              <w:rPr>
                <w:rFonts w:ascii="宋体"/>
              </w:rPr>
            </w:pPr>
          </w:p>
        </w:tc>
      </w:tr>
      <w:tr w:rsidR="00066C63" w14:paraId="669C6107" w14:textId="77777777">
        <w:tc>
          <w:tcPr>
            <w:tcW w:w="0" w:type="auto"/>
            <w:gridSpan w:val="3"/>
            <w:shd w:val="clear" w:color="auto" w:fill="auto"/>
            <w:tcMar>
              <w:top w:w="40" w:type="dxa"/>
              <w:left w:w="20" w:type="dxa"/>
              <w:bottom w:w="40" w:type="dxa"/>
              <w:right w:w="20" w:type="dxa"/>
            </w:tcMar>
            <w:vAlign w:val="bottom"/>
          </w:tcPr>
          <w:p w14:paraId="669C6106" w14:textId="77777777" w:rsidR="00066C63" w:rsidRDefault="009656F6">
            <w:pPr>
              <w:textAlignment w:val="bottom"/>
            </w:pPr>
            <w:r>
              <w:rPr>
                <w:rFonts w:ascii="sans-serif" w:eastAsia="sans-serif" w:hAnsi="sans-serif" w:cs="sans-serif"/>
                <w:b/>
                <w:bCs/>
                <w:color w:val="E87722"/>
                <w:sz w:val="36"/>
                <w:szCs w:val="36"/>
              </w:rPr>
              <w:t>NOTE 1 — SUMMARY OF SIGNIFICANT ACCOUNTING POLICIES</w:t>
            </w:r>
          </w:p>
        </w:tc>
      </w:tr>
    </w:tbl>
    <w:p w14:paraId="669C6108" w14:textId="77777777" w:rsidR="00066C63" w:rsidRDefault="009656F6">
      <w:pPr>
        <w:spacing w:before="240" w:after="120"/>
      </w:pPr>
      <w:r>
        <w:rPr>
          <w:rFonts w:ascii="sans-serif" w:eastAsia="sans-serif" w:hAnsi="sans-serif" w:cs="sans-serif"/>
          <w:b/>
          <w:bCs/>
          <w:color w:val="000000"/>
          <w:sz w:val="28"/>
          <w:szCs w:val="28"/>
        </w:rPr>
        <w:t xml:space="preserve">BASIS OF </w:t>
      </w:r>
      <w:r>
        <w:rPr>
          <w:rFonts w:ascii="sans-serif" w:eastAsia="sans-serif" w:hAnsi="sans-serif" w:cs="sans-serif"/>
          <w:b/>
          <w:bCs/>
          <w:color w:val="000000"/>
          <w:sz w:val="28"/>
          <w:szCs w:val="28"/>
        </w:rPr>
        <w:t>PRESENTATION</w:t>
      </w:r>
    </w:p>
    <w:p w14:paraId="669C6109" w14:textId="77777777" w:rsidR="00066C63" w:rsidRDefault="009656F6">
      <w:pPr>
        <w:spacing w:before="120" w:after="120"/>
      </w:pPr>
      <w:r>
        <w:rPr>
          <w:rFonts w:ascii="Arial" w:eastAsia="宋体" w:hAnsi="Arial" w:cs="Arial"/>
          <w:color w:val="000000"/>
          <w:sz w:val="17"/>
          <w:szCs w:val="17"/>
        </w:rPr>
        <w:t>The Unaudited Condensed Consolidated Financial Statements include the accounts of NIKE, Inc. and its subsidiaries (the “Company” or “NIKE”) and reflect all normal recurring adjustments which are, in the opinion of management, necessary for a f</w:t>
      </w:r>
      <w:r>
        <w:rPr>
          <w:rFonts w:ascii="Arial" w:eastAsia="宋体" w:hAnsi="Arial" w:cs="Arial"/>
          <w:color w:val="000000"/>
          <w:sz w:val="17"/>
          <w:szCs w:val="17"/>
        </w:rPr>
        <w:t>air statement of the results of operations for the interim period. The year-end Condensed Consolidated Balance Sheet data as of May 31, 2020 was derived from audited financial statements, but does not include all disclosures required by accounting principl</w:t>
      </w:r>
      <w:r>
        <w:rPr>
          <w:rFonts w:ascii="Arial" w:eastAsia="宋体" w:hAnsi="Arial" w:cs="Arial"/>
          <w:color w:val="000000"/>
          <w:sz w:val="17"/>
          <w:szCs w:val="17"/>
        </w:rPr>
        <w:t>es generally accepted in the United States of America (“U.S. GAAP”). The interim financial information and notes thereto should be read in conjunction with the Company's latest Annual Report on Form 10-K. The results of operations for the three and nine mo</w:t>
      </w:r>
      <w:r>
        <w:rPr>
          <w:rFonts w:ascii="Arial" w:eastAsia="宋体" w:hAnsi="Arial" w:cs="Arial"/>
          <w:color w:val="000000"/>
          <w:sz w:val="17"/>
          <w:szCs w:val="17"/>
        </w:rPr>
        <w:t>nths ended February 28, 2021 are not necessarily indicative of results to be expected for the entire fiscal year.</w:t>
      </w:r>
    </w:p>
    <w:p w14:paraId="669C610A" w14:textId="77777777" w:rsidR="00066C63" w:rsidRDefault="009656F6">
      <w:r>
        <w:rPr>
          <w:rFonts w:ascii="Arial" w:eastAsia="宋体" w:hAnsi="Arial" w:cs="Arial"/>
          <w:color w:val="212529"/>
          <w:sz w:val="17"/>
          <w:szCs w:val="17"/>
        </w:rPr>
        <w:t>The extent to which the evolving COVID-19 pandemic impacts the Company's financial statements will depend on a number of factors, including th</w:t>
      </w:r>
      <w:r>
        <w:rPr>
          <w:rFonts w:ascii="Arial" w:eastAsia="宋体" w:hAnsi="Arial" w:cs="Arial"/>
          <w:color w:val="212529"/>
          <w:sz w:val="17"/>
          <w:szCs w:val="17"/>
        </w:rPr>
        <w:t>e magnitude and duration of the pandemic. There remains risk that COVID-19 could have material adverse impacts on future revenue growth as well as overall profitability and may lead to higher than normal inventory levels in various markets, adverse impacts</w:t>
      </w:r>
      <w:r>
        <w:rPr>
          <w:rFonts w:ascii="Arial" w:eastAsia="宋体" w:hAnsi="Arial" w:cs="Arial"/>
          <w:color w:val="212529"/>
          <w:sz w:val="17"/>
          <w:szCs w:val="17"/>
        </w:rPr>
        <w:t xml:space="preserve"> to the global supply chain, revised payment terms with certain wholesale customers, higher sales-related reserves and a volatile effective tax rate driven by changes in the mix of earnings across the Company's jurisdictions.</w:t>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066C63" w14:paraId="669C610E" w14:textId="77777777">
        <w:tc>
          <w:tcPr>
            <w:tcW w:w="50" w:type="pct"/>
            <w:shd w:val="clear" w:color="auto" w:fill="auto"/>
          </w:tcPr>
          <w:p w14:paraId="669C610B" w14:textId="77777777" w:rsidR="00066C63" w:rsidRDefault="00066C63">
            <w:pPr>
              <w:rPr>
                <w:rFonts w:ascii="宋体"/>
              </w:rPr>
            </w:pPr>
          </w:p>
        </w:tc>
        <w:tc>
          <w:tcPr>
            <w:tcW w:w="4945" w:type="pct"/>
            <w:shd w:val="clear" w:color="auto" w:fill="auto"/>
          </w:tcPr>
          <w:p w14:paraId="669C610C" w14:textId="77777777" w:rsidR="00066C63" w:rsidRDefault="00066C63">
            <w:pPr>
              <w:rPr>
                <w:rFonts w:ascii="宋体"/>
              </w:rPr>
            </w:pPr>
          </w:p>
        </w:tc>
        <w:tc>
          <w:tcPr>
            <w:tcW w:w="5" w:type="pct"/>
            <w:shd w:val="clear" w:color="auto" w:fill="auto"/>
          </w:tcPr>
          <w:p w14:paraId="669C610D" w14:textId="77777777" w:rsidR="00066C63" w:rsidRDefault="00066C63">
            <w:pPr>
              <w:rPr>
                <w:rFonts w:ascii="宋体"/>
              </w:rPr>
            </w:pPr>
          </w:p>
        </w:tc>
      </w:tr>
      <w:tr w:rsidR="00066C63" w14:paraId="669C6110" w14:textId="77777777">
        <w:tc>
          <w:tcPr>
            <w:tcW w:w="0" w:type="auto"/>
            <w:gridSpan w:val="3"/>
            <w:shd w:val="clear" w:color="auto" w:fill="auto"/>
            <w:tcMar>
              <w:top w:w="40" w:type="dxa"/>
              <w:left w:w="20" w:type="dxa"/>
              <w:bottom w:w="40" w:type="dxa"/>
              <w:right w:w="20" w:type="dxa"/>
            </w:tcMar>
            <w:vAlign w:val="bottom"/>
          </w:tcPr>
          <w:p w14:paraId="669C610F" w14:textId="77777777" w:rsidR="00066C63" w:rsidRDefault="009656F6">
            <w:pPr>
              <w:textAlignment w:val="bottom"/>
            </w:pPr>
            <w:r>
              <w:rPr>
                <w:rFonts w:ascii="sans-serif" w:eastAsia="sans-serif" w:hAnsi="sans-serif" w:cs="sans-serif"/>
                <w:b/>
                <w:bCs/>
                <w:color w:val="E87722"/>
                <w:sz w:val="36"/>
                <w:szCs w:val="36"/>
              </w:rPr>
              <w:t xml:space="preserve">NOTE 2 — </w:t>
            </w:r>
            <w:r>
              <w:rPr>
                <w:rFonts w:ascii="sans-serif" w:eastAsia="sans-serif" w:hAnsi="sans-serif" w:cs="sans-serif"/>
                <w:b/>
                <w:bCs/>
                <w:color w:val="E87722"/>
                <w:sz w:val="36"/>
                <w:szCs w:val="36"/>
              </w:rPr>
              <w:t>INVENTORIES</w:t>
            </w:r>
          </w:p>
        </w:tc>
      </w:tr>
    </w:tbl>
    <w:p w14:paraId="669C6111" w14:textId="77777777" w:rsidR="00066C63" w:rsidRDefault="009656F6">
      <w:pPr>
        <w:spacing w:before="120" w:after="120"/>
      </w:pPr>
      <w:r>
        <w:rPr>
          <w:rFonts w:ascii="Arial" w:eastAsia="宋体" w:hAnsi="Arial" w:cs="Arial"/>
          <w:color w:val="000000"/>
          <w:sz w:val="17"/>
          <w:szCs w:val="17"/>
        </w:rPr>
        <w:t>Inventory balances of $6,693 million and $7,367 million at February 28, 2021 and May 31, 2020, respectively, were substantially all finished goods.</w:t>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066C63" w14:paraId="669C6115" w14:textId="77777777">
        <w:tc>
          <w:tcPr>
            <w:tcW w:w="50" w:type="pct"/>
            <w:shd w:val="clear" w:color="auto" w:fill="auto"/>
          </w:tcPr>
          <w:p w14:paraId="669C6112" w14:textId="77777777" w:rsidR="00066C63" w:rsidRDefault="00066C63">
            <w:pPr>
              <w:rPr>
                <w:rFonts w:ascii="宋体"/>
              </w:rPr>
            </w:pPr>
          </w:p>
        </w:tc>
        <w:tc>
          <w:tcPr>
            <w:tcW w:w="4945" w:type="pct"/>
            <w:shd w:val="clear" w:color="auto" w:fill="auto"/>
          </w:tcPr>
          <w:p w14:paraId="669C6113" w14:textId="77777777" w:rsidR="00066C63" w:rsidRDefault="00066C63">
            <w:pPr>
              <w:rPr>
                <w:rFonts w:ascii="宋体"/>
              </w:rPr>
            </w:pPr>
          </w:p>
        </w:tc>
        <w:tc>
          <w:tcPr>
            <w:tcW w:w="5" w:type="pct"/>
            <w:shd w:val="clear" w:color="auto" w:fill="auto"/>
          </w:tcPr>
          <w:p w14:paraId="669C6114" w14:textId="77777777" w:rsidR="00066C63" w:rsidRDefault="00066C63">
            <w:pPr>
              <w:rPr>
                <w:rFonts w:ascii="宋体"/>
              </w:rPr>
            </w:pPr>
          </w:p>
        </w:tc>
      </w:tr>
      <w:tr w:rsidR="00066C63" w14:paraId="669C6117" w14:textId="77777777">
        <w:tc>
          <w:tcPr>
            <w:tcW w:w="0" w:type="auto"/>
            <w:gridSpan w:val="3"/>
            <w:shd w:val="clear" w:color="auto" w:fill="auto"/>
            <w:tcMar>
              <w:top w:w="40" w:type="dxa"/>
              <w:left w:w="20" w:type="dxa"/>
              <w:bottom w:w="40" w:type="dxa"/>
              <w:right w:w="20" w:type="dxa"/>
            </w:tcMar>
            <w:vAlign w:val="bottom"/>
          </w:tcPr>
          <w:p w14:paraId="669C6116" w14:textId="77777777" w:rsidR="00066C63" w:rsidRDefault="009656F6">
            <w:pPr>
              <w:textAlignment w:val="bottom"/>
            </w:pPr>
            <w:r>
              <w:rPr>
                <w:rFonts w:ascii="sans-serif" w:eastAsia="sans-serif" w:hAnsi="sans-serif" w:cs="sans-serif"/>
                <w:b/>
                <w:bCs/>
                <w:color w:val="E87722"/>
                <w:sz w:val="36"/>
                <w:szCs w:val="36"/>
              </w:rPr>
              <w:t>NOTE 3 — ACCRUED LIABILITIES</w:t>
            </w:r>
          </w:p>
        </w:tc>
      </w:tr>
    </w:tbl>
    <w:p w14:paraId="669C6118" w14:textId="77777777" w:rsidR="00066C63" w:rsidRDefault="009656F6">
      <w:r>
        <w:rPr>
          <w:rFonts w:ascii="Arial" w:eastAsia="宋体" w:hAnsi="Arial" w:cs="Arial"/>
          <w:color w:val="000000"/>
          <w:sz w:val="17"/>
          <w:szCs w:val="17"/>
        </w:rPr>
        <w:t>Accrued liabilities included the following:</w:t>
      </w:r>
    </w:p>
    <w:tbl>
      <w:tblPr>
        <w:tblW w:w="5000" w:type="pct"/>
        <w:tblCellMar>
          <w:top w:w="15" w:type="dxa"/>
          <w:left w:w="15" w:type="dxa"/>
          <w:bottom w:w="15" w:type="dxa"/>
          <w:right w:w="15" w:type="dxa"/>
        </w:tblCellMar>
        <w:tblLook w:val="04A0" w:firstRow="1" w:lastRow="0" w:firstColumn="1" w:lastColumn="0" w:noHBand="0" w:noVBand="1"/>
      </w:tblPr>
      <w:tblGrid>
        <w:gridCol w:w="42"/>
        <w:gridCol w:w="4925"/>
        <w:gridCol w:w="37"/>
        <w:gridCol w:w="116"/>
        <w:gridCol w:w="1475"/>
        <w:gridCol w:w="36"/>
        <w:gridCol w:w="36"/>
        <w:gridCol w:w="36"/>
        <w:gridCol w:w="36"/>
        <w:gridCol w:w="115"/>
        <w:gridCol w:w="1446"/>
        <w:gridCol w:w="36"/>
      </w:tblGrid>
      <w:tr w:rsidR="00066C63" w14:paraId="669C6125" w14:textId="77777777">
        <w:tc>
          <w:tcPr>
            <w:tcW w:w="50" w:type="pct"/>
            <w:shd w:val="clear" w:color="auto" w:fill="auto"/>
          </w:tcPr>
          <w:p w14:paraId="669C6119" w14:textId="77777777" w:rsidR="00066C63" w:rsidRDefault="00066C63">
            <w:pPr>
              <w:rPr>
                <w:rFonts w:ascii="宋体"/>
              </w:rPr>
            </w:pPr>
          </w:p>
        </w:tc>
        <w:tc>
          <w:tcPr>
            <w:tcW w:w="2977" w:type="pct"/>
            <w:shd w:val="clear" w:color="auto" w:fill="auto"/>
          </w:tcPr>
          <w:p w14:paraId="669C611A" w14:textId="77777777" w:rsidR="00066C63" w:rsidRDefault="00066C63">
            <w:pPr>
              <w:rPr>
                <w:rFonts w:ascii="宋体"/>
              </w:rPr>
            </w:pPr>
          </w:p>
        </w:tc>
        <w:tc>
          <w:tcPr>
            <w:tcW w:w="5" w:type="pct"/>
            <w:shd w:val="clear" w:color="auto" w:fill="auto"/>
          </w:tcPr>
          <w:p w14:paraId="669C611B" w14:textId="77777777" w:rsidR="00066C63" w:rsidRDefault="00066C63">
            <w:pPr>
              <w:rPr>
                <w:rFonts w:ascii="宋体"/>
              </w:rPr>
            </w:pPr>
          </w:p>
        </w:tc>
        <w:tc>
          <w:tcPr>
            <w:tcW w:w="50" w:type="pct"/>
            <w:shd w:val="clear" w:color="auto" w:fill="auto"/>
          </w:tcPr>
          <w:p w14:paraId="669C611C" w14:textId="77777777" w:rsidR="00066C63" w:rsidRDefault="00066C63">
            <w:pPr>
              <w:rPr>
                <w:rFonts w:ascii="宋体"/>
              </w:rPr>
            </w:pPr>
          </w:p>
        </w:tc>
        <w:tc>
          <w:tcPr>
            <w:tcW w:w="909" w:type="pct"/>
            <w:shd w:val="clear" w:color="auto" w:fill="auto"/>
          </w:tcPr>
          <w:p w14:paraId="669C611D" w14:textId="77777777" w:rsidR="00066C63" w:rsidRDefault="00066C63">
            <w:pPr>
              <w:rPr>
                <w:rFonts w:ascii="宋体"/>
              </w:rPr>
            </w:pPr>
          </w:p>
        </w:tc>
        <w:tc>
          <w:tcPr>
            <w:tcW w:w="5" w:type="pct"/>
            <w:shd w:val="clear" w:color="auto" w:fill="auto"/>
          </w:tcPr>
          <w:p w14:paraId="669C611E" w14:textId="77777777" w:rsidR="00066C63" w:rsidRDefault="00066C63">
            <w:pPr>
              <w:rPr>
                <w:rFonts w:ascii="宋体"/>
              </w:rPr>
            </w:pPr>
          </w:p>
        </w:tc>
        <w:tc>
          <w:tcPr>
            <w:tcW w:w="5" w:type="pct"/>
            <w:shd w:val="clear" w:color="auto" w:fill="auto"/>
          </w:tcPr>
          <w:p w14:paraId="669C611F" w14:textId="77777777" w:rsidR="00066C63" w:rsidRDefault="00066C63">
            <w:pPr>
              <w:rPr>
                <w:rFonts w:ascii="宋体"/>
              </w:rPr>
            </w:pPr>
          </w:p>
        </w:tc>
        <w:tc>
          <w:tcPr>
            <w:tcW w:w="28" w:type="pct"/>
            <w:shd w:val="clear" w:color="auto" w:fill="auto"/>
          </w:tcPr>
          <w:p w14:paraId="669C6120" w14:textId="77777777" w:rsidR="00066C63" w:rsidRDefault="00066C63">
            <w:pPr>
              <w:rPr>
                <w:rFonts w:ascii="宋体"/>
              </w:rPr>
            </w:pPr>
          </w:p>
        </w:tc>
        <w:tc>
          <w:tcPr>
            <w:tcW w:w="5" w:type="pct"/>
            <w:shd w:val="clear" w:color="auto" w:fill="auto"/>
          </w:tcPr>
          <w:p w14:paraId="669C6121" w14:textId="77777777" w:rsidR="00066C63" w:rsidRDefault="00066C63">
            <w:pPr>
              <w:rPr>
                <w:rFonts w:ascii="宋体"/>
              </w:rPr>
            </w:pPr>
          </w:p>
        </w:tc>
        <w:tc>
          <w:tcPr>
            <w:tcW w:w="50" w:type="pct"/>
            <w:shd w:val="clear" w:color="auto" w:fill="auto"/>
          </w:tcPr>
          <w:p w14:paraId="669C6122" w14:textId="77777777" w:rsidR="00066C63" w:rsidRDefault="00066C63">
            <w:pPr>
              <w:rPr>
                <w:rFonts w:ascii="宋体"/>
              </w:rPr>
            </w:pPr>
          </w:p>
        </w:tc>
        <w:tc>
          <w:tcPr>
            <w:tcW w:w="909" w:type="pct"/>
            <w:shd w:val="clear" w:color="auto" w:fill="auto"/>
          </w:tcPr>
          <w:p w14:paraId="669C6123" w14:textId="77777777" w:rsidR="00066C63" w:rsidRDefault="00066C63">
            <w:pPr>
              <w:rPr>
                <w:rFonts w:ascii="宋体"/>
              </w:rPr>
            </w:pPr>
          </w:p>
        </w:tc>
        <w:tc>
          <w:tcPr>
            <w:tcW w:w="5" w:type="pct"/>
            <w:shd w:val="clear" w:color="auto" w:fill="auto"/>
          </w:tcPr>
          <w:p w14:paraId="669C6124" w14:textId="77777777" w:rsidR="00066C63" w:rsidRDefault="00066C63">
            <w:pPr>
              <w:rPr>
                <w:rFonts w:ascii="宋体"/>
              </w:rPr>
            </w:pPr>
          </w:p>
        </w:tc>
      </w:tr>
      <w:tr w:rsidR="00066C63" w14:paraId="669C612A" w14:textId="77777777">
        <w:tc>
          <w:tcPr>
            <w:tcW w:w="0" w:type="auto"/>
            <w:gridSpan w:val="3"/>
            <w:shd w:val="clear" w:color="auto" w:fill="auto"/>
            <w:tcMar>
              <w:top w:w="0" w:type="dxa"/>
              <w:left w:w="20" w:type="dxa"/>
              <w:bottom w:w="0" w:type="dxa"/>
              <w:right w:w="20" w:type="dxa"/>
            </w:tcMar>
          </w:tcPr>
          <w:p w14:paraId="669C6126" w14:textId="77777777" w:rsidR="00066C63" w:rsidRDefault="00066C63">
            <w:pPr>
              <w:rPr>
                <w:rFonts w:ascii="宋体"/>
              </w:rPr>
            </w:pPr>
          </w:p>
        </w:tc>
        <w:tc>
          <w:tcPr>
            <w:tcW w:w="0" w:type="auto"/>
            <w:gridSpan w:val="3"/>
            <w:shd w:val="clear" w:color="auto" w:fill="auto"/>
            <w:tcMar>
              <w:top w:w="40" w:type="dxa"/>
              <w:left w:w="20" w:type="dxa"/>
              <w:bottom w:w="40" w:type="dxa"/>
              <w:right w:w="20" w:type="dxa"/>
            </w:tcMar>
            <w:vAlign w:val="bottom"/>
          </w:tcPr>
          <w:p w14:paraId="669C6127" w14:textId="77777777" w:rsidR="00066C63" w:rsidRDefault="009656F6">
            <w:pPr>
              <w:jc w:val="center"/>
              <w:textAlignment w:val="bottom"/>
            </w:pPr>
            <w:r>
              <w:rPr>
                <w:rFonts w:ascii="sans-serif" w:eastAsia="sans-serif" w:hAnsi="sans-serif" w:cs="sans-serif"/>
                <w:b/>
                <w:bCs/>
                <w:color w:val="000000"/>
                <w:sz w:val="17"/>
                <w:szCs w:val="17"/>
              </w:rPr>
              <w:t>FEBRUARY 28,</w:t>
            </w:r>
          </w:p>
        </w:tc>
        <w:tc>
          <w:tcPr>
            <w:tcW w:w="0" w:type="auto"/>
            <w:gridSpan w:val="3"/>
            <w:shd w:val="clear" w:color="auto" w:fill="auto"/>
            <w:tcMar>
              <w:top w:w="0" w:type="dxa"/>
              <w:left w:w="20" w:type="dxa"/>
              <w:bottom w:w="0" w:type="dxa"/>
              <w:right w:w="20" w:type="dxa"/>
            </w:tcMar>
          </w:tcPr>
          <w:p w14:paraId="669C6128" w14:textId="77777777" w:rsidR="00066C63" w:rsidRDefault="00066C63">
            <w:pPr>
              <w:rPr>
                <w:rFonts w:ascii="宋体"/>
              </w:rPr>
            </w:pPr>
          </w:p>
        </w:tc>
        <w:tc>
          <w:tcPr>
            <w:tcW w:w="0" w:type="auto"/>
            <w:gridSpan w:val="3"/>
            <w:shd w:val="clear" w:color="auto" w:fill="auto"/>
            <w:tcMar>
              <w:top w:w="40" w:type="dxa"/>
              <w:left w:w="20" w:type="dxa"/>
              <w:bottom w:w="40" w:type="dxa"/>
              <w:right w:w="20" w:type="dxa"/>
            </w:tcMar>
            <w:vAlign w:val="bottom"/>
          </w:tcPr>
          <w:p w14:paraId="669C6129" w14:textId="77777777" w:rsidR="00066C63" w:rsidRDefault="009656F6">
            <w:pPr>
              <w:jc w:val="center"/>
              <w:textAlignment w:val="bottom"/>
            </w:pPr>
            <w:r>
              <w:rPr>
                <w:rFonts w:ascii="sans-serif" w:eastAsia="sans-serif" w:hAnsi="sans-serif" w:cs="sans-serif"/>
                <w:b/>
                <w:bCs/>
                <w:color w:val="000000"/>
                <w:sz w:val="17"/>
                <w:szCs w:val="17"/>
              </w:rPr>
              <w:t>MAY 31,</w:t>
            </w:r>
          </w:p>
        </w:tc>
      </w:tr>
      <w:tr w:rsidR="00066C63" w14:paraId="669C612F" w14:textId="77777777">
        <w:tc>
          <w:tcPr>
            <w:tcW w:w="0" w:type="auto"/>
            <w:gridSpan w:val="3"/>
            <w:shd w:val="clear" w:color="auto" w:fill="auto"/>
            <w:tcMar>
              <w:top w:w="40" w:type="dxa"/>
              <w:left w:w="20" w:type="dxa"/>
              <w:bottom w:w="40" w:type="dxa"/>
              <w:right w:w="20" w:type="dxa"/>
            </w:tcMar>
            <w:vAlign w:val="bottom"/>
          </w:tcPr>
          <w:p w14:paraId="669C612B" w14:textId="77777777" w:rsidR="00066C63" w:rsidRDefault="009656F6">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12C" w14:textId="77777777" w:rsidR="00066C63" w:rsidRDefault="009656F6">
            <w:pPr>
              <w:jc w:val="center"/>
              <w:textAlignment w:val="bottom"/>
            </w:pPr>
            <w:r>
              <w:rPr>
                <w:rFonts w:ascii="sans-serif" w:eastAsia="sans-serif" w:hAnsi="sans-serif" w:cs="sans-serif"/>
                <w:b/>
                <w:bCs/>
                <w:color w:val="000000"/>
                <w:sz w:val="17"/>
                <w:szCs w:val="17"/>
              </w:rPr>
              <w:t>2021</w:t>
            </w:r>
          </w:p>
        </w:tc>
        <w:tc>
          <w:tcPr>
            <w:tcW w:w="0" w:type="auto"/>
            <w:gridSpan w:val="3"/>
            <w:shd w:val="clear" w:color="auto" w:fill="auto"/>
            <w:tcMar>
              <w:top w:w="0" w:type="dxa"/>
              <w:left w:w="20" w:type="dxa"/>
              <w:bottom w:w="0" w:type="dxa"/>
              <w:right w:w="20" w:type="dxa"/>
            </w:tcMar>
          </w:tcPr>
          <w:p w14:paraId="669C612D" w14:textId="77777777" w:rsidR="00066C63" w:rsidRDefault="00066C63">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12E" w14:textId="77777777" w:rsidR="00066C63" w:rsidRDefault="009656F6">
            <w:pPr>
              <w:jc w:val="center"/>
              <w:textAlignment w:val="bottom"/>
            </w:pPr>
            <w:r>
              <w:rPr>
                <w:rFonts w:ascii="sans-serif" w:eastAsia="sans-serif" w:hAnsi="sans-serif" w:cs="sans-serif"/>
                <w:b/>
                <w:bCs/>
                <w:color w:val="000000"/>
                <w:sz w:val="17"/>
                <w:szCs w:val="17"/>
              </w:rPr>
              <w:t>2020</w:t>
            </w:r>
          </w:p>
        </w:tc>
      </w:tr>
      <w:tr w:rsidR="00066C63" w14:paraId="669C6138"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130" w14:textId="77777777" w:rsidR="00066C63" w:rsidRDefault="009656F6">
            <w:pPr>
              <w:textAlignment w:val="bottom"/>
            </w:pPr>
            <w:r>
              <w:rPr>
                <w:rFonts w:ascii="Arial" w:eastAsia="宋体" w:hAnsi="Arial" w:cs="Arial"/>
                <w:color w:val="000000"/>
                <w:sz w:val="17"/>
                <w:szCs w:val="17"/>
              </w:rPr>
              <w:t>Compensation and benefits, excluding taxes</w:t>
            </w:r>
          </w:p>
        </w:tc>
        <w:tc>
          <w:tcPr>
            <w:tcW w:w="0" w:type="auto"/>
            <w:tcBorders>
              <w:top w:val="single" w:sz="8" w:space="0" w:color="E87722"/>
            </w:tcBorders>
            <w:shd w:val="clear" w:color="auto" w:fill="FFF1E7"/>
            <w:tcMar>
              <w:top w:w="40" w:type="dxa"/>
              <w:left w:w="20" w:type="dxa"/>
              <w:bottom w:w="40" w:type="dxa"/>
              <w:right w:w="0" w:type="dxa"/>
            </w:tcMar>
            <w:vAlign w:val="bottom"/>
          </w:tcPr>
          <w:p w14:paraId="669C6131"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669C6132" w14:textId="77777777" w:rsidR="00066C63" w:rsidRDefault="009656F6">
            <w:pPr>
              <w:jc w:val="right"/>
              <w:textAlignment w:val="bottom"/>
            </w:pPr>
            <w:r>
              <w:rPr>
                <w:rFonts w:ascii="Arial" w:eastAsia="宋体" w:hAnsi="Arial" w:cs="Arial"/>
                <w:color w:val="000000"/>
                <w:sz w:val="17"/>
                <w:szCs w:val="17"/>
              </w:rPr>
              <w:t>1,219 </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6133" w14:textId="77777777" w:rsidR="00066C63" w:rsidRDefault="00066C63">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6134" w14:textId="77777777" w:rsidR="00066C63" w:rsidRDefault="00066C63">
            <w:pPr>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69C6135"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69C6136" w14:textId="77777777" w:rsidR="00066C63" w:rsidRDefault="009656F6">
            <w:pPr>
              <w:jc w:val="right"/>
              <w:textAlignment w:val="bottom"/>
            </w:pPr>
            <w:r>
              <w:rPr>
                <w:rFonts w:ascii="Arial" w:eastAsia="宋体" w:hAnsi="Arial" w:cs="Arial"/>
                <w:color w:val="000000"/>
                <w:sz w:val="17"/>
                <w:szCs w:val="17"/>
              </w:rPr>
              <w:t>1,248 </w:t>
            </w:r>
          </w:p>
        </w:tc>
        <w:tc>
          <w:tcPr>
            <w:tcW w:w="0" w:type="auto"/>
            <w:tcBorders>
              <w:top w:val="single" w:sz="8" w:space="0" w:color="E87722"/>
            </w:tcBorders>
            <w:shd w:val="clear" w:color="auto" w:fill="auto"/>
            <w:tcMar>
              <w:top w:w="40" w:type="dxa"/>
              <w:left w:w="0" w:type="dxa"/>
              <w:bottom w:w="40" w:type="dxa"/>
              <w:right w:w="20" w:type="dxa"/>
            </w:tcMar>
            <w:vAlign w:val="bottom"/>
          </w:tcPr>
          <w:p w14:paraId="669C6137" w14:textId="77777777" w:rsidR="00066C63" w:rsidRDefault="00066C63">
            <w:pPr>
              <w:jc w:val="right"/>
              <w:rPr>
                <w:rFonts w:ascii="宋体"/>
              </w:rPr>
            </w:pPr>
          </w:p>
        </w:tc>
      </w:tr>
      <w:tr w:rsidR="00066C63" w14:paraId="669C613F"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6139" w14:textId="77777777" w:rsidR="00066C63" w:rsidRDefault="009656F6">
            <w:pPr>
              <w:textAlignment w:val="bottom"/>
            </w:pPr>
            <w:r>
              <w:rPr>
                <w:rFonts w:ascii="Arial" w:eastAsia="宋体" w:hAnsi="Arial" w:cs="Arial"/>
                <w:color w:val="000000"/>
                <w:sz w:val="17"/>
                <w:szCs w:val="17"/>
              </w:rPr>
              <w:t>Sales-related reserves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13A" w14:textId="77777777" w:rsidR="00066C63" w:rsidRDefault="009656F6">
            <w:pPr>
              <w:jc w:val="right"/>
              <w:textAlignment w:val="bottom"/>
            </w:pPr>
            <w:r>
              <w:rPr>
                <w:rFonts w:ascii="Arial" w:eastAsia="宋体" w:hAnsi="Arial" w:cs="Arial"/>
                <w:color w:val="000000"/>
                <w:sz w:val="17"/>
                <w:szCs w:val="17"/>
              </w:rPr>
              <w:t>1,146 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13B" w14:textId="77777777" w:rsidR="00066C63" w:rsidRDefault="00066C63">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613C" w14:textId="77777777" w:rsidR="00066C63" w:rsidRDefault="00066C63">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13D" w14:textId="77777777" w:rsidR="00066C63" w:rsidRDefault="009656F6">
            <w:pPr>
              <w:jc w:val="right"/>
              <w:textAlignment w:val="bottom"/>
            </w:pPr>
            <w:r>
              <w:rPr>
                <w:rFonts w:ascii="Arial" w:eastAsia="宋体" w:hAnsi="Arial" w:cs="Arial"/>
                <w:color w:val="000000"/>
                <w:sz w:val="17"/>
                <w:szCs w:val="17"/>
              </w:rPr>
              <w:t>1,178 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13E" w14:textId="77777777" w:rsidR="00066C63" w:rsidRDefault="00066C63">
            <w:pPr>
              <w:jc w:val="right"/>
              <w:rPr>
                <w:rFonts w:ascii="宋体"/>
              </w:rPr>
            </w:pPr>
          </w:p>
        </w:tc>
      </w:tr>
      <w:tr w:rsidR="00066C63" w14:paraId="669C6146"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6140" w14:textId="77777777" w:rsidR="00066C63" w:rsidRDefault="009656F6">
            <w:pPr>
              <w:textAlignment w:val="bottom"/>
            </w:pPr>
            <w:r>
              <w:rPr>
                <w:rFonts w:ascii="Arial" w:eastAsia="宋体" w:hAnsi="Arial" w:cs="Arial"/>
                <w:color w:val="000000"/>
                <w:sz w:val="17"/>
                <w:szCs w:val="17"/>
              </w:rPr>
              <w:t>Fair value of derivatives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141" w14:textId="77777777" w:rsidR="00066C63" w:rsidRDefault="009656F6">
            <w:pPr>
              <w:jc w:val="right"/>
              <w:textAlignment w:val="bottom"/>
            </w:pPr>
            <w:r>
              <w:rPr>
                <w:rFonts w:ascii="Arial" w:eastAsia="宋体" w:hAnsi="Arial" w:cs="Arial"/>
                <w:color w:val="000000"/>
                <w:sz w:val="17"/>
                <w:szCs w:val="17"/>
              </w:rPr>
              <w:t>463 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142" w14:textId="77777777" w:rsidR="00066C63" w:rsidRDefault="00066C63">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6143" w14:textId="77777777" w:rsidR="00066C63" w:rsidRDefault="00066C63">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144" w14:textId="77777777" w:rsidR="00066C63" w:rsidRDefault="009656F6">
            <w:pPr>
              <w:jc w:val="right"/>
              <w:textAlignment w:val="bottom"/>
            </w:pPr>
            <w:r>
              <w:rPr>
                <w:rFonts w:ascii="Arial" w:eastAsia="宋体" w:hAnsi="Arial" w:cs="Arial"/>
                <w:color w:val="000000"/>
                <w:sz w:val="17"/>
                <w:szCs w:val="17"/>
              </w:rPr>
              <w:t>190 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145" w14:textId="77777777" w:rsidR="00066C63" w:rsidRDefault="00066C63">
            <w:pPr>
              <w:jc w:val="right"/>
              <w:rPr>
                <w:rFonts w:ascii="宋体"/>
              </w:rPr>
            </w:pPr>
          </w:p>
        </w:tc>
      </w:tr>
      <w:tr w:rsidR="00066C63" w14:paraId="669C614D"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6147" w14:textId="77777777" w:rsidR="00066C63" w:rsidRDefault="009656F6">
            <w:pPr>
              <w:textAlignment w:val="bottom"/>
            </w:pPr>
            <w:r>
              <w:rPr>
                <w:rFonts w:ascii="Arial" w:eastAsia="宋体" w:hAnsi="Arial" w:cs="Arial"/>
                <w:color w:val="000000"/>
                <w:sz w:val="17"/>
                <w:szCs w:val="17"/>
              </w:rPr>
              <w:t>Allowance for expected loss on sale</w:t>
            </w:r>
            <w:r>
              <w:rPr>
                <w:rFonts w:ascii="Arial" w:eastAsia="宋体" w:hAnsi="Arial" w:cs="Arial"/>
                <w:color w:val="000000"/>
                <w:sz w:val="11"/>
                <w:szCs w:val="11"/>
              </w:rPr>
              <w:t>(1)</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148" w14:textId="77777777" w:rsidR="00066C63" w:rsidRDefault="009656F6">
            <w:pPr>
              <w:jc w:val="right"/>
              <w:textAlignment w:val="bottom"/>
            </w:pPr>
            <w:r>
              <w:rPr>
                <w:rFonts w:ascii="Arial" w:eastAsia="宋体" w:hAnsi="Arial" w:cs="Arial"/>
                <w:color w:val="000000"/>
                <w:sz w:val="17"/>
                <w:szCs w:val="17"/>
              </w:rPr>
              <w:t>373 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149" w14:textId="77777777" w:rsidR="00066C63" w:rsidRDefault="00066C63">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614A" w14:textId="77777777" w:rsidR="00066C63" w:rsidRDefault="00066C63">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14B" w14:textId="77777777" w:rsidR="00066C63" w:rsidRDefault="009656F6">
            <w:pPr>
              <w:jc w:val="right"/>
              <w:textAlignment w:val="bottom"/>
            </w:pPr>
            <w:r>
              <w:rPr>
                <w:rFonts w:ascii="Arial" w:eastAsia="宋体" w:hAnsi="Arial" w:cs="Arial"/>
                <w:color w:val="000000"/>
                <w:sz w:val="17"/>
                <w:szCs w:val="17"/>
              </w:rPr>
              <w:t>405 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14C" w14:textId="77777777" w:rsidR="00066C63" w:rsidRDefault="00066C63">
            <w:pPr>
              <w:jc w:val="right"/>
              <w:rPr>
                <w:rFonts w:ascii="宋体"/>
              </w:rPr>
            </w:pPr>
          </w:p>
        </w:tc>
      </w:tr>
      <w:tr w:rsidR="00066C63" w14:paraId="669C6154"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614E" w14:textId="77777777" w:rsidR="00066C63" w:rsidRDefault="009656F6">
            <w:pPr>
              <w:textAlignment w:val="bottom"/>
            </w:pPr>
            <w:r>
              <w:rPr>
                <w:rFonts w:ascii="Arial" w:eastAsia="宋体" w:hAnsi="Arial" w:cs="Arial"/>
                <w:color w:val="000000"/>
                <w:sz w:val="17"/>
                <w:szCs w:val="17"/>
              </w:rPr>
              <w:t>Other</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14F" w14:textId="77777777" w:rsidR="00066C63" w:rsidRDefault="009656F6">
            <w:pPr>
              <w:jc w:val="right"/>
              <w:textAlignment w:val="bottom"/>
            </w:pPr>
            <w:r>
              <w:rPr>
                <w:rFonts w:ascii="Arial" w:eastAsia="宋体" w:hAnsi="Arial" w:cs="Arial"/>
                <w:color w:val="000000"/>
                <w:sz w:val="17"/>
                <w:szCs w:val="17"/>
              </w:rPr>
              <w:t>2,706 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150" w14:textId="77777777" w:rsidR="00066C63" w:rsidRDefault="00066C63">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6151" w14:textId="77777777" w:rsidR="00066C63" w:rsidRDefault="00066C63">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152" w14:textId="77777777" w:rsidR="00066C63" w:rsidRDefault="009656F6">
            <w:pPr>
              <w:jc w:val="right"/>
              <w:textAlignment w:val="bottom"/>
            </w:pPr>
            <w:r>
              <w:rPr>
                <w:rFonts w:ascii="Arial" w:eastAsia="宋体" w:hAnsi="Arial" w:cs="Arial"/>
                <w:color w:val="000000"/>
                <w:sz w:val="17"/>
                <w:szCs w:val="17"/>
              </w:rPr>
              <w:t>2,163 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153" w14:textId="77777777" w:rsidR="00066C63" w:rsidRDefault="00066C63">
            <w:pPr>
              <w:jc w:val="right"/>
              <w:rPr>
                <w:rFonts w:ascii="宋体"/>
              </w:rPr>
            </w:pPr>
          </w:p>
        </w:tc>
      </w:tr>
      <w:tr w:rsidR="00066C63" w14:paraId="669C615D"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669C6155" w14:textId="77777777" w:rsidR="00066C63" w:rsidRDefault="009656F6">
            <w:pPr>
              <w:textAlignment w:val="bottom"/>
            </w:pPr>
            <w:r>
              <w:rPr>
                <w:rFonts w:ascii="Arial" w:eastAsia="宋体" w:hAnsi="Arial" w:cs="Arial"/>
                <w:b/>
                <w:bCs/>
                <w:color w:val="000000"/>
                <w:sz w:val="17"/>
                <w:szCs w:val="17"/>
              </w:rPr>
              <w:t>TOTAL ACCRUED LIABILITIES</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69C6156"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669C6157" w14:textId="77777777" w:rsidR="00066C63" w:rsidRDefault="009656F6">
            <w:pPr>
              <w:jc w:val="right"/>
              <w:textAlignment w:val="bottom"/>
            </w:pPr>
            <w:r>
              <w:rPr>
                <w:rFonts w:ascii="Arial" w:eastAsia="宋体" w:hAnsi="Arial" w:cs="Arial"/>
                <w:b/>
                <w:bCs/>
                <w:color w:val="000000"/>
                <w:sz w:val="17"/>
                <w:szCs w:val="17"/>
              </w:rPr>
              <w:t>5,907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69C6158" w14:textId="77777777" w:rsidR="00066C63" w:rsidRDefault="00066C63">
            <w:pPr>
              <w:jc w:val="right"/>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tcPr>
          <w:p w14:paraId="669C6159" w14:textId="77777777" w:rsidR="00066C63" w:rsidRDefault="00066C63">
            <w:pPr>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69C615A"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69C615B" w14:textId="77777777" w:rsidR="00066C63" w:rsidRDefault="009656F6">
            <w:pPr>
              <w:jc w:val="right"/>
              <w:textAlignment w:val="bottom"/>
            </w:pPr>
            <w:r>
              <w:rPr>
                <w:rFonts w:ascii="Arial" w:eastAsia="宋体" w:hAnsi="Arial" w:cs="Arial"/>
                <w:b/>
                <w:bCs/>
                <w:color w:val="000000"/>
                <w:sz w:val="17"/>
                <w:szCs w:val="17"/>
              </w:rPr>
              <w:t>5,184</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69C615C" w14:textId="77777777" w:rsidR="00066C63" w:rsidRDefault="00066C63">
            <w:pPr>
              <w:jc w:val="right"/>
              <w:rPr>
                <w:rFonts w:ascii="宋体"/>
              </w:rPr>
            </w:pPr>
          </w:p>
        </w:tc>
      </w:tr>
    </w:tbl>
    <w:p w14:paraId="669C615E" w14:textId="77777777" w:rsidR="00066C63" w:rsidRDefault="009656F6">
      <w:pPr>
        <w:spacing w:before="60" w:after="60"/>
        <w:ind w:hanging="360"/>
      </w:pPr>
      <w:r>
        <w:rPr>
          <w:rFonts w:ascii="Arial" w:eastAsia="宋体" w:hAnsi="Arial" w:cs="Arial"/>
          <w:i/>
          <w:iCs/>
          <w:color w:val="000000"/>
          <w:sz w:val="14"/>
          <w:szCs w:val="14"/>
        </w:rPr>
        <w:t>(1)Refer to Note 13 — Acquisitions and Divestitures for additional information.</w:t>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066C63" w14:paraId="669C6162" w14:textId="77777777">
        <w:tc>
          <w:tcPr>
            <w:tcW w:w="50" w:type="pct"/>
            <w:shd w:val="clear" w:color="auto" w:fill="auto"/>
          </w:tcPr>
          <w:p w14:paraId="669C615F" w14:textId="77777777" w:rsidR="00066C63" w:rsidRDefault="00066C63">
            <w:pPr>
              <w:rPr>
                <w:rFonts w:ascii="宋体"/>
              </w:rPr>
            </w:pPr>
          </w:p>
        </w:tc>
        <w:tc>
          <w:tcPr>
            <w:tcW w:w="4945" w:type="pct"/>
            <w:shd w:val="clear" w:color="auto" w:fill="auto"/>
          </w:tcPr>
          <w:p w14:paraId="669C6160" w14:textId="77777777" w:rsidR="00066C63" w:rsidRDefault="00066C63">
            <w:pPr>
              <w:rPr>
                <w:rFonts w:ascii="宋体"/>
              </w:rPr>
            </w:pPr>
          </w:p>
        </w:tc>
        <w:tc>
          <w:tcPr>
            <w:tcW w:w="5" w:type="pct"/>
            <w:shd w:val="clear" w:color="auto" w:fill="auto"/>
          </w:tcPr>
          <w:p w14:paraId="669C6161" w14:textId="77777777" w:rsidR="00066C63" w:rsidRDefault="00066C63">
            <w:pPr>
              <w:rPr>
                <w:rFonts w:ascii="宋体"/>
              </w:rPr>
            </w:pPr>
          </w:p>
        </w:tc>
      </w:tr>
      <w:tr w:rsidR="00066C63" w14:paraId="669C6164" w14:textId="77777777">
        <w:tc>
          <w:tcPr>
            <w:tcW w:w="0" w:type="auto"/>
            <w:gridSpan w:val="3"/>
            <w:shd w:val="clear" w:color="auto" w:fill="auto"/>
            <w:tcMar>
              <w:top w:w="40" w:type="dxa"/>
              <w:left w:w="20" w:type="dxa"/>
              <w:bottom w:w="40" w:type="dxa"/>
              <w:right w:w="20" w:type="dxa"/>
            </w:tcMar>
            <w:vAlign w:val="bottom"/>
          </w:tcPr>
          <w:p w14:paraId="669C6163" w14:textId="77777777" w:rsidR="00066C63" w:rsidRDefault="009656F6">
            <w:pPr>
              <w:textAlignment w:val="bottom"/>
            </w:pPr>
            <w:r>
              <w:rPr>
                <w:rFonts w:ascii="sans-serif" w:eastAsia="sans-serif" w:hAnsi="sans-serif" w:cs="sans-serif"/>
                <w:b/>
                <w:bCs/>
                <w:color w:val="E87722"/>
                <w:sz w:val="36"/>
                <w:szCs w:val="36"/>
              </w:rPr>
              <w:t>NOTE 4 — FAIR VALUE MEASUREMENTS</w:t>
            </w:r>
          </w:p>
        </w:tc>
      </w:tr>
    </w:tbl>
    <w:p w14:paraId="669C6165" w14:textId="77777777" w:rsidR="00066C63" w:rsidRDefault="009656F6">
      <w:pPr>
        <w:spacing w:before="120" w:after="120"/>
      </w:pPr>
      <w:r>
        <w:rPr>
          <w:rFonts w:ascii="Arial" w:eastAsia="宋体" w:hAnsi="Arial" w:cs="Arial"/>
          <w:color w:val="000000"/>
          <w:sz w:val="17"/>
          <w:szCs w:val="17"/>
        </w:rPr>
        <w:t xml:space="preserve">The Company measures certain financial assets and </w:t>
      </w:r>
      <w:r>
        <w:rPr>
          <w:rFonts w:ascii="Arial" w:eastAsia="宋体" w:hAnsi="Arial" w:cs="Arial"/>
          <w:color w:val="000000"/>
          <w:sz w:val="17"/>
          <w:szCs w:val="17"/>
        </w:rPr>
        <w:t>liabilities at fair value on a recurring basis, including derivatives, equity securities and available-for-sale debt securities. For additional information about the Company's fair value policies refer to Note 1 — Summary of Significant Accounting Policies</w:t>
      </w:r>
      <w:r>
        <w:rPr>
          <w:rFonts w:ascii="Arial" w:eastAsia="宋体" w:hAnsi="Arial" w:cs="Arial"/>
          <w:color w:val="000000"/>
          <w:sz w:val="17"/>
          <w:szCs w:val="17"/>
        </w:rPr>
        <w:t xml:space="preserve"> of the Annual Report on Form 10-K for the fiscal year ended May 31, 2020.</w:t>
      </w:r>
    </w:p>
    <w:p w14:paraId="669C6166" w14:textId="77777777" w:rsidR="00066C63" w:rsidRDefault="00066C63">
      <w:pPr>
        <w:spacing w:before="120" w:after="120"/>
      </w:pPr>
    </w:p>
    <w:p w14:paraId="669C6167" w14:textId="77777777" w:rsidR="00066C63" w:rsidRDefault="009656F6">
      <w:pPr>
        <w:spacing w:before="120" w:after="120"/>
      </w:pPr>
      <w:r>
        <w:rPr>
          <w:rFonts w:ascii="Arial" w:eastAsia="宋体" w:hAnsi="Arial" w:cs="Arial"/>
          <w:color w:val="E87722"/>
          <w:sz w:val="17"/>
          <w:szCs w:val="17"/>
        </w:rPr>
        <w:t>8</w:t>
      </w:r>
      <w:r>
        <w:rPr>
          <w:rFonts w:ascii="sans-serif" w:eastAsia="sans-serif" w:hAnsi="sans-serif" w:cs="sans-serif"/>
          <w:color w:val="000000"/>
          <w:sz w:val="17"/>
          <w:szCs w:val="17"/>
        </w:rPr>
        <w:t xml:space="preserve"> </w:t>
      </w:r>
    </w:p>
    <w:p w14:paraId="669C6168" w14:textId="77777777" w:rsidR="00066C63" w:rsidRDefault="009656F6">
      <w:r>
        <w:pict w14:anchorId="669C7E38">
          <v:rect id="_x0000_i1034" style="width:415.3pt;height:1.5pt" o:hralign="center" o:hrstd="t" o:hr="t" fillcolor="#a0a0a0" stroked="f"/>
        </w:pict>
      </w:r>
    </w:p>
    <w:p w14:paraId="669C6169" w14:textId="77777777" w:rsidR="00066C63" w:rsidRDefault="00066C63"/>
    <w:p w14:paraId="669C616A" w14:textId="77777777" w:rsidR="00066C63" w:rsidRDefault="009656F6">
      <w:hyperlink r:id="rId79" w:anchor="i1e99cb26debe49fe8b698d0f0eb1273a_7" w:history="1">
        <w:r>
          <w:rPr>
            <w:rStyle w:val="a5"/>
            <w:rFonts w:ascii="sans-serif" w:eastAsia="sans-serif" w:hAnsi="sans-serif" w:cs="sans-serif"/>
            <w:sz w:val="17"/>
            <w:szCs w:val="17"/>
          </w:rPr>
          <w:t>Table of Contents</w:t>
        </w:r>
      </w:hyperlink>
    </w:p>
    <w:p w14:paraId="669C616B" w14:textId="77777777" w:rsidR="00066C63" w:rsidRDefault="00066C63"/>
    <w:p w14:paraId="669C616C" w14:textId="77777777" w:rsidR="00066C63" w:rsidRDefault="009656F6">
      <w:pPr>
        <w:spacing w:before="120" w:after="120"/>
      </w:pPr>
      <w:r>
        <w:rPr>
          <w:rFonts w:ascii="Arial" w:eastAsia="宋体" w:hAnsi="Arial" w:cs="Arial"/>
          <w:color w:val="000000"/>
          <w:sz w:val="17"/>
          <w:szCs w:val="17"/>
        </w:rPr>
        <w:t xml:space="preserve">The following tables present information about the Company's financial assets measured at fair value on a recurring basis as of February 28, 2021 and May 31, 2020, and indicate the level in the fair value hierarchy in which the Company classifies the fair </w:t>
      </w:r>
      <w:r>
        <w:rPr>
          <w:rFonts w:ascii="Arial" w:eastAsia="宋体" w:hAnsi="Arial" w:cs="Arial"/>
          <w:color w:val="000000"/>
          <w:sz w:val="17"/>
          <w:szCs w:val="17"/>
        </w:rPr>
        <w:t>value measurement:</w:t>
      </w:r>
    </w:p>
    <w:tbl>
      <w:tblPr>
        <w:tblW w:w="4992" w:type="pct"/>
        <w:tblCellMar>
          <w:top w:w="15" w:type="dxa"/>
          <w:left w:w="15" w:type="dxa"/>
          <w:bottom w:w="15" w:type="dxa"/>
          <w:right w:w="15" w:type="dxa"/>
        </w:tblCellMar>
        <w:tblLook w:val="04A0" w:firstRow="1" w:lastRow="0" w:firstColumn="1" w:lastColumn="0" w:noHBand="0" w:noVBand="1"/>
      </w:tblPr>
      <w:tblGrid>
        <w:gridCol w:w="41"/>
        <w:gridCol w:w="3226"/>
        <w:gridCol w:w="38"/>
        <w:gridCol w:w="115"/>
        <w:gridCol w:w="1473"/>
        <w:gridCol w:w="36"/>
        <w:gridCol w:w="116"/>
        <w:gridCol w:w="1473"/>
        <w:gridCol w:w="36"/>
        <w:gridCol w:w="116"/>
        <w:gridCol w:w="1617"/>
        <w:gridCol w:w="36"/>
      </w:tblGrid>
      <w:tr w:rsidR="00066C63" w14:paraId="669C6179" w14:textId="77777777">
        <w:tc>
          <w:tcPr>
            <w:tcW w:w="50" w:type="pct"/>
            <w:shd w:val="clear" w:color="auto" w:fill="auto"/>
          </w:tcPr>
          <w:p w14:paraId="669C616D" w14:textId="77777777" w:rsidR="00066C63" w:rsidRDefault="00066C63">
            <w:pPr>
              <w:rPr>
                <w:rFonts w:ascii="宋体"/>
              </w:rPr>
            </w:pPr>
          </w:p>
        </w:tc>
        <w:tc>
          <w:tcPr>
            <w:tcW w:w="1962" w:type="pct"/>
            <w:shd w:val="clear" w:color="auto" w:fill="auto"/>
          </w:tcPr>
          <w:p w14:paraId="669C616E" w14:textId="77777777" w:rsidR="00066C63" w:rsidRDefault="00066C63">
            <w:pPr>
              <w:rPr>
                <w:rFonts w:ascii="宋体"/>
              </w:rPr>
            </w:pPr>
          </w:p>
        </w:tc>
        <w:tc>
          <w:tcPr>
            <w:tcW w:w="5" w:type="pct"/>
            <w:shd w:val="clear" w:color="auto" w:fill="auto"/>
          </w:tcPr>
          <w:p w14:paraId="669C616F" w14:textId="77777777" w:rsidR="00066C63" w:rsidRDefault="00066C63">
            <w:pPr>
              <w:rPr>
                <w:rFonts w:ascii="宋体"/>
              </w:rPr>
            </w:pPr>
          </w:p>
        </w:tc>
        <w:tc>
          <w:tcPr>
            <w:tcW w:w="50" w:type="pct"/>
            <w:shd w:val="clear" w:color="auto" w:fill="auto"/>
          </w:tcPr>
          <w:p w14:paraId="669C6170" w14:textId="77777777" w:rsidR="00066C63" w:rsidRDefault="00066C63">
            <w:pPr>
              <w:rPr>
                <w:rFonts w:ascii="宋体"/>
              </w:rPr>
            </w:pPr>
          </w:p>
        </w:tc>
        <w:tc>
          <w:tcPr>
            <w:tcW w:w="910" w:type="pct"/>
            <w:shd w:val="clear" w:color="auto" w:fill="auto"/>
          </w:tcPr>
          <w:p w14:paraId="669C6171" w14:textId="77777777" w:rsidR="00066C63" w:rsidRDefault="00066C63">
            <w:pPr>
              <w:rPr>
                <w:rFonts w:ascii="宋体"/>
              </w:rPr>
            </w:pPr>
          </w:p>
        </w:tc>
        <w:tc>
          <w:tcPr>
            <w:tcW w:w="5" w:type="pct"/>
            <w:shd w:val="clear" w:color="auto" w:fill="auto"/>
          </w:tcPr>
          <w:p w14:paraId="669C6172" w14:textId="77777777" w:rsidR="00066C63" w:rsidRDefault="00066C63">
            <w:pPr>
              <w:rPr>
                <w:rFonts w:ascii="宋体"/>
              </w:rPr>
            </w:pPr>
          </w:p>
        </w:tc>
        <w:tc>
          <w:tcPr>
            <w:tcW w:w="50" w:type="pct"/>
            <w:shd w:val="clear" w:color="auto" w:fill="auto"/>
          </w:tcPr>
          <w:p w14:paraId="669C6173" w14:textId="77777777" w:rsidR="00066C63" w:rsidRDefault="00066C63">
            <w:pPr>
              <w:rPr>
                <w:rFonts w:ascii="宋体"/>
              </w:rPr>
            </w:pPr>
          </w:p>
        </w:tc>
        <w:tc>
          <w:tcPr>
            <w:tcW w:w="910" w:type="pct"/>
            <w:shd w:val="clear" w:color="auto" w:fill="auto"/>
          </w:tcPr>
          <w:p w14:paraId="669C6174" w14:textId="77777777" w:rsidR="00066C63" w:rsidRDefault="00066C63">
            <w:pPr>
              <w:rPr>
                <w:rFonts w:ascii="宋体"/>
              </w:rPr>
            </w:pPr>
          </w:p>
        </w:tc>
        <w:tc>
          <w:tcPr>
            <w:tcW w:w="5" w:type="pct"/>
            <w:shd w:val="clear" w:color="auto" w:fill="auto"/>
          </w:tcPr>
          <w:p w14:paraId="669C6175" w14:textId="77777777" w:rsidR="00066C63" w:rsidRDefault="00066C63">
            <w:pPr>
              <w:rPr>
                <w:rFonts w:ascii="宋体"/>
              </w:rPr>
            </w:pPr>
          </w:p>
        </w:tc>
        <w:tc>
          <w:tcPr>
            <w:tcW w:w="50" w:type="pct"/>
            <w:shd w:val="clear" w:color="auto" w:fill="auto"/>
          </w:tcPr>
          <w:p w14:paraId="669C6176" w14:textId="77777777" w:rsidR="00066C63" w:rsidRDefault="00066C63">
            <w:pPr>
              <w:rPr>
                <w:rFonts w:ascii="宋体"/>
              </w:rPr>
            </w:pPr>
          </w:p>
        </w:tc>
        <w:tc>
          <w:tcPr>
            <w:tcW w:w="996" w:type="pct"/>
            <w:shd w:val="clear" w:color="auto" w:fill="auto"/>
          </w:tcPr>
          <w:p w14:paraId="669C6177" w14:textId="77777777" w:rsidR="00066C63" w:rsidRDefault="00066C63">
            <w:pPr>
              <w:rPr>
                <w:rFonts w:ascii="宋体"/>
              </w:rPr>
            </w:pPr>
          </w:p>
        </w:tc>
        <w:tc>
          <w:tcPr>
            <w:tcW w:w="5" w:type="pct"/>
            <w:shd w:val="clear" w:color="auto" w:fill="auto"/>
          </w:tcPr>
          <w:p w14:paraId="669C6178" w14:textId="77777777" w:rsidR="00066C63" w:rsidRDefault="00066C63">
            <w:pPr>
              <w:rPr>
                <w:rFonts w:ascii="宋体"/>
              </w:rPr>
            </w:pPr>
          </w:p>
        </w:tc>
      </w:tr>
      <w:tr w:rsidR="00066C63" w14:paraId="669C617C" w14:textId="77777777">
        <w:tc>
          <w:tcPr>
            <w:tcW w:w="0" w:type="auto"/>
            <w:gridSpan w:val="3"/>
            <w:shd w:val="clear" w:color="auto" w:fill="auto"/>
            <w:tcMar>
              <w:top w:w="0" w:type="dxa"/>
              <w:left w:w="20" w:type="dxa"/>
              <w:bottom w:w="0" w:type="dxa"/>
              <w:right w:w="20" w:type="dxa"/>
            </w:tcMar>
          </w:tcPr>
          <w:p w14:paraId="669C617A" w14:textId="77777777" w:rsidR="00066C63" w:rsidRDefault="00066C63">
            <w:pPr>
              <w:rPr>
                <w:rFonts w:ascii="宋体"/>
              </w:rPr>
            </w:pPr>
          </w:p>
        </w:tc>
        <w:tc>
          <w:tcPr>
            <w:tcW w:w="0" w:type="auto"/>
            <w:gridSpan w:val="9"/>
            <w:shd w:val="clear" w:color="auto" w:fill="auto"/>
            <w:tcMar>
              <w:top w:w="40" w:type="dxa"/>
              <w:left w:w="20" w:type="dxa"/>
              <w:bottom w:w="40" w:type="dxa"/>
              <w:right w:w="20" w:type="dxa"/>
            </w:tcMar>
            <w:vAlign w:val="bottom"/>
          </w:tcPr>
          <w:p w14:paraId="669C617B" w14:textId="77777777" w:rsidR="00066C63" w:rsidRDefault="009656F6">
            <w:pPr>
              <w:jc w:val="center"/>
              <w:textAlignment w:val="bottom"/>
            </w:pPr>
            <w:r>
              <w:rPr>
                <w:rFonts w:ascii="sans-serif" w:eastAsia="sans-serif" w:hAnsi="sans-serif" w:cs="sans-serif"/>
                <w:b/>
                <w:bCs/>
                <w:color w:val="000000"/>
                <w:sz w:val="17"/>
                <w:szCs w:val="17"/>
              </w:rPr>
              <w:t>FEBRUARY 28, 2021</w:t>
            </w:r>
          </w:p>
        </w:tc>
      </w:tr>
      <w:tr w:rsidR="00066C63" w14:paraId="669C6181" w14:textId="77777777">
        <w:tc>
          <w:tcPr>
            <w:tcW w:w="0" w:type="auto"/>
            <w:gridSpan w:val="3"/>
            <w:shd w:val="clear" w:color="auto" w:fill="auto"/>
            <w:tcMar>
              <w:top w:w="40" w:type="dxa"/>
              <w:left w:w="20" w:type="dxa"/>
              <w:bottom w:w="40" w:type="dxa"/>
              <w:right w:w="20" w:type="dxa"/>
            </w:tcMar>
            <w:vAlign w:val="bottom"/>
          </w:tcPr>
          <w:p w14:paraId="669C617D" w14:textId="77777777" w:rsidR="00066C63" w:rsidRDefault="009656F6">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17E" w14:textId="77777777" w:rsidR="00066C63" w:rsidRDefault="009656F6">
            <w:pPr>
              <w:jc w:val="right"/>
              <w:textAlignment w:val="bottom"/>
            </w:pPr>
            <w:r>
              <w:rPr>
                <w:rFonts w:ascii="sans-serif" w:eastAsia="sans-serif" w:hAnsi="sans-serif" w:cs="sans-serif"/>
                <w:b/>
                <w:bCs/>
                <w:color w:val="000000"/>
                <w:sz w:val="17"/>
                <w:szCs w:val="17"/>
              </w:rPr>
              <w:t>ASSETS AT FAIR VALUE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17F" w14:textId="77777777" w:rsidR="00066C63" w:rsidRDefault="009656F6">
            <w:pPr>
              <w:jc w:val="right"/>
              <w:textAlignment w:val="bottom"/>
            </w:pPr>
            <w:r>
              <w:rPr>
                <w:rFonts w:ascii="sans-serif" w:eastAsia="sans-serif" w:hAnsi="sans-serif" w:cs="sans-serif"/>
                <w:b/>
                <w:bCs/>
                <w:color w:val="000000"/>
                <w:sz w:val="17"/>
                <w:szCs w:val="17"/>
              </w:rPr>
              <w:t>CASH AND EQUIVALENTS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180" w14:textId="77777777" w:rsidR="00066C63" w:rsidRDefault="009656F6">
            <w:pPr>
              <w:jc w:val="right"/>
              <w:textAlignment w:val="bottom"/>
            </w:pPr>
            <w:r>
              <w:rPr>
                <w:rFonts w:ascii="sans-serif" w:eastAsia="sans-serif" w:hAnsi="sans-serif" w:cs="sans-serif"/>
                <w:b/>
                <w:bCs/>
                <w:color w:val="000000"/>
                <w:sz w:val="17"/>
                <w:szCs w:val="17"/>
              </w:rPr>
              <w:t>SHORT-TERM INVESTMENTS</w:t>
            </w:r>
          </w:p>
        </w:tc>
      </w:tr>
      <w:tr w:rsidR="00066C63" w14:paraId="669C618C"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182" w14:textId="77777777" w:rsidR="00066C63" w:rsidRDefault="009656F6">
            <w:pPr>
              <w:textAlignment w:val="bottom"/>
            </w:pPr>
            <w:r>
              <w:rPr>
                <w:rFonts w:ascii="Arial" w:eastAsia="宋体" w:hAnsi="Arial" w:cs="Arial"/>
                <w:color w:val="000000"/>
                <w:sz w:val="17"/>
                <w:szCs w:val="17"/>
              </w:rPr>
              <w:t>Cash</w:t>
            </w:r>
          </w:p>
        </w:tc>
        <w:tc>
          <w:tcPr>
            <w:tcW w:w="0" w:type="auto"/>
            <w:tcBorders>
              <w:top w:val="single" w:sz="8" w:space="0" w:color="E87722"/>
            </w:tcBorders>
            <w:shd w:val="clear" w:color="auto" w:fill="FFF1E7"/>
            <w:tcMar>
              <w:top w:w="40" w:type="dxa"/>
              <w:left w:w="20" w:type="dxa"/>
              <w:bottom w:w="40" w:type="dxa"/>
              <w:right w:w="0" w:type="dxa"/>
            </w:tcMar>
            <w:vAlign w:val="bottom"/>
          </w:tcPr>
          <w:p w14:paraId="669C6183"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669C6184" w14:textId="77777777" w:rsidR="00066C63" w:rsidRDefault="009656F6">
            <w:pPr>
              <w:jc w:val="right"/>
              <w:textAlignment w:val="bottom"/>
            </w:pPr>
            <w:r>
              <w:rPr>
                <w:rFonts w:ascii="Arial" w:eastAsia="宋体" w:hAnsi="Arial" w:cs="Arial"/>
                <w:color w:val="000000"/>
                <w:sz w:val="17"/>
                <w:szCs w:val="17"/>
              </w:rPr>
              <w:t>586 </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6185" w14:textId="77777777" w:rsidR="00066C63" w:rsidRDefault="00066C63">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669C6186"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669C6187" w14:textId="77777777" w:rsidR="00066C63" w:rsidRDefault="009656F6">
            <w:pPr>
              <w:jc w:val="right"/>
              <w:textAlignment w:val="bottom"/>
            </w:pPr>
            <w:r>
              <w:rPr>
                <w:rFonts w:ascii="Arial" w:eastAsia="宋体" w:hAnsi="Arial" w:cs="Arial"/>
                <w:color w:val="000000"/>
                <w:sz w:val="17"/>
                <w:szCs w:val="17"/>
              </w:rPr>
              <w:t>586 </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6188" w14:textId="77777777" w:rsidR="00066C63" w:rsidRDefault="00066C63">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669C6189"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669C618A" w14:textId="77777777" w:rsidR="00066C63" w:rsidRDefault="009656F6">
            <w:pPr>
              <w:jc w:val="right"/>
              <w:textAlignment w:val="bottom"/>
            </w:pP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618B" w14:textId="77777777" w:rsidR="00066C63" w:rsidRDefault="00066C63">
            <w:pPr>
              <w:jc w:val="right"/>
              <w:rPr>
                <w:rFonts w:ascii="宋体"/>
              </w:rPr>
            </w:pPr>
          </w:p>
        </w:tc>
      </w:tr>
      <w:tr w:rsidR="00066C63" w14:paraId="669C6191"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618D" w14:textId="77777777" w:rsidR="00066C63" w:rsidRDefault="009656F6">
            <w:pPr>
              <w:textAlignment w:val="bottom"/>
            </w:pPr>
            <w:r>
              <w:rPr>
                <w:rFonts w:ascii="Arial" w:eastAsia="宋体" w:hAnsi="Arial" w:cs="Arial"/>
                <w:color w:val="000000"/>
                <w:sz w:val="17"/>
                <w:szCs w:val="17"/>
                <w:u w:val="single"/>
              </w:rPr>
              <w:t>Level 1:</w:t>
            </w:r>
          </w:p>
        </w:tc>
        <w:tc>
          <w:tcPr>
            <w:tcW w:w="0" w:type="auto"/>
            <w:gridSpan w:val="3"/>
            <w:tcBorders>
              <w:top w:val="single" w:sz="8" w:space="0" w:color="808080"/>
            </w:tcBorders>
            <w:shd w:val="clear" w:color="auto" w:fill="FFF1E7"/>
            <w:tcMar>
              <w:top w:w="0" w:type="dxa"/>
              <w:left w:w="20" w:type="dxa"/>
              <w:bottom w:w="0" w:type="dxa"/>
              <w:right w:w="20" w:type="dxa"/>
            </w:tcMar>
          </w:tcPr>
          <w:p w14:paraId="669C618E" w14:textId="77777777" w:rsidR="00066C63" w:rsidRDefault="00066C63">
            <w:pPr>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669C618F" w14:textId="77777777" w:rsidR="00066C63" w:rsidRDefault="00066C63">
            <w:pPr>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669C6190" w14:textId="77777777" w:rsidR="00066C63" w:rsidRDefault="00066C63">
            <w:pPr>
              <w:rPr>
                <w:rFonts w:ascii="宋体"/>
              </w:rPr>
            </w:pPr>
          </w:p>
        </w:tc>
      </w:tr>
      <w:tr w:rsidR="00066C63" w14:paraId="669C6199"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6192" w14:textId="77777777" w:rsidR="00066C63" w:rsidRDefault="009656F6">
            <w:pPr>
              <w:textAlignment w:val="bottom"/>
            </w:pPr>
            <w:r>
              <w:rPr>
                <w:rFonts w:ascii="Arial" w:eastAsia="宋体" w:hAnsi="Arial" w:cs="Arial"/>
                <w:color w:val="000000"/>
                <w:sz w:val="17"/>
                <w:szCs w:val="17"/>
              </w:rPr>
              <w:t>U.S. Treasury securities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193" w14:textId="77777777" w:rsidR="00066C63" w:rsidRDefault="009656F6">
            <w:pPr>
              <w:jc w:val="right"/>
              <w:textAlignment w:val="bottom"/>
            </w:pPr>
            <w:r>
              <w:rPr>
                <w:rFonts w:ascii="Arial" w:eastAsia="宋体" w:hAnsi="Arial" w:cs="Arial"/>
                <w:color w:val="000000"/>
                <w:sz w:val="17"/>
                <w:szCs w:val="17"/>
              </w:rPr>
              <w:t>3,406 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194" w14:textId="77777777" w:rsidR="00066C63" w:rsidRDefault="00066C63">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195" w14:textId="77777777" w:rsidR="00066C63" w:rsidRDefault="009656F6">
            <w:pPr>
              <w:jc w:val="right"/>
              <w:textAlignment w:val="bottom"/>
            </w:pPr>
            <w:r>
              <w:rPr>
                <w:rFonts w:ascii="Arial" w:eastAsia="宋体" w:hAnsi="Arial" w:cs="Arial"/>
                <w:color w:val="000000"/>
                <w:sz w:val="17"/>
                <w:szCs w:val="17"/>
              </w:rPr>
              <w:t>5 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196" w14:textId="77777777" w:rsidR="00066C63" w:rsidRDefault="00066C63">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197" w14:textId="77777777" w:rsidR="00066C63" w:rsidRDefault="009656F6">
            <w:pPr>
              <w:jc w:val="right"/>
              <w:textAlignment w:val="bottom"/>
            </w:pPr>
            <w:r>
              <w:rPr>
                <w:rFonts w:ascii="Arial" w:eastAsia="宋体" w:hAnsi="Arial" w:cs="Arial"/>
                <w:color w:val="000000"/>
                <w:sz w:val="17"/>
                <w:szCs w:val="17"/>
              </w:rPr>
              <w:t>3,401 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198" w14:textId="77777777" w:rsidR="00066C63" w:rsidRDefault="00066C63">
            <w:pPr>
              <w:jc w:val="right"/>
              <w:rPr>
                <w:rFonts w:ascii="宋体"/>
              </w:rPr>
            </w:pPr>
          </w:p>
        </w:tc>
      </w:tr>
      <w:tr w:rsidR="00066C63" w14:paraId="669C619E"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619A" w14:textId="77777777" w:rsidR="00066C63" w:rsidRDefault="009656F6">
            <w:pPr>
              <w:textAlignment w:val="bottom"/>
            </w:pPr>
            <w:r>
              <w:rPr>
                <w:rFonts w:ascii="Arial" w:eastAsia="宋体" w:hAnsi="Arial" w:cs="Arial"/>
                <w:color w:val="000000"/>
                <w:sz w:val="17"/>
                <w:szCs w:val="17"/>
                <w:u w:val="single"/>
              </w:rPr>
              <w:t>Level 2:</w:t>
            </w:r>
          </w:p>
        </w:tc>
        <w:tc>
          <w:tcPr>
            <w:tcW w:w="0" w:type="auto"/>
            <w:gridSpan w:val="3"/>
            <w:tcBorders>
              <w:top w:val="single" w:sz="8" w:space="0" w:color="808080"/>
            </w:tcBorders>
            <w:shd w:val="clear" w:color="auto" w:fill="FFF1E7"/>
            <w:tcMar>
              <w:top w:w="0" w:type="dxa"/>
              <w:left w:w="20" w:type="dxa"/>
              <w:bottom w:w="0" w:type="dxa"/>
              <w:right w:w="20" w:type="dxa"/>
            </w:tcMar>
          </w:tcPr>
          <w:p w14:paraId="669C619B" w14:textId="77777777" w:rsidR="00066C63" w:rsidRDefault="00066C63">
            <w:pPr>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669C619C" w14:textId="77777777" w:rsidR="00066C63" w:rsidRDefault="00066C63">
            <w:pPr>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669C619D" w14:textId="77777777" w:rsidR="00066C63" w:rsidRDefault="00066C63">
            <w:pPr>
              <w:rPr>
                <w:rFonts w:ascii="宋体"/>
              </w:rPr>
            </w:pPr>
          </w:p>
        </w:tc>
      </w:tr>
      <w:tr w:rsidR="00066C63" w14:paraId="669C61A6"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619F" w14:textId="77777777" w:rsidR="00066C63" w:rsidRDefault="009656F6">
            <w:pPr>
              <w:textAlignment w:val="bottom"/>
            </w:pPr>
            <w:r>
              <w:rPr>
                <w:rFonts w:ascii="Arial" w:eastAsia="宋体" w:hAnsi="Arial" w:cs="Arial"/>
                <w:color w:val="000000"/>
                <w:sz w:val="17"/>
                <w:szCs w:val="17"/>
              </w:rPr>
              <w:t>Commercial paper and bonds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1A0" w14:textId="77777777" w:rsidR="00066C63" w:rsidRDefault="009656F6">
            <w:pPr>
              <w:jc w:val="right"/>
              <w:textAlignment w:val="bottom"/>
            </w:pPr>
            <w:r>
              <w:rPr>
                <w:rFonts w:ascii="Arial" w:eastAsia="宋体" w:hAnsi="Arial" w:cs="Arial"/>
                <w:color w:val="000000"/>
                <w:sz w:val="17"/>
                <w:szCs w:val="17"/>
              </w:rPr>
              <w:t>704 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1A1" w14:textId="77777777" w:rsidR="00066C63" w:rsidRDefault="00066C63">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1A2" w14:textId="77777777" w:rsidR="00066C63" w:rsidRDefault="009656F6">
            <w:pPr>
              <w:jc w:val="right"/>
              <w:textAlignment w:val="bottom"/>
            </w:pPr>
            <w:r>
              <w:rPr>
                <w:rFonts w:ascii="Arial" w:eastAsia="宋体" w:hAnsi="Arial" w:cs="Arial"/>
                <w:color w:val="000000"/>
                <w:sz w:val="17"/>
                <w:szCs w:val="17"/>
              </w:rPr>
              <w:t>100 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1A3" w14:textId="77777777" w:rsidR="00066C63" w:rsidRDefault="00066C63">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1A4" w14:textId="77777777" w:rsidR="00066C63" w:rsidRDefault="009656F6">
            <w:pPr>
              <w:jc w:val="right"/>
              <w:textAlignment w:val="bottom"/>
            </w:pPr>
            <w:r>
              <w:rPr>
                <w:rFonts w:ascii="Arial" w:eastAsia="宋体" w:hAnsi="Arial" w:cs="Arial"/>
                <w:color w:val="000000"/>
                <w:sz w:val="17"/>
                <w:szCs w:val="17"/>
              </w:rPr>
              <w:t>604 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1A5" w14:textId="77777777" w:rsidR="00066C63" w:rsidRDefault="00066C63">
            <w:pPr>
              <w:jc w:val="right"/>
              <w:rPr>
                <w:rFonts w:ascii="宋体"/>
              </w:rPr>
            </w:pPr>
          </w:p>
        </w:tc>
      </w:tr>
      <w:tr w:rsidR="00066C63" w14:paraId="669C61AE"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61A7" w14:textId="77777777" w:rsidR="00066C63" w:rsidRDefault="009656F6">
            <w:pPr>
              <w:textAlignment w:val="bottom"/>
            </w:pPr>
            <w:r>
              <w:rPr>
                <w:rFonts w:ascii="Arial" w:eastAsia="宋体" w:hAnsi="Arial" w:cs="Arial"/>
                <w:color w:val="000000"/>
                <w:sz w:val="17"/>
                <w:szCs w:val="17"/>
              </w:rPr>
              <w:t>Money market funds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1A8" w14:textId="77777777" w:rsidR="00066C63" w:rsidRDefault="009656F6">
            <w:pPr>
              <w:jc w:val="right"/>
              <w:textAlignment w:val="bottom"/>
            </w:pPr>
            <w:r>
              <w:rPr>
                <w:rFonts w:ascii="Arial" w:eastAsia="宋体" w:hAnsi="Arial" w:cs="Arial"/>
                <w:color w:val="000000"/>
                <w:sz w:val="17"/>
                <w:szCs w:val="17"/>
              </w:rPr>
              <w:t>6,586 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1A9" w14:textId="77777777" w:rsidR="00066C63" w:rsidRDefault="00066C63">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1AA" w14:textId="77777777" w:rsidR="00066C63" w:rsidRDefault="009656F6">
            <w:pPr>
              <w:jc w:val="right"/>
              <w:textAlignment w:val="bottom"/>
            </w:pPr>
            <w:r>
              <w:rPr>
                <w:rFonts w:ascii="Arial" w:eastAsia="宋体" w:hAnsi="Arial" w:cs="Arial"/>
                <w:color w:val="000000"/>
                <w:sz w:val="17"/>
                <w:szCs w:val="17"/>
              </w:rPr>
              <w:t>6,586 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1AB" w14:textId="77777777" w:rsidR="00066C63" w:rsidRDefault="00066C63">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1AC" w14:textId="77777777" w:rsidR="00066C63" w:rsidRDefault="009656F6">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1AD" w14:textId="77777777" w:rsidR="00066C63" w:rsidRDefault="00066C63">
            <w:pPr>
              <w:jc w:val="right"/>
              <w:rPr>
                <w:rFonts w:ascii="宋体"/>
              </w:rPr>
            </w:pPr>
          </w:p>
        </w:tc>
      </w:tr>
      <w:tr w:rsidR="00066C63" w14:paraId="669C61B6"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61AF" w14:textId="77777777" w:rsidR="00066C63" w:rsidRDefault="009656F6">
            <w:pPr>
              <w:textAlignment w:val="bottom"/>
            </w:pPr>
            <w:r>
              <w:rPr>
                <w:rFonts w:ascii="Arial" w:eastAsia="宋体" w:hAnsi="Arial" w:cs="Arial"/>
                <w:color w:val="000000"/>
                <w:sz w:val="17"/>
                <w:szCs w:val="17"/>
              </w:rPr>
              <w:t>Time deposits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1B0" w14:textId="77777777" w:rsidR="00066C63" w:rsidRDefault="009656F6">
            <w:pPr>
              <w:jc w:val="right"/>
              <w:textAlignment w:val="bottom"/>
            </w:pPr>
            <w:r>
              <w:rPr>
                <w:rFonts w:ascii="Arial" w:eastAsia="宋体" w:hAnsi="Arial" w:cs="Arial"/>
                <w:color w:val="000000"/>
                <w:sz w:val="17"/>
                <w:szCs w:val="17"/>
              </w:rPr>
              <w:t>1,240 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1B1" w14:textId="77777777" w:rsidR="00066C63" w:rsidRDefault="00066C63">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1B2" w14:textId="77777777" w:rsidR="00066C63" w:rsidRDefault="009656F6">
            <w:pPr>
              <w:jc w:val="right"/>
              <w:textAlignment w:val="bottom"/>
            </w:pPr>
            <w:r>
              <w:rPr>
                <w:rFonts w:ascii="Arial" w:eastAsia="宋体" w:hAnsi="Arial" w:cs="Arial"/>
                <w:color w:val="000000"/>
                <w:sz w:val="17"/>
                <w:szCs w:val="17"/>
              </w:rPr>
              <w:t>1,239 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1B3" w14:textId="77777777" w:rsidR="00066C63" w:rsidRDefault="00066C63">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1B4" w14:textId="77777777" w:rsidR="00066C63" w:rsidRDefault="009656F6">
            <w:pPr>
              <w:jc w:val="right"/>
              <w:textAlignment w:val="bottom"/>
            </w:pPr>
            <w:r>
              <w:rPr>
                <w:rFonts w:ascii="Arial" w:eastAsia="宋体" w:hAnsi="Arial" w:cs="Arial"/>
                <w:color w:val="000000"/>
                <w:sz w:val="17"/>
                <w:szCs w:val="17"/>
              </w:rPr>
              <w:t>1 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1B5" w14:textId="77777777" w:rsidR="00066C63" w:rsidRDefault="00066C63">
            <w:pPr>
              <w:jc w:val="right"/>
              <w:rPr>
                <w:rFonts w:ascii="宋体"/>
              </w:rPr>
            </w:pPr>
          </w:p>
        </w:tc>
      </w:tr>
      <w:tr w:rsidR="00066C63" w14:paraId="669C61BE"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61B7" w14:textId="77777777" w:rsidR="00066C63" w:rsidRDefault="009656F6">
            <w:pPr>
              <w:textAlignment w:val="bottom"/>
            </w:pPr>
            <w:r>
              <w:rPr>
                <w:rFonts w:ascii="Arial" w:eastAsia="宋体" w:hAnsi="Arial" w:cs="Arial"/>
                <w:color w:val="000000"/>
                <w:sz w:val="17"/>
                <w:szCs w:val="17"/>
              </w:rPr>
              <w:t>U.S. Agency securities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1B8" w14:textId="77777777" w:rsidR="00066C63" w:rsidRDefault="009656F6">
            <w:pPr>
              <w:jc w:val="right"/>
              <w:textAlignment w:val="bottom"/>
            </w:pPr>
            <w:r>
              <w:rPr>
                <w:rFonts w:ascii="Arial" w:eastAsia="宋体" w:hAnsi="Arial" w:cs="Arial"/>
                <w:color w:val="000000"/>
                <w:sz w:val="17"/>
                <w:szCs w:val="17"/>
              </w:rPr>
              <w:t>6 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1B9" w14:textId="77777777" w:rsidR="00066C63" w:rsidRDefault="00066C63">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1BA" w14:textId="77777777" w:rsidR="00066C63" w:rsidRDefault="009656F6">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1BB" w14:textId="77777777" w:rsidR="00066C63" w:rsidRDefault="00066C63">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1BC" w14:textId="77777777" w:rsidR="00066C63" w:rsidRDefault="009656F6">
            <w:pPr>
              <w:jc w:val="right"/>
              <w:textAlignment w:val="bottom"/>
            </w:pPr>
            <w:r>
              <w:rPr>
                <w:rFonts w:ascii="Arial" w:eastAsia="宋体" w:hAnsi="Arial" w:cs="Arial"/>
                <w:color w:val="000000"/>
                <w:sz w:val="17"/>
                <w:szCs w:val="17"/>
              </w:rPr>
              <w:t>6 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1BD" w14:textId="77777777" w:rsidR="00066C63" w:rsidRDefault="00066C63">
            <w:pPr>
              <w:jc w:val="right"/>
              <w:rPr>
                <w:rFonts w:ascii="宋体"/>
              </w:rPr>
            </w:pPr>
          </w:p>
        </w:tc>
      </w:tr>
      <w:tr w:rsidR="00066C63" w14:paraId="669C61C6"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1BF" w14:textId="77777777" w:rsidR="00066C63" w:rsidRDefault="009656F6">
            <w:pPr>
              <w:textAlignment w:val="bottom"/>
            </w:pPr>
            <w:r>
              <w:rPr>
                <w:rFonts w:ascii="Arial" w:eastAsia="宋体" w:hAnsi="Arial" w:cs="Arial"/>
                <w:color w:val="000000"/>
                <w:sz w:val="17"/>
                <w:szCs w:val="17"/>
              </w:rPr>
              <w:t>Total Level 2</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669C61C0" w14:textId="77777777" w:rsidR="00066C63" w:rsidRDefault="009656F6">
            <w:pPr>
              <w:jc w:val="right"/>
              <w:textAlignment w:val="bottom"/>
            </w:pPr>
            <w:r>
              <w:rPr>
                <w:rFonts w:ascii="Arial" w:eastAsia="宋体" w:hAnsi="Arial" w:cs="Arial"/>
                <w:color w:val="000000"/>
                <w:sz w:val="17"/>
                <w:szCs w:val="17"/>
              </w:rPr>
              <w:t>8,536 </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61C1" w14:textId="77777777" w:rsidR="00066C63" w:rsidRDefault="00066C63">
            <w:pPr>
              <w:jc w:val="right"/>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669C61C2" w14:textId="77777777" w:rsidR="00066C63" w:rsidRDefault="009656F6">
            <w:pPr>
              <w:jc w:val="right"/>
              <w:textAlignment w:val="bottom"/>
            </w:pPr>
            <w:r>
              <w:rPr>
                <w:rFonts w:ascii="Arial" w:eastAsia="宋体" w:hAnsi="Arial" w:cs="Arial"/>
                <w:color w:val="000000"/>
                <w:sz w:val="17"/>
                <w:szCs w:val="17"/>
              </w:rPr>
              <w:t>7,925 </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61C3" w14:textId="77777777" w:rsidR="00066C63" w:rsidRDefault="00066C63">
            <w:pPr>
              <w:jc w:val="right"/>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669C61C4" w14:textId="77777777" w:rsidR="00066C63" w:rsidRDefault="009656F6">
            <w:pPr>
              <w:jc w:val="right"/>
              <w:textAlignment w:val="bottom"/>
            </w:pPr>
            <w:r>
              <w:rPr>
                <w:rFonts w:ascii="Arial" w:eastAsia="宋体" w:hAnsi="Arial" w:cs="Arial"/>
                <w:color w:val="000000"/>
                <w:sz w:val="17"/>
                <w:szCs w:val="17"/>
              </w:rPr>
              <w:t>611 </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61C5" w14:textId="77777777" w:rsidR="00066C63" w:rsidRDefault="00066C63">
            <w:pPr>
              <w:jc w:val="right"/>
              <w:rPr>
                <w:rFonts w:ascii="宋体"/>
              </w:rPr>
            </w:pPr>
          </w:p>
        </w:tc>
      </w:tr>
      <w:tr w:rsidR="00066C63" w14:paraId="669C61D1"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669C61C7" w14:textId="77777777" w:rsidR="00066C63" w:rsidRDefault="009656F6">
            <w:pPr>
              <w:textAlignment w:val="bottom"/>
            </w:pPr>
            <w:r>
              <w:rPr>
                <w:rFonts w:ascii="Arial" w:eastAsia="宋体" w:hAnsi="Arial" w:cs="Arial"/>
                <w:b/>
                <w:bCs/>
                <w:color w:val="000000"/>
                <w:sz w:val="17"/>
                <w:szCs w:val="17"/>
              </w:rPr>
              <w:t>TOTAL</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69C61C8"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669C61C9" w14:textId="77777777" w:rsidR="00066C63" w:rsidRDefault="009656F6">
            <w:pPr>
              <w:jc w:val="right"/>
              <w:textAlignment w:val="bottom"/>
            </w:pPr>
            <w:r>
              <w:rPr>
                <w:rFonts w:ascii="Arial" w:eastAsia="宋体" w:hAnsi="Arial" w:cs="Arial"/>
                <w:b/>
                <w:bCs/>
                <w:color w:val="000000"/>
                <w:sz w:val="17"/>
                <w:szCs w:val="17"/>
              </w:rPr>
              <w:t>12,528</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69C61CA" w14:textId="77777777" w:rsidR="00066C63" w:rsidRDefault="00066C63">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69C61CB"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669C61CC" w14:textId="77777777" w:rsidR="00066C63" w:rsidRDefault="009656F6">
            <w:pPr>
              <w:jc w:val="right"/>
              <w:textAlignment w:val="bottom"/>
            </w:pPr>
            <w:r>
              <w:rPr>
                <w:rFonts w:ascii="Arial" w:eastAsia="宋体" w:hAnsi="Arial" w:cs="Arial"/>
                <w:b/>
                <w:bCs/>
                <w:color w:val="000000"/>
                <w:sz w:val="17"/>
                <w:szCs w:val="17"/>
              </w:rPr>
              <w:t>8,516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69C61CD" w14:textId="77777777" w:rsidR="00066C63" w:rsidRDefault="00066C63">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69C61CE"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669C61CF" w14:textId="77777777" w:rsidR="00066C63" w:rsidRDefault="009656F6">
            <w:pPr>
              <w:jc w:val="right"/>
              <w:textAlignment w:val="bottom"/>
            </w:pPr>
            <w:r>
              <w:rPr>
                <w:rFonts w:ascii="Arial" w:eastAsia="宋体" w:hAnsi="Arial" w:cs="Arial"/>
                <w:b/>
                <w:bCs/>
                <w:color w:val="000000"/>
                <w:sz w:val="17"/>
                <w:szCs w:val="17"/>
              </w:rPr>
              <w:t>4,012</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69C61D0" w14:textId="77777777" w:rsidR="00066C63" w:rsidRDefault="00066C63">
            <w:pPr>
              <w:jc w:val="right"/>
              <w:rPr>
                <w:rFonts w:ascii="宋体"/>
              </w:rPr>
            </w:pPr>
          </w:p>
        </w:tc>
      </w:tr>
    </w:tbl>
    <w:p w14:paraId="669C61D2" w14:textId="77777777" w:rsidR="00066C63" w:rsidRDefault="00066C63">
      <w:pPr>
        <w:rPr>
          <w:vanish/>
        </w:rPr>
      </w:pPr>
    </w:p>
    <w:tbl>
      <w:tblPr>
        <w:tblW w:w="4992" w:type="pct"/>
        <w:tblCellMar>
          <w:top w:w="15" w:type="dxa"/>
          <w:left w:w="15" w:type="dxa"/>
          <w:bottom w:w="15" w:type="dxa"/>
          <w:right w:w="15" w:type="dxa"/>
        </w:tblCellMar>
        <w:tblLook w:val="04A0" w:firstRow="1" w:lastRow="0" w:firstColumn="1" w:lastColumn="0" w:noHBand="0" w:noVBand="1"/>
      </w:tblPr>
      <w:tblGrid>
        <w:gridCol w:w="41"/>
        <w:gridCol w:w="3226"/>
        <w:gridCol w:w="38"/>
        <w:gridCol w:w="115"/>
        <w:gridCol w:w="1473"/>
        <w:gridCol w:w="36"/>
        <w:gridCol w:w="116"/>
        <w:gridCol w:w="1473"/>
        <w:gridCol w:w="36"/>
        <w:gridCol w:w="116"/>
        <w:gridCol w:w="1617"/>
        <w:gridCol w:w="36"/>
      </w:tblGrid>
      <w:tr w:rsidR="00066C63" w14:paraId="669C61DF" w14:textId="77777777">
        <w:tc>
          <w:tcPr>
            <w:tcW w:w="50" w:type="pct"/>
            <w:shd w:val="clear" w:color="auto" w:fill="auto"/>
          </w:tcPr>
          <w:p w14:paraId="669C61D3" w14:textId="77777777" w:rsidR="00066C63" w:rsidRDefault="00066C63">
            <w:pPr>
              <w:rPr>
                <w:rFonts w:ascii="宋体"/>
              </w:rPr>
            </w:pPr>
          </w:p>
        </w:tc>
        <w:tc>
          <w:tcPr>
            <w:tcW w:w="1962" w:type="pct"/>
            <w:shd w:val="clear" w:color="auto" w:fill="auto"/>
          </w:tcPr>
          <w:p w14:paraId="669C61D4" w14:textId="77777777" w:rsidR="00066C63" w:rsidRDefault="00066C63">
            <w:pPr>
              <w:rPr>
                <w:rFonts w:ascii="宋体"/>
              </w:rPr>
            </w:pPr>
          </w:p>
        </w:tc>
        <w:tc>
          <w:tcPr>
            <w:tcW w:w="5" w:type="pct"/>
            <w:shd w:val="clear" w:color="auto" w:fill="auto"/>
          </w:tcPr>
          <w:p w14:paraId="669C61D5" w14:textId="77777777" w:rsidR="00066C63" w:rsidRDefault="00066C63">
            <w:pPr>
              <w:rPr>
                <w:rFonts w:ascii="宋体"/>
              </w:rPr>
            </w:pPr>
          </w:p>
        </w:tc>
        <w:tc>
          <w:tcPr>
            <w:tcW w:w="50" w:type="pct"/>
            <w:shd w:val="clear" w:color="auto" w:fill="auto"/>
          </w:tcPr>
          <w:p w14:paraId="669C61D6" w14:textId="77777777" w:rsidR="00066C63" w:rsidRDefault="00066C63">
            <w:pPr>
              <w:rPr>
                <w:rFonts w:ascii="宋体"/>
              </w:rPr>
            </w:pPr>
          </w:p>
        </w:tc>
        <w:tc>
          <w:tcPr>
            <w:tcW w:w="910" w:type="pct"/>
            <w:shd w:val="clear" w:color="auto" w:fill="auto"/>
          </w:tcPr>
          <w:p w14:paraId="669C61D7" w14:textId="77777777" w:rsidR="00066C63" w:rsidRDefault="00066C63">
            <w:pPr>
              <w:rPr>
                <w:rFonts w:ascii="宋体"/>
              </w:rPr>
            </w:pPr>
          </w:p>
        </w:tc>
        <w:tc>
          <w:tcPr>
            <w:tcW w:w="5" w:type="pct"/>
            <w:shd w:val="clear" w:color="auto" w:fill="auto"/>
          </w:tcPr>
          <w:p w14:paraId="669C61D8" w14:textId="77777777" w:rsidR="00066C63" w:rsidRDefault="00066C63">
            <w:pPr>
              <w:rPr>
                <w:rFonts w:ascii="宋体"/>
              </w:rPr>
            </w:pPr>
          </w:p>
        </w:tc>
        <w:tc>
          <w:tcPr>
            <w:tcW w:w="50" w:type="pct"/>
            <w:shd w:val="clear" w:color="auto" w:fill="auto"/>
          </w:tcPr>
          <w:p w14:paraId="669C61D9" w14:textId="77777777" w:rsidR="00066C63" w:rsidRDefault="00066C63">
            <w:pPr>
              <w:rPr>
                <w:rFonts w:ascii="宋体"/>
              </w:rPr>
            </w:pPr>
          </w:p>
        </w:tc>
        <w:tc>
          <w:tcPr>
            <w:tcW w:w="910" w:type="pct"/>
            <w:shd w:val="clear" w:color="auto" w:fill="auto"/>
          </w:tcPr>
          <w:p w14:paraId="669C61DA" w14:textId="77777777" w:rsidR="00066C63" w:rsidRDefault="00066C63">
            <w:pPr>
              <w:rPr>
                <w:rFonts w:ascii="宋体"/>
              </w:rPr>
            </w:pPr>
          </w:p>
        </w:tc>
        <w:tc>
          <w:tcPr>
            <w:tcW w:w="5" w:type="pct"/>
            <w:shd w:val="clear" w:color="auto" w:fill="auto"/>
          </w:tcPr>
          <w:p w14:paraId="669C61DB" w14:textId="77777777" w:rsidR="00066C63" w:rsidRDefault="00066C63">
            <w:pPr>
              <w:rPr>
                <w:rFonts w:ascii="宋体"/>
              </w:rPr>
            </w:pPr>
          </w:p>
        </w:tc>
        <w:tc>
          <w:tcPr>
            <w:tcW w:w="50" w:type="pct"/>
            <w:shd w:val="clear" w:color="auto" w:fill="auto"/>
          </w:tcPr>
          <w:p w14:paraId="669C61DC" w14:textId="77777777" w:rsidR="00066C63" w:rsidRDefault="00066C63">
            <w:pPr>
              <w:rPr>
                <w:rFonts w:ascii="宋体"/>
              </w:rPr>
            </w:pPr>
          </w:p>
        </w:tc>
        <w:tc>
          <w:tcPr>
            <w:tcW w:w="996" w:type="pct"/>
            <w:shd w:val="clear" w:color="auto" w:fill="auto"/>
          </w:tcPr>
          <w:p w14:paraId="669C61DD" w14:textId="77777777" w:rsidR="00066C63" w:rsidRDefault="00066C63">
            <w:pPr>
              <w:rPr>
                <w:rFonts w:ascii="宋体"/>
              </w:rPr>
            </w:pPr>
          </w:p>
        </w:tc>
        <w:tc>
          <w:tcPr>
            <w:tcW w:w="5" w:type="pct"/>
            <w:shd w:val="clear" w:color="auto" w:fill="auto"/>
          </w:tcPr>
          <w:p w14:paraId="669C61DE" w14:textId="77777777" w:rsidR="00066C63" w:rsidRDefault="00066C63">
            <w:pPr>
              <w:rPr>
                <w:rFonts w:ascii="宋体"/>
              </w:rPr>
            </w:pPr>
          </w:p>
        </w:tc>
      </w:tr>
      <w:tr w:rsidR="00066C63" w14:paraId="669C61E2" w14:textId="77777777">
        <w:tc>
          <w:tcPr>
            <w:tcW w:w="0" w:type="auto"/>
            <w:gridSpan w:val="3"/>
            <w:shd w:val="clear" w:color="auto" w:fill="auto"/>
            <w:tcMar>
              <w:top w:w="0" w:type="dxa"/>
              <w:left w:w="20" w:type="dxa"/>
              <w:bottom w:w="0" w:type="dxa"/>
              <w:right w:w="20" w:type="dxa"/>
            </w:tcMar>
          </w:tcPr>
          <w:p w14:paraId="669C61E0" w14:textId="77777777" w:rsidR="00066C63" w:rsidRDefault="00066C63">
            <w:pPr>
              <w:rPr>
                <w:rFonts w:ascii="宋体"/>
              </w:rPr>
            </w:pPr>
          </w:p>
        </w:tc>
        <w:tc>
          <w:tcPr>
            <w:tcW w:w="0" w:type="auto"/>
            <w:gridSpan w:val="9"/>
            <w:shd w:val="clear" w:color="auto" w:fill="auto"/>
            <w:tcMar>
              <w:top w:w="40" w:type="dxa"/>
              <w:left w:w="20" w:type="dxa"/>
              <w:bottom w:w="40" w:type="dxa"/>
              <w:right w:w="20" w:type="dxa"/>
            </w:tcMar>
            <w:vAlign w:val="bottom"/>
          </w:tcPr>
          <w:p w14:paraId="669C61E1" w14:textId="77777777" w:rsidR="00066C63" w:rsidRDefault="009656F6">
            <w:pPr>
              <w:jc w:val="center"/>
              <w:textAlignment w:val="bottom"/>
            </w:pPr>
            <w:r>
              <w:rPr>
                <w:rFonts w:ascii="sans-serif" w:eastAsia="sans-serif" w:hAnsi="sans-serif" w:cs="sans-serif"/>
                <w:b/>
                <w:bCs/>
                <w:color w:val="000000"/>
                <w:sz w:val="17"/>
                <w:szCs w:val="17"/>
              </w:rPr>
              <w:t xml:space="preserve">MAY </w:t>
            </w:r>
            <w:r>
              <w:rPr>
                <w:rFonts w:ascii="sans-serif" w:eastAsia="sans-serif" w:hAnsi="sans-serif" w:cs="sans-serif"/>
                <w:b/>
                <w:bCs/>
                <w:color w:val="000000"/>
                <w:sz w:val="17"/>
                <w:szCs w:val="17"/>
              </w:rPr>
              <w:t>31, 2020</w:t>
            </w:r>
          </w:p>
        </w:tc>
      </w:tr>
      <w:tr w:rsidR="00066C63" w14:paraId="669C61E7" w14:textId="77777777">
        <w:tc>
          <w:tcPr>
            <w:tcW w:w="0" w:type="auto"/>
            <w:gridSpan w:val="3"/>
            <w:shd w:val="clear" w:color="auto" w:fill="auto"/>
            <w:tcMar>
              <w:top w:w="40" w:type="dxa"/>
              <w:left w:w="20" w:type="dxa"/>
              <w:bottom w:w="40" w:type="dxa"/>
              <w:right w:w="20" w:type="dxa"/>
            </w:tcMar>
            <w:vAlign w:val="bottom"/>
          </w:tcPr>
          <w:p w14:paraId="669C61E3" w14:textId="77777777" w:rsidR="00066C63" w:rsidRDefault="009656F6">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1E4" w14:textId="77777777" w:rsidR="00066C63" w:rsidRDefault="009656F6">
            <w:pPr>
              <w:jc w:val="right"/>
              <w:textAlignment w:val="bottom"/>
            </w:pPr>
            <w:r>
              <w:rPr>
                <w:rFonts w:ascii="sans-serif" w:eastAsia="sans-serif" w:hAnsi="sans-serif" w:cs="sans-serif"/>
                <w:b/>
                <w:bCs/>
                <w:color w:val="000000"/>
                <w:sz w:val="17"/>
                <w:szCs w:val="17"/>
              </w:rPr>
              <w:t>ASSETS AT FAIR VALUE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1E5" w14:textId="77777777" w:rsidR="00066C63" w:rsidRDefault="009656F6">
            <w:pPr>
              <w:jc w:val="right"/>
              <w:textAlignment w:val="bottom"/>
            </w:pPr>
            <w:r>
              <w:rPr>
                <w:rFonts w:ascii="sans-serif" w:eastAsia="sans-serif" w:hAnsi="sans-serif" w:cs="sans-serif"/>
                <w:b/>
                <w:bCs/>
                <w:color w:val="000000"/>
                <w:sz w:val="17"/>
                <w:szCs w:val="17"/>
              </w:rPr>
              <w:t>CASH AND EQUIVALENTS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1E6" w14:textId="77777777" w:rsidR="00066C63" w:rsidRDefault="009656F6">
            <w:pPr>
              <w:jc w:val="right"/>
              <w:textAlignment w:val="bottom"/>
            </w:pPr>
            <w:r>
              <w:rPr>
                <w:rFonts w:ascii="sans-serif" w:eastAsia="sans-serif" w:hAnsi="sans-serif" w:cs="sans-serif"/>
                <w:b/>
                <w:bCs/>
                <w:color w:val="000000"/>
                <w:sz w:val="17"/>
                <w:szCs w:val="17"/>
              </w:rPr>
              <w:t>SHORT-TERM INVESTMENTS</w:t>
            </w:r>
          </w:p>
        </w:tc>
      </w:tr>
      <w:tr w:rsidR="00066C63" w14:paraId="669C61F2"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1E8" w14:textId="77777777" w:rsidR="00066C63" w:rsidRDefault="009656F6">
            <w:pPr>
              <w:textAlignment w:val="bottom"/>
            </w:pPr>
            <w:r>
              <w:rPr>
                <w:rFonts w:ascii="Arial" w:eastAsia="宋体" w:hAnsi="Arial" w:cs="Arial"/>
                <w:color w:val="000000"/>
                <w:sz w:val="17"/>
                <w:szCs w:val="17"/>
              </w:rPr>
              <w:t>Cash</w:t>
            </w:r>
          </w:p>
        </w:tc>
        <w:tc>
          <w:tcPr>
            <w:tcW w:w="0" w:type="auto"/>
            <w:tcBorders>
              <w:top w:val="single" w:sz="8" w:space="0" w:color="E87722"/>
            </w:tcBorders>
            <w:shd w:val="clear" w:color="auto" w:fill="auto"/>
            <w:tcMar>
              <w:top w:w="40" w:type="dxa"/>
              <w:left w:w="20" w:type="dxa"/>
              <w:bottom w:w="40" w:type="dxa"/>
              <w:right w:w="0" w:type="dxa"/>
            </w:tcMar>
            <w:vAlign w:val="bottom"/>
          </w:tcPr>
          <w:p w14:paraId="669C61E9"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69C61EA" w14:textId="77777777" w:rsidR="00066C63" w:rsidRDefault="009656F6">
            <w:pPr>
              <w:jc w:val="right"/>
              <w:textAlignment w:val="bottom"/>
            </w:pPr>
            <w:r>
              <w:rPr>
                <w:rFonts w:ascii="Arial" w:eastAsia="宋体" w:hAnsi="Arial" w:cs="Arial"/>
                <w:color w:val="000000"/>
                <w:sz w:val="17"/>
                <w:szCs w:val="17"/>
              </w:rPr>
              <w:t>596 </w:t>
            </w:r>
          </w:p>
        </w:tc>
        <w:tc>
          <w:tcPr>
            <w:tcW w:w="0" w:type="auto"/>
            <w:tcBorders>
              <w:top w:val="single" w:sz="8" w:space="0" w:color="E87722"/>
            </w:tcBorders>
            <w:shd w:val="clear" w:color="auto" w:fill="auto"/>
            <w:tcMar>
              <w:top w:w="40" w:type="dxa"/>
              <w:left w:w="0" w:type="dxa"/>
              <w:bottom w:w="40" w:type="dxa"/>
              <w:right w:w="20" w:type="dxa"/>
            </w:tcMar>
            <w:vAlign w:val="bottom"/>
          </w:tcPr>
          <w:p w14:paraId="669C61EB" w14:textId="77777777" w:rsidR="00066C63" w:rsidRDefault="00066C63">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69C61EC"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69C61ED" w14:textId="77777777" w:rsidR="00066C63" w:rsidRDefault="009656F6">
            <w:pPr>
              <w:jc w:val="right"/>
              <w:textAlignment w:val="bottom"/>
            </w:pPr>
            <w:r>
              <w:rPr>
                <w:rFonts w:ascii="Arial" w:eastAsia="宋体" w:hAnsi="Arial" w:cs="Arial"/>
                <w:color w:val="000000"/>
                <w:sz w:val="17"/>
                <w:szCs w:val="17"/>
              </w:rPr>
              <w:t>596 </w:t>
            </w:r>
          </w:p>
        </w:tc>
        <w:tc>
          <w:tcPr>
            <w:tcW w:w="0" w:type="auto"/>
            <w:tcBorders>
              <w:top w:val="single" w:sz="8" w:space="0" w:color="E87722"/>
            </w:tcBorders>
            <w:shd w:val="clear" w:color="auto" w:fill="auto"/>
            <w:tcMar>
              <w:top w:w="40" w:type="dxa"/>
              <w:left w:w="0" w:type="dxa"/>
              <w:bottom w:w="40" w:type="dxa"/>
              <w:right w:w="20" w:type="dxa"/>
            </w:tcMar>
            <w:vAlign w:val="bottom"/>
          </w:tcPr>
          <w:p w14:paraId="669C61EE" w14:textId="77777777" w:rsidR="00066C63" w:rsidRDefault="00066C63">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69C61EF"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69C61F0" w14:textId="77777777" w:rsidR="00066C63" w:rsidRDefault="009656F6">
            <w:pPr>
              <w:jc w:val="right"/>
              <w:textAlignment w:val="bottom"/>
            </w:pP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61F1" w14:textId="77777777" w:rsidR="00066C63" w:rsidRDefault="00066C63">
            <w:pPr>
              <w:jc w:val="right"/>
              <w:rPr>
                <w:rFonts w:ascii="宋体"/>
              </w:rPr>
            </w:pPr>
          </w:p>
        </w:tc>
      </w:tr>
      <w:tr w:rsidR="00066C63" w14:paraId="669C61F7"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61F3" w14:textId="77777777" w:rsidR="00066C63" w:rsidRDefault="009656F6">
            <w:pPr>
              <w:textAlignment w:val="bottom"/>
            </w:pPr>
            <w:r>
              <w:rPr>
                <w:rFonts w:ascii="Arial" w:eastAsia="宋体" w:hAnsi="Arial" w:cs="Arial"/>
                <w:color w:val="000000"/>
                <w:sz w:val="17"/>
                <w:szCs w:val="17"/>
                <w:u w:val="single"/>
              </w:rPr>
              <w:t>Level 1:</w:t>
            </w:r>
          </w:p>
        </w:tc>
        <w:tc>
          <w:tcPr>
            <w:tcW w:w="0" w:type="auto"/>
            <w:gridSpan w:val="3"/>
            <w:tcBorders>
              <w:top w:val="single" w:sz="8" w:space="0" w:color="808080"/>
            </w:tcBorders>
            <w:shd w:val="clear" w:color="auto" w:fill="auto"/>
            <w:tcMar>
              <w:top w:w="0" w:type="dxa"/>
              <w:left w:w="20" w:type="dxa"/>
              <w:bottom w:w="0" w:type="dxa"/>
              <w:right w:w="20" w:type="dxa"/>
            </w:tcMar>
          </w:tcPr>
          <w:p w14:paraId="669C61F4" w14:textId="77777777" w:rsidR="00066C63" w:rsidRDefault="00066C63">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61F5" w14:textId="77777777" w:rsidR="00066C63" w:rsidRDefault="00066C63">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61F6" w14:textId="77777777" w:rsidR="00066C63" w:rsidRDefault="00066C63">
            <w:pPr>
              <w:rPr>
                <w:rFonts w:ascii="宋体"/>
              </w:rPr>
            </w:pPr>
          </w:p>
        </w:tc>
      </w:tr>
      <w:tr w:rsidR="00066C63" w14:paraId="669C61FF"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61F8" w14:textId="77777777" w:rsidR="00066C63" w:rsidRDefault="009656F6">
            <w:pPr>
              <w:textAlignment w:val="bottom"/>
            </w:pPr>
            <w:r>
              <w:rPr>
                <w:rFonts w:ascii="Arial" w:eastAsia="宋体" w:hAnsi="Arial" w:cs="Arial"/>
                <w:color w:val="000000"/>
                <w:sz w:val="17"/>
                <w:szCs w:val="17"/>
              </w:rPr>
              <w:t>U.S. Treasury securities</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1F9" w14:textId="77777777" w:rsidR="00066C63" w:rsidRDefault="009656F6">
            <w:pPr>
              <w:jc w:val="right"/>
              <w:textAlignment w:val="bottom"/>
            </w:pPr>
            <w:r>
              <w:rPr>
                <w:rFonts w:ascii="Arial" w:eastAsia="宋体" w:hAnsi="Arial" w:cs="Arial"/>
                <w:color w:val="000000"/>
                <w:sz w:val="17"/>
                <w:szCs w:val="17"/>
              </w:rPr>
              <w:t>1,204 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1FA"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1FB" w14:textId="77777777" w:rsidR="00066C63" w:rsidRDefault="009656F6">
            <w:pPr>
              <w:jc w:val="right"/>
              <w:textAlignment w:val="bottom"/>
            </w:pPr>
            <w:r>
              <w:rPr>
                <w:rFonts w:ascii="Arial" w:eastAsia="宋体" w:hAnsi="Arial" w:cs="Arial"/>
                <w:color w:val="000000"/>
                <w:sz w:val="17"/>
                <w:szCs w:val="17"/>
              </w:rPr>
              <w:t>800 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1FC"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1FD" w14:textId="77777777" w:rsidR="00066C63" w:rsidRDefault="009656F6">
            <w:pPr>
              <w:jc w:val="right"/>
              <w:textAlignment w:val="bottom"/>
            </w:pPr>
            <w:r>
              <w:rPr>
                <w:rFonts w:ascii="Arial" w:eastAsia="宋体" w:hAnsi="Arial" w:cs="Arial"/>
                <w:color w:val="000000"/>
                <w:sz w:val="17"/>
                <w:szCs w:val="17"/>
              </w:rPr>
              <w:t>404 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1FE" w14:textId="77777777" w:rsidR="00066C63" w:rsidRDefault="00066C63">
            <w:pPr>
              <w:jc w:val="right"/>
              <w:rPr>
                <w:rFonts w:ascii="宋体"/>
              </w:rPr>
            </w:pPr>
          </w:p>
        </w:tc>
      </w:tr>
      <w:tr w:rsidR="00066C63" w14:paraId="669C6204"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6200" w14:textId="77777777" w:rsidR="00066C63" w:rsidRDefault="009656F6">
            <w:pPr>
              <w:textAlignment w:val="bottom"/>
            </w:pPr>
            <w:r>
              <w:rPr>
                <w:rFonts w:ascii="Arial" w:eastAsia="宋体" w:hAnsi="Arial" w:cs="Arial"/>
                <w:color w:val="000000"/>
                <w:sz w:val="17"/>
                <w:szCs w:val="17"/>
                <w:u w:val="single"/>
              </w:rPr>
              <w:t>Level 2:</w:t>
            </w:r>
          </w:p>
        </w:tc>
        <w:tc>
          <w:tcPr>
            <w:tcW w:w="0" w:type="auto"/>
            <w:gridSpan w:val="3"/>
            <w:tcBorders>
              <w:top w:val="single" w:sz="8" w:space="0" w:color="808080"/>
            </w:tcBorders>
            <w:shd w:val="clear" w:color="auto" w:fill="auto"/>
            <w:tcMar>
              <w:top w:w="0" w:type="dxa"/>
              <w:left w:w="20" w:type="dxa"/>
              <w:bottom w:w="0" w:type="dxa"/>
              <w:right w:w="20" w:type="dxa"/>
            </w:tcMar>
          </w:tcPr>
          <w:p w14:paraId="669C6201" w14:textId="77777777" w:rsidR="00066C63" w:rsidRDefault="00066C63">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6202" w14:textId="77777777" w:rsidR="00066C63" w:rsidRDefault="00066C63">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6203" w14:textId="77777777" w:rsidR="00066C63" w:rsidRDefault="00066C63">
            <w:pPr>
              <w:rPr>
                <w:rFonts w:ascii="宋体"/>
              </w:rPr>
            </w:pPr>
          </w:p>
        </w:tc>
      </w:tr>
      <w:tr w:rsidR="00066C63" w14:paraId="669C620C"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6205" w14:textId="77777777" w:rsidR="00066C63" w:rsidRDefault="009656F6">
            <w:pPr>
              <w:textAlignment w:val="bottom"/>
            </w:pPr>
            <w:r>
              <w:rPr>
                <w:rFonts w:ascii="Arial" w:eastAsia="宋体" w:hAnsi="Arial" w:cs="Arial"/>
                <w:color w:val="000000"/>
                <w:sz w:val="17"/>
                <w:szCs w:val="17"/>
              </w:rPr>
              <w:t>Commercial paper and bonds</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206" w14:textId="77777777" w:rsidR="00066C63" w:rsidRDefault="009656F6">
            <w:pPr>
              <w:jc w:val="right"/>
              <w:textAlignment w:val="bottom"/>
            </w:pPr>
            <w:r>
              <w:rPr>
                <w:rFonts w:ascii="Arial" w:eastAsia="宋体" w:hAnsi="Arial" w:cs="Arial"/>
                <w:color w:val="000000"/>
                <w:sz w:val="17"/>
                <w:szCs w:val="17"/>
              </w:rPr>
              <w:t>32 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207"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208" w14:textId="77777777" w:rsidR="00066C63" w:rsidRDefault="009656F6">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209"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20A" w14:textId="77777777" w:rsidR="00066C63" w:rsidRDefault="009656F6">
            <w:pPr>
              <w:jc w:val="right"/>
              <w:textAlignment w:val="bottom"/>
            </w:pPr>
            <w:r>
              <w:rPr>
                <w:rFonts w:ascii="Arial" w:eastAsia="宋体" w:hAnsi="Arial" w:cs="Arial"/>
                <w:color w:val="000000"/>
                <w:sz w:val="17"/>
                <w:szCs w:val="17"/>
              </w:rPr>
              <w:t>32 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20B" w14:textId="77777777" w:rsidR="00066C63" w:rsidRDefault="00066C63">
            <w:pPr>
              <w:jc w:val="right"/>
              <w:rPr>
                <w:rFonts w:ascii="宋体"/>
              </w:rPr>
            </w:pPr>
          </w:p>
        </w:tc>
      </w:tr>
      <w:tr w:rsidR="00066C63" w14:paraId="669C6214"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620D" w14:textId="77777777" w:rsidR="00066C63" w:rsidRDefault="009656F6">
            <w:pPr>
              <w:textAlignment w:val="bottom"/>
            </w:pPr>
            <w:r>
              <w:rPr>
                <w:rFonts w:ascii="Arial" w:eastAsia="宋体" w:hAnsi="Arial" w:cs="Arial"/>
                <w:color w:val="000000"/>
                <w:sz w:val="17"/>
                <w:szCs w:val="17"/>
              </w:rPr>
              <w:t xml:space="preserve">Money </w:t>
            </w:r>
            <w:r>
              <w:rPr>
                <w:rFonts w:ascii="Arial" w:eastAsia="宋体" w:hAnsi="Arial" w:cs="Arial"/>
                <w:color w:val="000000"/>
                <w:sz w:val="17"/>
                <w:szCs w:val="17"/>
              </w:rPr>
              <w:t>market funds</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20E" w14:textId="77777777" w:rsidR="00066C63" w:rsidRDefault="009656F6">
            <w:pPr>
              <w:jc w:val="right"/>
              <w:textAlignment w:val="bottom"/>
            </w:pPr>
            <w:r>
              <w:rPr>
                <w:rFonts w:ascii="Arial" w:eastAsia="宋体" w:hAnsi="Arial" w:cs="Arial"/>
                <w:color w:val="000000"/>
                <w:sz w:val="17"/>
                <w:szCs w:val="17"/>
              </w:rPr>
              <w:t>5,973 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20F"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210" w14:textId="77777777" w:rsidR="00066C63" w:rsidRDefault="009656F6">
            <w:pPr>
              <w:jc w:val="right"/>
              <w:textAlignment w:val="bottom"/>
            </w:pPr>
            <w:r>
              <w:rPr>
                <w:rFonts w:ascii="Arial" w:eastAsia="宋体" w:hAnsi="Arial" w:cs="Arial"/>
                <w:color w:val="000000"/>
                <w:sz w:val="17"/>
                <w:szCs w:val="17"/>
              </w:rPr>
              <w:t>5,973 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211"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212" w14:textId="77777777" w:rsidR="00066C63" w:rsidRDefault="009656F6">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213" w14:textId="77777777" w:rsidR="00066C63" w:rsidRDefault="00066C63">
            <w:pPr>
              <w:jc w:val="right"/>
              <w:rPr>
                <w:rFonts w:ascii="宋体"/>
              </w:rPr>
            </w:pPr>
          </w:p>
        </w:tc>
      </w:tr>
      <w:tr w:rsidR="00066C63" w14:paraId="669C621C"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6215" w14:textId="77777777" w:rsidR="00066C63" w:rsidRDefault="009656F6">
            <w:pPr>
              <w:textAlignment w:val="bottom"/>
            </w:pPr>
            <w:r>
              <w:rPr>
                <w:rFonts w:ascii="Arial" w:eastAsia="宋体" w:hAnsi="Arial" w:cs="Arial"/>
                <w:color w:val="000000"/>
                <w:sz w:val="17"/>
                <w:szCs w:val="17"/>
              </w:rPr>
              <w:t>Time deposits</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216" w14:textId="77777777" w:rsidR="00066C63" w:rsidRDefault="009656F6">
            <w:pPr>
              <w:jc w:val="right"/>
              <w:textAlignment w:val="bottom"/>
            </w:pPr>
            <w:r>
              <w:rPr>
                <w:rFonts w:ascii="Arial" w:eastAsia="宋体" w:hAnsi="Arial" w:cs="Arial"/>
                <w:color w:val="000000"/>
                <w:sz w:val="17"/>
                <w:szCs w:val="17"/>
              </w:rPr>
              <w:t>981 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217"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218" w14:textId="77777777" w:rsidR="00066C63" w:rsidRDefault="009656F6">
            <w:pPr>
              <w:jc w:val="right"/>
              <w:textAlignment w:val="bottom"/>
            </w:pPr>
            <w:r>
              <w:rPr>
                <w:rFonts w:ascii="Arial" w:eastAsia="宋体" w:hAnsi="Arial" w:cs="Arial"/>
                <w:color w:val="000000"/>
                <w:sz w:val="17"/>
                <w:szCs w:val="17"/>
              </w:rPr>
              <w:t>979 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219"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21A" w14:textId="77777777" w:rsidR="00066C63" w:rsidRDefault="009656F6">
            <w:pPr>
              <w:jc w:val="right"/>
              <w:textAlignment w:val="bottom"/>
            </w:pPr>
            <w:r>
              <w:rPr>
                <w:rFonts w:ascii="Arial" w:eastAsia="宋体" w:hAnsi="Arial" w:cs="Arial"/>
                <w:color w:val="000000"/>
                <w:sz w:val="17"/>
                <w:szCs w:val="17"/>
              </w:rPr>
              <w:t>2 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21B" w14:textId="77777777" w:rsidR="00066C63" w:rsidRDefault="00066C63">
            <w:pPr>
              <w:jc w:val="right"/>
              <w:rPr>
                <w:rFonts w:ascii="宋体"/>
              </w:rPr>
            </w:pPr>
          </w:p>
        </w:tc>
      </w:tr>
      <w:tr w:rsidR="00066C63" w14:paraId="669C6224"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621D" w14:textId="77777777" w:rsidR="00066C63" w:rsidRDefault="009656F6">
            <w:pPr>
              <w:textAlignment w:val="bottom"/>
            </w:pPr>
            <w:r>
              <w:rPr>
                <w:rFonts w:ascii="Arial" w:eastAsia="宋体" w:hAnsi="Arial" w:cs="Arial"/>
                <w:color w:val="000000"/>
                <w:sz w:val="17"/>
                <w:szCs w:val="17"/>
              </w:rPr>
              <w:t>U.S. Agency securities</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21E" w14:textId="77777777" w:rsidR="00066C63" w:rsidRDefault="009656F6">
            <w:pPr>
              <w:jc w:val="right"/>
              <w:textAlignment w:val="bottom"/>
            </w:pPr>
            <w:r>
              <w:rPr>
                <w:rFonts w:ascii="Arial" w:eastAsia="宋体" w:hAnsi="Arial" w:cs="Arial"/>
                <w:color w:val="000000"/>
                <w:sz w:val="17"/>
                <w:szCs w:val="17"/>
              </w:rPr>
              <w:t>1 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21F"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220" w14:textId="77777777" w:rsidR="00066C63" w:rsidRDefault="009656F6">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221"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222" w14:textId="77777777" w:rsidR="00066C63" w:rsidRDefault="009656F6">
            <w:pPr>
              <w:jc w:val="right"/>
              <w:textAlignment w:val="bottom"/>
            </w:pPr>
            <w:r>
              <w:rPr>
                <w:rFonts w:ascii="Arial" w:eastAsia="宋体" w:hAnsi="Arial" w:cs="Arial"/>
                <w:color w:val="000000"/>
                <w:sz w:val="17"/>
                <w:szCs w:val="17"/>
              </w:rPr>
              <w:t>1 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223" w14:textId="77777777" w:rsidR="00066C63" w:rsidRDefault="00066C63">
            <w:pPr>
              <w:jc w:val="right"/>
              <w:rPr>
                <w:rFonts w:ascii="宋体"/>
              </w:rPr>
            </w:pPr>
          </w:p>
        </w:tc>
      </w:tr>
      <w:tr w:rsidR="00066C63" w14:paraId="669C622C"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225" w14:textId="77777777" w:rsidR="00066C63" w:rsidRDefault="009656F6">
            <w:pPr>
              <w:textAlignment w:val="bottom"/>
            </w:pPr>
            <w:r>
              <w:rPr>
                <w:rFonts w:ascii="Arial" w:eastAsia="宋体" w:hAnsi="Arial" w:cs="Arial"/>
                <w:color w:val="000000"/>
                <w:sz w:val="17"/>
                <w:szCs w:val="17"/>
              </w:rPr>
              <w:t>Total Level 2</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6226" w14:textId="77777777" w:rsidR="00066C63" w:rsidRDefault="009656F6">
            <w:pPr>
              <w:jc w:val="right"/>
              <w:textAlignment w:val="bottom"/>
            </w:pPr>
            <w:r>
              <w:rPr>
                <w:rFonts w:ascii="Arial" w:eastAsia="宋体" w:hAnsi="Arial" w:cs="Arial"/>
                <w:color w:val="000000"/>
                <w:sz w:val="17"/>
                <w:szCs w:val="17"/>
              </w:rPr>
              <w:t>6,987 </w:t>
            </w:r>
          </w:p>
        </w:tc>
        <w:tc>
          <w:tcPr>
            <w:tcW w:w="0" w:type="auto"/>
            <w:tcBorders>
              <w:top w:val="single" w:sz="8" w:space="0" w:color="E87722"/>
            </w:tcBorders>
            <w:shd w:val="clear" w:color="auto" w:fill="auto"/>
            <w:tcMar>
              <w:top w:w="40" w:type="dxa"/>
              <w:left w:w="0" w:type="dxa"/>
              <w:bottom w:w="40" w:type="dxa"/>
              <w:right w:w="20" w:type="dxa"/>
            </w:tcMar>
            <w:vAlign w:val="bottom"/>
          </w:tcPr>
          <w:p w14:paraId="669C6227" w14:textId="77777777" w:rsidR="00066C63" w:rsidRDefault="00066C63">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6228" w14:textId="77777777" w:rsidR="00066C63" w:rsidRDefault="009656F6">
            <w:pPr>
              <w:jc w:val="right"/>
              <w:textAlignment w:val="bottom"/>
            </w:pPr>
            <w:r>
              <w:rPr>
                <w:rFonts w:ascii="Arial" w:eastAsia="宋体" w:hAnsi="Arial" w:cs="Arial"/>
                <w:color w:val="000000"/>
                <w:sz w:val="17"/>
                <w:szCs w:val="17"/>
              </w:rPr>
              <w:t>6,952 </w:t>
            </w:r>
          </w:p>
        </w:tc>
        <w:tc>
          <w:tcPr>
            <w:tcW w:w="0" w:type="auto"/>
            <w:tcBorders>
              <w:top w:val="single" w:sz="8" w:space="0" w:color="E87722"/>
            </w:tcBorders>
            <w:shd w:val="clear" w:color="auto" w:fill="auto"/>
            <w:tcMar>
              <w:top w:w="40" w:type="dxa"/>
              <w:left w:w="0" w:type="dxa"/>
              <w:bottom w:w="40" w:type="dxa"/>
              <w:right w:w="20" w:type="dxa"/>
            </w:tcMar>
            <w:vAlign w:val="bottom"/>
          </w:tcPr>
          <w:p w14:paraId="669C6229" w14:textId="77777777" w:rsidR="00066C63" w:rsidRDefault="00066C63">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622A" w14:textId="77777777" w:rsidR="00066C63" w:rsidRDefault="009656F6">
            <w:pPr>
              <w:jc w:val="right"/>
              <w:textAlignment w:val="bottom"/>
            </w:pPr>
            <w:r>
              <w:rPr>
                <w:rFonts w:ascii="Arial" w:eastAsia="宋体" w:hAnsi="Arial" w:cs="Arial"/>
                <w:color w:val="000000"/>
                <w:sz w:val="17"/>
                <w:szCs w:val="17"/>
              </w:rPr>
              <w:t>35 </w:t>
            </w:r>
          </w:p>
        </w:tc>
        <w:tc>
          <w:tcPr>
            <w:tcW w:w="0" w:type="auto"/>
            <w:tcBorders>
              <w:top w:val="single" w:sz="8" w:space="0" w:color="E87722"/>
            </w:tcBorders>
            <w:shd w:val="clear" w:color="auto" w:fill="auto"/>
            <w:tcMar>
              <w:top w:w="40" w:type="dxa"/>
              <w:left w:w="0" w:type="dxa"/>
              <w:bottom w:w="40" w:type="dxa"/>
              <w:right w:w="20" w:type="dxa"/>
            </w:tcMar>
            <w:vAlign w:val="bottom"/>
          </w:tcPr>
          <w:p w14:paraId="669C622B" w14:textId="77777777" w:rsidR="00066C63" w:rsidRDefault="00066C63">
            <w:pPr>
              <w:jc w:val="right"/>
              <w:rPr>
                <w:rFonts w:ascii="宋体"/>
              </w:rPr>
            </w:pPr>
          </w:p>
        </w:tc>
      </w:tr>
      <w:tr w:rsidR="00066C63" w14:paraId="669C6237"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669C622D" w14:textId="77777777" w:rsidR="00066C63" w:rsidRDefault="009656F6">
            <w:pPr>
              <w:textAlignment w:val="bottom"/>
            </w:pPr>
            <w:r>
              <w:rPr>
                <w:rFonts w:ascii="Arial" w:eastAsia="宋体" w:hAnsi="Arial" w:cs="Arial"/>
                <w:b/>
                <w:bCs/>
                <w:color w:val="000000"/>
                <w:sz w:val="17"/>
                <w:szCs w:val="17"/>
              </w:rPr>
              <w:t>TOTAL</w:t>
            </w: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69C622E"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69C622F" w14:textId="77777777" w:rsidR="00066C63" w:rsidRDefault="009656F6">
            <w:pPr>
              <w:jc w:val="right"/>
              <w:textAlignment w:val="bottom"/>
            </w:pPr>
            <w:r>
              <w:rPr>
                <w:rFonts w:ascii="Arial" w:eastAsia="宋体" w:hAnsi="Arial" w:cs="Arial"/>
                <w:b/>
                <w:bCs/>
                <w:color w:val="000000"/>
                <w:sz w:val="17"/>
                <w:szCs w:val="17"/>
              </w:rPr>
              <w:t>8,787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69C6230" w14:textId="77777777" w:rsidR="00066C63" w:rsidRDefault="00066C63">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69C6231"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69C6232" w14:textId="77777777" w:rsidR="00066C63" w:rsidRDefault="009656F6">
            <w:pPr>
              <w:jc w:val="right"/>
              <w:textAlignment w:val="bottom"/>
            </w:pPr>
            <w:r>
              <w:rPr>
                <w:rFonts w:ascii="Arial" w:eastAsia="宋体" w:hAnsi="Arial" w:cs="Arial"/>
                <w:b/>
                <w:bCs/>
                <w:color w:val="000000"/>
                <w:sz w:val="17"/>
                <w:szCs w:val="17"/>
              </w:rPr>
              <w:t>8,348</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69C6233" w14:textId="77777777" w:rsidR="00066C63" w:rsidRDefault="00066C63">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69C6234"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69C6235" w14:textId="77777777" w:rsidR="00066C63" w:rsidRDefault="009656F6">
            <w:pPr>
              <w:jc w:val="right"/>
              <w:textAlignment w:val="bottom"/>
            </w:pPr>
            <w:r>
              <w:rPr>
                <w:rFonts w:ascii="Arial" w:eastAsia="宋体" w:hAnsi="Arial" w:cs="Arial"/>
                <w:b/>
                <w:bCs/>
                <w:color w:val="000000"/>
                <w:sz w:val="17"/>
                <w:szCs w:val="17"/>
              </w:rPr>
              <w:t>439</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69C6236" w14:textId="77777777" w:rsidR="00066C63" w:rsidRDefault="00066C63">
            <w:pPr>
              <w:jc w:val="right"/>
              <w:rPr>
                <w:rFonts w:ascii="宋体"/>
              </w:rPr>
            </w:pPr>
          </w:p>
        </w:tc>
      </w:tr>
    </w:tbl>
    <w:p w14:paraId="669C6238" w14:textId="77777777" w:rsidR="00066C63" w:rsidRDefault="009656F6">
      <w:pPr>
        <w:spacing w:before="120" w:after="120"/>
      </w:pPr>
      <w:r>
        <w:rPr>
          <w:rFonts w:ascii="Arial" w:eastAsia="宋体" w:hAnsi="Arial" w:cs="Arial"/>
          <w:color w:val="000000"/>
          <w:sz w:val="17"/>
          <w:szCs w:val="17"/>
        </w:rPr>
        <w:t xml:space="preserve">As of February 28, 2021, the Company held $3,443 million of </w:t>
      </w:r>
      <w:r>
        <w:rPr>
          <w:rFonts w:ascii="Arial" w:eastAsia="宋体" w:hAnsi="Arial" w:cs="Arial"/>
          <w:color w:val="000000"/>
          <w:sz w:val="17"/>
          <w:szCs w:val="17"/>
        </w:rPr>
        <w:t>available-for-sale debt securities with maturity dates within one year and $569 million with maturity dates over one year and less than five years in Short-term investments on the Unaudited Condensed Consolidated Balance Sheets. The fair value of the Compa</w:t>
      </w:r>
      <w:r>
        <w:rPr>
          <w:rFonts w:ascii="Arial" w:eastAsia="宋体" w:hAnsi="Arial" w:cs="Arial"/>
          <w:color w:val="000000"/>
          <w:sz w:val="17"/>
          <w:szCs w:val="17"/>
        </w:rPr>
        <w:t>ny's available-for-sale debt securities approximates their amortized cost.</w:t>
      </w:r>
    </w:p>
    <w:p w14:paraId="669C6239" w14:textId="77777777" w:rsidR="00066C63" w:rsidRDefault="009656F6">
      <w:pPr>
        <w:spacing w:before="120" w:after="120"/>
      </w:pPr>
      <w:r>
        <w:rPr>
          <w:rFonts w:ascii="Arial" w:eastAsia="宋体" w:hAnsi="Arial" w:cs="Arial"/>
          <w:color w:val="000000"/>
          <w:sz w:val="17"/>
          <w:szCs w:val="17"/>
        </w:rPr>
        <w:t>Included in</w:t>
      </w:r>
      <w:r>
        <w:rPr>
          <w:rFonts w:ascii="Arial" w:eastAsia="宋体" w:hAnsi="Arial" w:cs="Arial"/>
          <w:i/>
          <w:iCs/>
          <w:color w:val="000000"/>
          <w:sz w:val="17"/>
          <w:szCs w:val="17"/>
        </w:rPr>
        <w:t xml:space="preserve"> </w:t>
      </w:r>
      <w:r>
        <w:rPr>
          <w:rFonts w:ascii="Arial" w:eastAsia="宋体" w:hAnsi="Arial" w:cs="Arial"/>
          <w:color w:val="000000"/>
          <w:sz w:val="17"/>
          <w:szCs w:val="17"/>
        </w:rPr>
        <w:t>Interest expense (income), net was interest income related to the Company's investment portfolio of $8 million and $16 million for the three months ended February 28, 20</w:t>
      </w:r>
      <w:r>
        <w:rPr>
          <w:rFonts w:ascii="Arial" w:eastAsia="宋体" w:hAnsi="Arial" w:cs="Arial"/>
          <w:color w:val="000000"/>
          <w:sz w:val="17"/>
          <w:szCs w:val="17"/>
        </w:rPr>
        <w:t>21 and February 29, 2020, respectively, and $21 million and $51 million for the nine months ended February 28, 2021 and February 29, 2020, respectively.</w:t>
      </w:r>
    </w:p>
    <w:p w14:paraId="669C623A" w14:textId="77777777" w:rsidR="00066C63" w:rsidRDefault="009656F6">
      <w:pPr>
        <w:spacing w:before="120" w:after="120"/>
      </w:pPr>
      <w:r>
        <w:rPr>
          <w:rFonts w:ascii="Arial" w:eastAsia="宋体" w:hAnsi="Arial" w:cs="Arial"/>
          <w:color w:val="000000"/>
          <w:sz w:val="17"/>
          <w:szCs w:val="17"/>
        </w:rPr>
        <w:t>The following tables present information about the Company's derivative assets and liabilities measured</w:t>
      </w:r>
      <w:r>
        <w:rPr>
          <w:rFonts w:ascii="Arial" w:eastAsia="宋体" w:hAnsi="Arial" w:cs="Arial"/>
          <w:color w:val="000000"/>
          <w:sz w:val="17"/>
          <w:szCs w:val="17"/>
        </w:rPr>
        <w:t xml:space="preserve"> at fair value on a recurring basis and indicate the level in the fair value hierarchy in which the Company classifies the fair value measurement:</w:t>
      </w:r>
    </w:p>
    <w:tbl>
      <w:tblPr>
        <w:tblW w:w="4992" w:type="pct"/>
        <w:tblCellMar>
          <w:top w:w="15" w:type="dxa"/>
          <w:left w:w="15" w:type="dxa"/>
          <w:bottom w:w="15" w:type="dxa"/>
          <w:right w:w="15" w:type="dxa"/>
        </w:tblCellMar>
        <w:tblLook w:val="04A0" w:firstRow="1" w:lastRow="0" w:firstColumn="1" w:lastColumn="0" w:noHBand="0" w:noVBand="1"/>
      </w:tblPr>
      <w:tblGrid>
        <w:gridCol w:w="39"/>
        <w:gridCol w:w="3059"/>
        <w:gridCol w:w="38"/>
        <w:gridCol w:w="116"/>
        <w:gridCol w:w="487"/>
        <w:gridCol w:w="36"/>
        <w:gridCol w:w="116"/>
        <w:gridCol w:w="628"/>
        <w:gridCol w:w="36"/>
        <w:gridCol w:w="116"/>
        <w:gridCol w:w="811"/>
        <w:gridCol w:w="36"/>
        <w:gridCol w:w="36"/>
        <w:gridCol w:w="36"/>
        <w:gridCol w:w="36"/>
        <w:gridCol w:w="116"/>
        <w:gridCol w:w="715"/>
        <w:gridCol w:w="36"/>
        <w:gridCol w:w="116"/>
        <w:gridCol w:w="715"/>
        <w:gridCol w:w="36"/>
        <w:gridCol w:w="116"/>
        <w:gridCol w:w="811"/>
        <w:gridCol w:w="36"/>
      </w:tblGrid>
      <w:tr w:rsidR="00066C63" w14:paraId="669C6253" w14:textId="77777777">
        <w:tc>
          <w:tcPr>
            <w:tcW w:w="50" w:type="pct"/>
            <w:shd w:val="clear" w:color="auto" w:fill="auto"/>
          </w:tcPr>
          <w:p w14:paraId="669C623B" w14:textId="77777777" w:rsidR="00066C63" w:rsidRDefault="00066C63">
            <w:pPr>
              <w:rPr>
                <w:rFonts w:ascii="宋体"/>
              </w:rPr>
            </w:pPr>
          </w:p>
        </w:tc>
        <w:tc>
          <w:tcPr>
            <w:tcW w:w="2047" w:type="pct"/>
            <w:shd w:val="clear" w:color="auto" w:fill="auto"/>
          </w:tcPr>
          <w:p w14:paraId="669C623C" w14:textId="77777777" w:rsidR="00066C63" w:rsidRDefault="00066C63">
            <w:pPr>
              <w:rPr>
                <w:rFonts w:ascii="宋体"/>
              </w:rPr>
            </w:pPr>
          </w:p>
        </w:tc>
        <w:tc>
          <w:tcPr>
            <w:tcW w:w="5" w:type="pct"/>
            <w:shd w:val="clear" w:color="auto" w:fill="auto"/>
          </w:tcPr>
          <w:p w14:paraId="669C623D" w14:textId="77777777" w:rsidR="00066C63" w:rsidRDefault="00066C63">
            <w:pPr>
              <w:rPr>
                <w:rFonts w:ascii="宋体"/>
              </w:rPr>
            </w:pPr>
          </w:p>
        </w:tc>
        <w:tc>
          <w:tcPr>
            <w:tcW w:w="50" w:type="pct"/>
            <w:shd w:val="clear" w:color="auto" w:fill="auto"/>
          </w:tcPr>
          <w:p w14:paraId="669C623E" w14:textId="77777777" w:rsidR="00066C63" w:rsidRDefault="00066C63">
            <w:pPr>
              <w:rPr>
                <w:rFonts w:ascii="宋体"/>
              </w:rPr>
            </w:pPr>
          </w:p>
        </w:tc>
        <w:tc>
          <w:tcPr>
            <w:tcW w:w="408" w:type="pct"/>
            <w:shd w:val="clear" w:color="auto" w:fill="auto"/>
          </w:tcPr>
          <w:p w14:paraId="669C623F" w14:textId="77777777" w:rsidR="00066C63" w:rsidRDefault="00066C63">
            <w:pPr>
              <w:rPr>
                <w:rFonts w:ascii="宋体"/>
              </w:rPr>
            </w:pPr>
          </w:p>
        </w:tc>
        <w:tc>
          <w:tcPr>
            <w:tcW w:w="5" w:type="pct"/>
            <w:shd w:val="clear" w:color="auto" w:fill="auto"/>
          </w:tcPr>
          <w:p w14:paraId="669C6240" w14:textId="77777777" w:rsidR="00066C63" w:rsidRDefault="00066C63">
            <w:pPr>
              <w:rPr>
                <w:rFonts w:ascii="宋体"/>
              </w:rPr>
            </w:pPr>
          </w:p>
        </w:tc>
        <w:tc>
          <w:tcPr>
            <w:tcW w:w="50" w:type="pct"/>
            <w:shd w:val="clear" w:color="auto" w:fill="auto"/>
          </w:tcPr>
          <w:p w14:paraId="669C6241" w14:textId="77777777" w:rsidR="00066C63" w:rsidRDefault="00066C63">
            <w:pPr>
              <w:rPr>
                <w:rFonts w:ascii="宋体"/>
              </w:rPr>
            </w:pPr>
          </w:p>
        </w:tc>
        <w:tc>
          <w:tcPr>
            <w:tcW w:w="408" w:type="pct"/>
            <w:shd w:val="clear" w:color="auto" w:fill="auto"/>
          </w:tcPr>
          <w:p w14:paraId="669C6242" w14:textId="77777777" w:rsidR="00066C63" w:rsidRDefault="00066C63">
            <w:pPr>
              <w:rPr>
                <w:rFonts w:ascii="宋体"/>
              </w:rPr>
            </w:pPr>
          </w:p>
        </w:tc>
        <w:tc>
          <w:tcPr>
            <w:tcW w:w="5" w:type="pct"/>
            <w:shd w:val="clear" w:color="auto" w:fill="auto"/>
          </w:tcPr>
          <w:p w14:paraId="669C6243" w14:textId="77777777" w:rsidR="00066C63" w:rsidRDefault="00066C63">
            <w:pPr>
              <w:rPr>
                <w:rFonts w:ascii="宋体"/>
              </w:rPr>
            </w:pPr>
          </w:p>
        </w:tc>
        <w:tc>
          <w:tcPr>
            <w:tcW w:w="50" w:type="pct"/>
            <w:shd w:val="clear" w:color="auto" w:fill="auto"/>
          </w:tcPr>
          <w:p w14:paraId="669C6244" w14:textId="77777777" w:rsidR="00066C63" w:rsidRDefault="00066C63">
            <w:pPr>
              <w:rPr>
                <w:rFonts w:ascii="宋体"/>
              </w:rPr>
            </w:pPr>
          </w:p>
        </w:tc>
        <w:tc>
          <w:tcPr>
            <w:tcW w:w="447" w:type="pct"/>
            <w:shd w:val="clear" w:color="auto" w:fill="auto"/>
          </w:tcPr>
          <w:p w14:paraId="669C6245" w14:textId="77777777" w:rsidR="00066C63" w:rsidRDefault="00066C63">
            <w:pPr>
              <w:rPr>
                <w:rFonts w:ascii="宋体"/>
              </w:rPr>
            </w:pPr>
          </w:p>
        </w:tc>
        <w:tc>
          <w:tcPr>
            <w:tcW w:w="5" w:type="pct"/>
            <w:shd w:val="clear" w:color="auto" w:fill="auto"/>
          </w:tcPr>
          <w:p w14:paraId="669C6246" w14:textId="77777777" w:rsidR="00066C63" w:rsidRDefault="00066C63">
            <w:pPr>
              <w:rPr>
                <w:rFonts w:ascii="宋体"/>
              </w:rPr>
            </w:pPr>
          </w:p>
        </w:tc>
        <w:tc>
          <w:tcPr>
            <w:tcW w:w="5" w:type="pct"/>
            <w:shd w:val="clear" w:color="auto" w:fill="auto"/>
          </w:tcPr>
          <w:p w14:paraId="669C6247" w14:textId="77777777" w:rsidR="00066C63" w:rsidRDefault="00066C63">
            <w:pPr>
              <w:rPr>
                <w:rFonts w:ascii="宋体"/>
              </w:rPr>
            </w:pPr>
          </w:p>
        </w:tc>
        <w:tc>
          <w:tcPr>
            <w:tcW w:w="28" w:type="pct"/>
            <w:shd w:val="clear" w:color="auto" w:fill="auto"/>
          </w:tcPr>
          <w:p w14:paraId="669C6248" w14:textId="77777777" w:rsidR="00066C63" w:rsidRDefault="00066C63">
            <w:pPr>
              <w:rPr>
                <w:rFonts w:ascii="宋体"/>
              </w:rPr>
            </w:pPr>
          </w:p>
        </w:tc>
        <w:tc>
          <w:tcPr>
            <w:tcW w:w="5" w:type="pct"/>
            <w:shd w:val="clear" w:color="auto" w:fill="auto"/>
          </w:tcPr>
          <w:p w14:paraId="669C6249" w14:textId="77777777" w:rsidR="00066C63" w:rsidRDefault="00066C63">
            <w:pPr>
              <w:rPr>
                <w:rFonts w:ascii="宋体"/>
              </w:rPr>
            </w:pPr>
          </w:p>
        </w:tc>
        <w:tc>
          <w:tcPr>
            <w:tcW w:w="50" w:type="pct"/>
            <w:shd w:val="clear" w:color="auto" w:fill="auto"/>
          </w:tcPr>
          <w:p w14:paraId="669C624A" w14:textId="77777777" w:rsidR="00066C63" w:rsidRDefault="00066C63">
            <w:pPr>
              <w:rPr>
                <w:rFonts w:ascii="宋体"/>
              </w:rPr>
            </w:pPr>
          </w:p>
        </w:tc>
        <w:tc>
          <w:tcPr>
            <w:tcW w:w="408" w:type="pct"/>
            <w:shd w:val="clear" w:color="auto" w:fill="auto"/>
          </w:tcPr>
          <w:p w14:paraId="669C624B" w14:textId="77777777" w:rsidR="00066C63" w:rsidRDefault="00066C63">
            <w:pPr>
              <w:rPr>
                <w:rFonts w:ascii="宋体"/>
              </w:rPr>
            </w:pPr>
          </w:p>
        </w:tc>
        <w:tc>
          <w:tcPr>
            <w:tcW w:w="5" w:type="pct"/>
            <w:shd w:val="clear" w:color="auto" w:fill="auto"/>
          </w:tcPr>
          <w:p w14:paraId="669C624C" w14:textId="77777777" w:rsidR="00066C63" w:rsidRDefault="00066C63">
            <w:pPr>
              <w:rPr>
                <w:rFonts w:ascii="宋体"/>
              </w:rPr>
            </w:pPr>
          </w:p>
        </w:tc>
        <w:tc>
          <w:tcPr>
            <w:tcW w:w="50" w:type="pct"/>
            <w:shd w:val="clear" w:color="auto" w:fill="auto"/>
          </w:tcPr>
          <w:p w14:paraId="669C624D" w14:textId="77777777" w:rsidR="00066C63" w:rsidRDefault="00066C63">
            <w:pPr>
              <w:rPr>
                <w:rFonts w:ascii="宋体"/>
              </w:rPr>
            </w:pPr>
          </w:p>
        </w:tc>
        <w:tc>
          <w:tcPr>
            <w:tcW w:w="408" w:type="pct"/>
            <w:shd w:val="clear" w:color="auto" w:fill="auto"/>
          </w:tcPr>
          <w:p w14:paraId="669C624E" w14:textId="77777777" w:rsidR="00066C63" w:rsidRDefault="00066C63">
            <w:pPr>
              <w:rPr>
                <w:rFonts w:ascii="宋体"/>
              </w:rPr>
            </w:pPr>
          </w:p>
        </w:tc>
        <w:tc>
          <w:tcPr>
            <w:tcW w:w="5" w:type="pct"/>
            <w:shd w:val="clear" w:color="auto" w:fill="auto"/>
          </w:tcPr>
          <w:p w14:paraId="669C624F" w14:textId="77777777" w:rsidR="00066C63" w:rsidRDefault="00066C63">
            <w:pPr>
              <w:rPr>
                <w:rFonts w:ascii="宋体"/>
              </w:rPr>
            </w:pPr>
          </w:p>
        </w:tc>
        <w:tc>
          <w:tcPr>
            <w:tcW w:w="50" w:type="pct"/>
            <w:shd w:val="clear" w:color="auto" w:fill="auto"/>
          </w:tcPr>
          <w:p w14:paraId="669C6250" w14:textId="77777777" w:rsidR="00066C63" w:rsidRDefault="00066C63">
            <w:pPr>
              <w:rPr>
                <w:rFonts w:ascii="宋体"/>
              </w:rPr>
            </w:pPr>
          </w:p>
        </w:tc>
        <w:tc>
          <w:tcPr>
            <w:tcW w:w="447" w:type="pct"/>
            <w:shd w:val="clear" w:color="auto" w:fill="auto"/>
          </w:tcPr>
          <w:p w14:paraId="669C6251" w14:textId="77777777" w:rsidR="00066C63" w:rsidRDefault="00066C63">
            <w:pPr>
              <w:rPr>
                <w:rFonts w:ascii="宋体"/>
              </w:rPr>
            </w:pPr>
          </w:p>
        </w:tc>
        <w:tc>
          <w:tcPr>
            <w:tcW w:w="5" w:type="pct"/>
            <w:shd w:val="clear" w:color="auto" w:fill="auto"/>
          </w:tcPr>
          <w:p w14:paraId="669C6252" w14:textId="77777777" w:rsidR="00066C63" w:rsidRDefault="00066C63">
            <w:pPr>
              <w:rPr>
                <w:rFonts w:ascii="宋体"/>
              </w:rPr>
            </w:pPr>
          </w:p>
        </w:tc>
      </w:tr>
      <w:tr w:rsidR="00066C63" w14:paraId="669C6256" w14:textId="77777777">
        <w:tc>
          <w:tcPr>
            <w:tcW w:w="0" w:type="auto"/>
            <w:gridSpan w:val="3"/>
            <w:shd w:val="clear" w:color="auto" w:fill="auto"/>
            <w:tcMar>
              <w:top w:w="0" w:type="dxa"/>
              <w:left w:w="20" w:type="dxa"/>
              <w:bottom w:w="0" w:type="dxa"/>
              <w:right w:w="20" w:type="dxa"/>
            </w:tcMar>
          </w:tcPr>
          <w:p w14:paraId="669C6254" w14:textId="77777777" w:rsidR="00066C63" w:rsidRDefault="00066C63">
            <w:pPr>
              <w:rPr>
                <w:rFonts w:ascii="宋体"/>
              </w:rPr>
            </w:pPr>
          </w:p>
        </w:tc>
        <w:tc>
          <w:tcPr>
            <w:tcW w:w="0" w:type="auto"/>
            <w:gridSpan w:val="21"/>
            <w:tcBorders>
              <w:bottom w:val="single" w:sz="8" w:space="0" w:color="E87722"/>
            </w:tcBorders>
            <w:shd w:val="clear" w:color="auto" w:fill="auto"/>
            <w:tcMar>
              <w:top w:w="40" w:type="dxa"/>
              <w:left w:w="20" w:type="dxa"/>
              <w:bottom w:w="40" w:type="dxa"/>
              <w:right w:w="20" w:type="dxa"/>
            </w:tcMar>
            <w:vAlign w:val="bottom"/>
          </w:tcPr>
          <w:p w14:paraId="669C6255" w14:textId="77777777" w:rsidR="00066C63" w:rsidRDefault="009656F6">
            <w:pPr>
              <w:jc w:val="center"/>
              <w:textAlignment w:val="bottom"/>
            </w:pPr>
            <w:r>
              <w:rPr>
                <w:rFonts w:ascii="sans-serif" w:eastAsia="sans-serif" w:hAnsi="sans-serif" w:cs="sans-serif"/>
                <w:b/>
                <w:bCs/>
                <w:color w:val="000000"/>
                <w:sz w:val="17"/>
                <w:szCs w:val="17"/>
              </w:rPr>
              <w:t>FEBRUARY 28, 2021</w:t>
            </w:r>
          </w:p>
        </w:tc>
      </w:tr>
      <w:tr w:rsidR="00066C63" w14:paraId="669C625B" w14:textId="77777777">
        <w:tc>
          <w:tcPr>
            <w:tcW w:w="0" w:type="auto"/>
            <w:gridSpan w:val="3"/>
            <w:shd w:val="clear" w:color="auto" w:fill="auto"/>
            <w:tcMar>
              <w:top w:w="0" w:type="dxa"/>
              <w:left w:w="20" w:type="dxa"/>
              <w:bottom w:w="0" w:type="dxa"/>
              <w:right w:w="20" w:type="dxa"/>
            </w:tcMar>
          </w:tcPr>
          <w:p w14:paraId="669C6257" w14:textId="77777777" w:rsidR="00066C63" w:rsidRDefault="00066C63">
            <w:pPr>
              <w:rPr>
                <w:rFonts w:ascii="宋体"/>
              </w:rPr>
            </w:pPr>
          </w:p>
        </w:tc>
        <w:tc>
          <w:tcPr>
            <w:tcW w:w="0" w:type="auto"/>
            <w:gridSpan w:val="9"/>
            <w:tcBorders>
              <w:top w:val="single" w:sz="8" w:space="0" w:color="E87722"/>
            </w:tcBorders>
            <w:shd w:val="clear" w:color="auto" w:fill="auto"/>
            <w:tcMar>
              <w:top w:w="40" w:type="dxa"/>
              <w:left w:w="20" w:type="dxa"/>
              <w:bottom w:w="40" w:type="dxa"/>
              <w:right w:w="20" w:type="dxa"/>
            </w:tcMar>
            <w:vAlign w:val="bottom"/>
          </w:tcPr>
          <w:p w14:paraId="669C6258" w14:textId="77777777" w:rsidR="00066C63" w:rsidRDefault="009656F6">
            <w:pPr>
              <w:jc w:val="center"/>
              <w:textAlignment w:val="bottom"/>
            </w:pPr>
            <w:r>
              <w:rPr>
                <w:rFonts w:ascii="sans-serif" w:eastAsia="sans-serif" w:hAnsi="sans-serif" w:cs="sans-serif"/>
                <w:b/>
                <w:bCs/>
                <w:color w:val="000000"/>
                <w:sz w:val="17"/>
                <w:szCs w:val="17"/>
              </w:rPr>
              <w:t>DERIVATIVE ASSETS</w:t>
            </w:r>
          </w:p>
        </w:tc>
        <w:tc>
          <w:tcPr>
            <w:tcW w:w="0" w:type="auto"/>
            <w:gridSpan w:val="3"/>
            <w:tcBorders>
              <w:top w:val="single" w:sz="8" w:space="0" w:color="E87722"/>
            </w:tcBorders>
            <w:shd w:val="clear" w:color="auto" w:fill="auto"/>
            <w:tcMar>
              <w:top w:w="0" w:type="dxa"/>
              <w:left w:w="20" w:type="dxa"/>
              <w:bottom w:w="0" w:type="dxa"/>
              <w:right w:w="20" w:type="dxa"/>
            </w:tcMar>
          </w:tcPr>
          <w:p w14:paraId="669C6259" w14:textId="77777777" w:rsidR="00066C63" w:rsidRDefault="00066C63">
            <w:pPr>
              <w:rPr>
                <w:rFonts w:ascii="宋体"/>
              </w:rPr>
            </w:pPr>
          </w:p>
        </w:tc>
        <w:tc>
          <w:tcPr>
            <w:tcW w:w="0" w:type="auto"/>
            <w:gridSpan w:val="9"/>
            <w:tcBorders>
              <w:top w:val="single" w:sz="8" w:space="0" w:color="E87722"/>
            </w:tcBorders>
            <w:shd w:val="clear" w:color="auto" w:fill="auto"/>
            <w:tcMar>
              <w:top w:w="40" w:type="dxa"/>
              <w:left w:w="20" w:type="dxa"/>
              <w:bottom w:w="40" w:type="dxa"/>
              <w:right w:w="20" w:type="dxa"/>
            </w:tcMar>
            <w:vAlign w:val="bottom"/>
          </w:tcPr>
          <w:p w14:paraId="669C625A" w14:textId="77777777" w:rsidR="00066C63" w:rsidRDefault="009656F6">
            <w:pPr>
              <w:jc w:val="center"/>
              <w:textAlignment w:val="bottom"/>
            </w:pPr>
            <w:r>
              <w:rPr>
                <w:rFonts w:ascii="sans-serif" w:eastAsia="sans-serif" w:hAnsi="sans-serif" w:cs="sans-serif"/>
                <w:b/>
                <w:bCs/>
                <w:color w:val="000000"/>
                <w:sz w:val="17"/>
                <w:szCs w:val="17"/>
              </w:rPr>
              <w:t>DERIVATIVE LIABILITIES</w:t>
            </w:r>
          </w:p>
        </w:tc>
      </w:tr>
      <w:tr w:rsidR="00066C63" w14:paraId="669C6264" w14:textId="77777777">
        <w:tc>
          <w:tcPr>
            <w:tcW w:w="0" w:type="auto"/>
            <w:gridSpan w:val="3"/>
            <w:shd w:val="clear" w:color="auto" w:fill="auto"/>
            <w:tcMar>
              <w:top w:w="40" w:type="dxa"/>
              <w:left w:w="20" w:type="dxa"/>
              <w:bottom w:w="40" w:type="dxa"/>
              <w:right w:w="20" w:type="dxa"/>
            </w:tcMar>
            <w:vAlign w:val="bottom"/>
          </w:tcPr>
          <w:p w14:paraId="669C625C" w14:textId="77777777" w:rsidR="00066C63" w:rsidRDefault="009656F6">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25D" w14:textId="77777777" w:rsidR="00066C63" w:rsidRDefault="009656F6">
            <w:pPr>
              <w:jc w:val="right"/>
              <w:textAlignment w:val="bottom"/>
            </w:pPr>
            <w:r>
              <w:rPr>
                <w:rFonts w:ascii="sans-serif" w:eastAsia="sans-serif" w:hAnsi="sans-serif" w:cs="sans-serif"/>
                <w:b/>
                <w:bCs/>
                <w:color w:val="000000"/>
                <w:sz w:val="17"/>
                <w:szCs w:val="17"/>
              </w:rPr>
              <w:t>ASSETS AT FAIR VALUE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25E" w14:textId="77777777" w:rsidR="00066C63" w:rsidRDefault="009656F6">
            <w:pPr>
              <w:jc w:val="right"/>
              <w:textAlignment w:val="bottom"/>
            </w:pPr>
            <w:r>
              <w:rPr>
                <w:rFonts w:ascii="sans-serif" w:eastAsia="sans-serif" w:hAnsi="sans-serif" w:cs="sans-serif"/>
                <w:b/>
                <w:bCs/>
                <w:color w:val="000000"/>
                <w:sz w:val="17"/>
                <w:szCs w:val="17"/>
              </w:rPr>
              <w:t>OTHER CURRENT ASSETS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25F" w14:textId="77777777" w:rsidR="00066C63" w:rsidRDefault="009656F6">
            <w:pPr>
              <w:jc w:val="right"/>
              <w:textAlignment w:val="bottom"/>
            </w:pPr>
            <w:r>
              <w:rPr>
                <w:rFonts w:ascii="sans-serif" w:eastAsia="sans-serif" w:hAnsi="sans-serif" w:cs="sans-serif"/>
                <w:b/>
                <w:bCs/>
                <w:color w:val="000000"/>
                <w:sz w:val="17"/>
                <w:szCs w:val="17"/>
              </w:rPr>
              <w:t>OTHER LONG-TERM ASSETS</w:t>
            </w:r>
          </w:p>
        </w:tc>
        <w:tc>
          <w:tcPr>
            <w:tcW w:w="0" w:type="auto"/>
            <w:gridSpan w:val="3"/>
            <w:shd w:val="clear" w:color="auto" w:fill="auto"/>
            <w:tcMar>
              <w:top w:w="0" w:type="dxa"/>
              <w:left w:w="20" w:type="dxa"/>
              <w:bottom w:w="0" w:type="dxa"/>
              <w:right w:w="20" w:type="dxa"/>
            </w:tcMar>
          </w:tcPr>
          <w:p w14:paraId="669C6260" w14:textId="77777777" w:rsidR="00066C63" w:rsidRDefault="00066C63">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261" w14:textId="77777777" w:rsidR="00066C63" w:rsidRDefault="009656F6">
            <w:pPr>
              <w:jc w:val="right"/>
              <w:textAlignment w:val="bottom"/>
            </w:pPr>
            <w:r>
              <w:rPr>
                <w:rFonts w:ascii="sans-serif" w:eastAsia="sans-serif" w:hAnsi="sans-serif" w:cs="sans-serif"/>
                <w:b/>
                <w:bCs/>
                <w:color w:val="000000"/>
                <w:sz w:val="17"/>
                <w:szCs w:val="17"/>
              </w:rPr>
              <w:t>LIABILITIES AT FAIR VALUE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262" w14:textId="77777777" w:rsidR="00066C63" w:rsidRDefault="009656F6">
            <w:pPr>
              <w:jc w:val="right"/>
              <w:textAlignment w:val="bottom"/>
            </w:pPr>
            <w:r>
              <w:rPr>
                <w:rFonts w:ascii="sans-serif" w:eastAsia="sans-serif" w:hAnsi="sans-serif" w:cs="sans-serif"/>
                <w:b/>
                <w:bCs/>
                <w:color w:val="000000"/>
                <w:sz w:val="17"/>
                <w:szCs w:val="17"/>
              </w:rPr>
              <w:t>ACCRUED LIABILITIES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263" w14:textId="77777777" w:rsidR="00066C63" w:rsidRDefault="009656F6">
            <w:pPr>
              <w:jc w:val="right"/>
              <w:textAlignment w:val="bottom"/>
            </w:pPr>
            <w:r>
              <w:rPr>
                <w:rFonts w:ascii="sans-serif" w:eastAsia="sans-serif" w:hAnsi="sans-serif" w:cs="sans-serif"/>
                <w:b/>
                <w:bCs/>
                <w:color w:val="000000"/>
                <w:sz w:val="17"/>
                <w:szCs w:val="17"/>
              </w:rPr>
              <w:t>OTHER LONG-TERM LIABILITIES</w:t>
            </w:r>
          </w:p>
        </w:tc>
      </w:tr>
      <w:tr w:rsidR="00066C63" w14:paraId="669C626D"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265" w14:textId="77777777" w:rsidR="00066C63" w:rsidRDefault="009656F6">
            <w:pPr>
              <w:textAlignment w:val="bottom"/>
            </w:pPr>
            <w:r>
              <w:rPr>
                <w:rFonts w:ascii="Arial" w:eastAsia="宋体" w:hAnsi="Arial" w:cs="Arial"/>
                <w:color w:val="000000"/>
                <w:sz w:val="17"/>
                <w:szCs w:val="17"/>
                <w:u w:val="single"/>
              </w:rPr>
              <w:t>Level 2:</w:t>
            </w:r>
          </w:p>
        </w:tc>
        <w:tc>
          <w:tcPr>
            <w:tcW w:w="0" w:type="auto"/>
            <w:gridSpan w:val="3"/>
            <w:tcBorders>
              <w:top w:val="single" w:sz="8" w:space="0" w:color="E87722"/>
            </w:tcBorders>
            <w:shd w:val="clear" w:color="auto" w:fill="FFF1E7"/>
            <w:tcMar>
              <w:top w:w="0" w:type="dxa"/>
              <w:left w:w="20" w:type="dxa"/>
              <w:bottom w:w="0" w:type="dxa"/>
              <w:right w:w="20" w:type="dxa"/>
            </w:tcMar>
          </w:tcPr>
          <w:p w14:paraId="669C6266" w14:textId="77777777" w:rsidR="00066C63" w:rsidRDefault="00066C63">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669C6267" w14:textId="77777777" w:rsidR="00066C63" w:rsidRDefault="00066C63">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669C6268" w14:textId="77777777" w:rsidR="00066C63" w:rsidRDefault="00066C63">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669C6269" w14:textId="77777777" w:rsidR="00066C63" w:rsidRDefault="00066C63">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669C626A" w14:textId="77777777" w:rsidR="00066C63" w:rsidRDefault="00066C63">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669C626B" w14:textId="77777777" w:rsidR="00066C63" w:rsidRDefault="00066C63">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669C626C" w14:textId="77777777" w:rsidR="00066C63" w:rsidRDefault="00066C63">
            <w:pPr>
              <w:rPr>
                <w:rFonts w:ascii="宋体"/>
              </w:rPr>
            </w:pPr>
          </w:p>
        </w:tc>
      </w:tr>
      <w:tr w:rsidR="00066C63" w14:paraId="669C6282"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626E" w14:textId="77777777" w:rsidR="00066C63" w:rsidRDefault="009656F6">
            <w:pPr>
              <w:textAlignment w:val="bottom"/>
            </w:pPr>
            <w:r>
              <w:rPr>
                <w:rFonts w:ascii="Arial" w:eastAsia="宋体" w:hAnsi="Arial" w:cs="Arial"/>
                <w:color w:val="000000"/>
                <w:sz w:val="17"/>
                <w:szCs w:val="17"/>
              </w:rPr>
              <w:t xml:space="preserve">Foreign exchange forwards and </w:t>
            </w:r>
            <w:r>
              <w:rPr>
                <w:rFonts w:ascii="Arial" w:eastAsia="宋体" w:hAnsi="Arial" w:cs="Arial"/>
                <w:color w:val="000000"/>
                <w:sz w:val="17"/>
                <w:szCs w:val="17"/>
              </w:rPr>
              <w:t>options</w:t>
            </w:r>
            <w:r>
              <w:rPr>
                <w:rFonts w:ascii="Arial" w:eastAsia="宋体" w:hAnsi="Arial" w:cs="Arial"/>
                <w:color w:val="000000"/>
                <w:sz w:val="11"/>
                <w:szCs w:val="11"/>
              </w:rPr>
              <w:t>(1)</w:t>
            </w:r>
          </w:p>
        </w:tc>
        <w:tc>
          <w:tcPr>
            <w:tcW w:w="0" w:type="auto"/>
            <w:tcBorders>
              <w:top w:val="single" w:sz="8" w:space="0" w:color="808080"/>
            </w:tcBorders>
            <w:shd w:val="clear" w:color="auto" w:fill="FFF1E7"/>
            <w:tcMar>
              <w:top w:w="40" w:type="dxa"/>
              <w:left w:w="20" w:type="dxa"/>
              <w:bottom w:w="40" w:type="dxa"/>
              <w:right w:w="0" w:type="dxa"/>
            </w:tcMar>
            <w:vAlign w:val="bottom"/>
          </w:tcPr>
          <w:p w14:paraId="669C626F"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669C6270" w14:textId="77777777" w:rsidR="00066C63" w:rsidRDefault="009656F6">
            <w:pPr>
              <w:jc w:val="right"/>
              <w:textAlignment w:val="bottom"/>
            </w:pPr>
            <w:r>
              <w:rPr>
                <w:rFonts w:ascii="Arial" w:eastAsia="宋体" w:hAnsi="Arial" w:cs="Arial"/>
                <w:color w:val="000000"/>
                <w:sz w:val="17"/>
                <w:szCs w:val="17"/>
              </w:rPr>
              <w:t>80 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271" w14:textId="77777777" w:rsidR="00066C63" w:rsidRDefault="00066C63">
            <w:pPr>
              <w:jc w:val="right"/>
              <w:rPr>
                <w:rFonts w:ascii="宋体"/>
              </w:rPr>
            </w:pPr>
          </w:p>
        </w:tc>
        <w:tc>
          <w:tcPr>
            <w:tcW w:w="0" w:type="auto"/>
            <w:tcBorders>
              <w:top w:val="single" w:sz="8" w:space="0" w:color="808080"/>
            </w:tcBorders>
            <w:shd w:val="clear" w:color="auto" w:fill="FFF1E7"/>
            <w:tcMar>
              <w:top w:w="40" w:type="dxa"/>
              <w:left w:w="20" w:type="dxa"/>
              <w:bottom w:w="40" w:type="dxa"/>
              <w:right w:w="0" w:type="dxa"/>
            </w:tcMar>
            <w:vAlign w:val="bottom"/>
          </w:tcPr>
          <w:p w14:paraId="669C6272"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669C6273" w14:textId="77777777" w:rsidR="00066C63" w:rsidRDefault="009656F6">
            <w:pPr>
              <w:jc w:val="right"/>
              <w:textAlignment w:val="bottom"/>
            </w:pPr>
            <w:r>
              <w:rPr>
                <w:rFonts w:ascii="Arial" w:eastAsia="宋体" w:hAnsi="Arial" w:cs="Arial"/>
                <w:color w:val="000000"/>
                <w:sz w:val="17"/>
                <w:szCs w:val="17"/>
              </w:rPr>
              <w:t>62 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274" w14:textId="77777777" w:rsidR="00066C63" w:rsidRDefault="00066C63">
            <w:pPr>
              <w:jc w:val="right"/>
              <w:rPr>
                <w:rFonts w:ascii="宋体"/>
              </w:rPr>
            </w:pPr>
          </w:p>
        </w:tc>
        <w:tc>
          <w:tcPr>
            <w:tcW w:w="0" w:type="auto"/>
            <w:tcBorders>
              <w:top w:val="single" w:sz="8" w:space="0" w:color="808080"/>
            </w:tcBorders>
            <w:shd w:val="clear" w:color="auto" w:fill="FFF1E7"/>
            <w:tcMar>
              <w:top w:w="40" w:type="dxa"/>
              <w:left w:w="20" w:type="dxa"/>
              <w:bottom w:w="40" w:type="dxa"/>
              <w:right w:w="0" w:type="dxa"/>
            </w:tcMar>
            <w:vAlign w:val="bottom"/>
          </w:tcPr>
          <w:p w14:paraId="669C6275"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669C6276" w14:textId="77777777" w:rsidR="00066C63" w:rsidRDefault="009656F6">
            <w:pPr>
              <w:jc w:val="right"/>
              <w:textAlignment w:val="bottom"/>
            </w:pPr>
            <w:r>
              <w:rPr>
                <w:rFonts w:ascii="Arial" w:eastAsia="宋体" w:hAnsi="Arial" w:cs="Arial"/>
                <w:color w:val="000000"/>
                <w:sz w:val="17"/>
                <w:szCs w:val="17"/>
              </w:rPr>
              <w:t>18 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277" w14:textId="77777777" w:rsidR="00066C63" w:rsidRDefault="00066C63">
            <w:pPr>
              <w:jc w:val="right"/>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669C6278" w14:textId="77777777" w:rsidR="00066C63" w:rsidRDefault="00066C63">
            <w:pPr>
              <w:rPr>
                <w:rFonts w:ascii="宋体"/>
              </w:rPr>
            </w:pPr>
          </w:p>
        </w:tc>
        <w:tc>
          <w:tcPr>
            <w:tcW w:w="0" w:type="auto"/>
            <w:tcBorders>
              <w:top w:val="single" w:sz="8" w:space="0" w:color="808080"/>
            </w:tcBorders>
            <w:shd w:val="clear" w:color="auto" w:fill="FFF1E7"/>
            <w:tcMar>
              <w:top w:w="40" w:type="dxa"/>
              <w:left w:w="20" w:type="dxa"/>
              <w:bottom w:w="40" w:type="dxa"/>
              <w:right w:w="0" w:type="dxa"/>
            </w:tcMar>
            <w:vAlign w:val="bottom"/>
          </w:tcPr>
          <w:p w14:paraId="669C6279"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669C627A" w14:textId="77777777" w:rsidR="00066C63" w:rsidRDefault="009656F6">
            <w:pPr>
              <w:jc w:val="right"/>
              <w:textAlignment w:val="bottom"/>
            </w:pPr>
            <w:r>
              <w:rPr>
                <w:rFonts w:ascii="Arial" w:eastAsia="宋体" w:hAnsi="Arial" w:cs="Arial"/>
                <w:color w:val="000000"/>
                <w:sz w:val="17"/>
                <w:szCs w:val="17"/>
              </w:rPr>
              <w:t>544 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27B" w14:textId="77777777" w:rsidR="00066C63" w:rsidRDefault="00066C63">
            <w:pPr>
              <w:jc w:val="right"/>
              <w:rPr>
                <w:rFonts w:ascii="宋体"/>
              </w:rPr>
            </w:pPr>
          </w:p>
        </w:tc>
        <w:tc>
          <w:tcPr>
            <w:tcW w:w="0" w:type="auto"/>
            <w:tcBorders>
              <w:top w:val="single" w:sz="8" w:space="0" w:color="808080"/>
            </w:tcBorders>
            <w:shd w:val="clear" w:color="auto" w:fill="FFF1E7"/>
            <w:tcMar>
              <w:top w:w="40" w:type="dxa"/>
              <w:left w:w="20" w:type="dxa"/>
              <w:bottom w:w="40" w:type="dxa"/>
              <w:right w:w="0" w:type="dxa"/>
            </w:tcMar>
            <w:vAlign w:val="bottom"/>
          </w:tcPr>
          <w:p w14:paraId="669C627C"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669C627D" w14:textId="77777777" w:rsidR="00066C63" w:rsidRDefault="009656F6">
            <w:pPr>
              <w:jc w:val="right"/>
              <w:textAlignment w:val="bottom"/>
            </w:pPr>
            <w:r>
              <w:rPr>
                <w:rFonts w:ascii="Arial" w:eastAsia="宋体" w:hAnsi="Arial" w:cs="Arial"/>
                <w:color w:val="000000"/>
                <w:sz w:val="17"/>
                <w:szCs w:val="17"/>
              </w:rPr>
              <w:t>462 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27E" w14:textId="77777777" w:rsidR="00066C63" w:rsidRDefault="00066C63">
            <w:pPr>
              <w:jc w:val="right"/>
              <w:rPr>
                <w:rFonts w:ascii="宋体"/>
              </w:rPr>
            </w:pPr>
          </w:p>
        </w:tc>
        <w:tc>
          <w:tcPr>
            <w:tcW w:w="0" w:type="auto"/>
            <w:tcBorders>
              <w:top w:val="single" w:sz="8" w:space="0" w:color="808080"/>
            </w:tcBorders>
            <w:shd w:val="clear" w:color="auto" w:fill="FFF1E7"/>
            <w:tcMar>
              <w:top w:w="40" w:type="dxa"/>
              <w:left w:w="20" w:type="dxa"/>
              <w:bottom w:w="40" w:type="dxa"/>
              <w:right w:w="0" w:type="dxa"/>
            </w:tcMar>
            <w:vAlign w:val="bottom"/>
          </w:tcPr>
          <w:p w14:paraId="669C627F"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669C6280" w14:textId="77777777" w:rsidR="00066C63" w:rsidRDefault="009656F6">
            <w:pPr>
              <w:jc w:val="right"/>
              <w:textAlignment w:val="bottom"/>
            </w:pPr>
            <w:r>
              <w:rPr>
                <w:rFonts w:ascii="Arial" w:eastAsia="宋体" w:hAnsi="Arial" w:cs="Arial"/>
                <w:color w:val="000000"/>
                <w:sz w:val="17"/>
                <w:szCs w:val="17"/>
              </w:rPr>
              <w:t>82 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281" w14:textId="77777777" w:rsidR="00066C63" w:rsidRDefault="00066C63">
            <w:pPr>
              <w:jc w:val="right"/>
              <w:rPr>
                <w:rFonts w:ascii="宋体"/>
              </w:rPr>
            </w:pPr>
          </w:p>
        </w:tc>
      </w:tr>
      <w:tr w:rsidR="00066C63" w14:paraId="669C6291"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6283" w14:textId="77777777" w:rsidR="00066C63" w:rsidRDefault="009656F6">
            <w:pPr>
              <w:textAlignment w:val="bottom"/>
            </w:pPr>
            <w:r>
              <w:rPr>
                <w:rFonts w:ascii="Arial" w:eastAsia="宋体" w:hAnsi="Arial" w:cs="Arial"/>
                <w:color w:val="000000"/>
                <w:sz w:val="17"/>
                <w:szCs w:val="17"/>
              </w:rPr>
              <w:t>Embedded derivatives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284" w14:textId="77777777" w:rsidR="00066C63" w:rsidRDefault="009656F6">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285" w14:textId="77777777" w:rsidR="00066C63" w:rsidRDefault="00066C63">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286" w14:textId="77777777" w:rsidR="00066C63" w:rsidRDefault="009656F6">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287" w14:textId="77777777" w:rsidR="00066C63" w:rsidRDefault="00066C63">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288" w14:textId="77777777" w:rsidR="00066C63" w:rsidRDefault="009656F6">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289" w14:textId="77777777" w:rsidR="00066C63" w:rsidRDefault="00066C63">
            <w:pPr>
              <w:jc w:val="right"/>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669C628A" w14:textId="77777777" w:rsidR="00066C63" w:rsidRDefault="00066C63">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28B" w14:textId="77777777" w:rsidR="00066C63" w:rsidRDefault="009656F6">
            <w:pPr>
              <w:jc w:val="right"/>
              <w:textAlignment w:val="bottom"/>
            </w:pPr>
            <w:r>
              <w:rPr>
                <w:rFonts w:ascii="Arial" w:eastAsia="宋体" w:hAnsi="Arial" w:cs="Arial"/>
                <w:color w:val="000000"/>
                <w:sz w:val="17"/>
                <w:szCs w:val="17"/>
              </w:rPr>
              <w:t>1 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28C" w14:textId="77777777" w:rsidR="00066C63" w:rsidRDefault="00066C63">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28D" w14:textId="77777777" w:rsidR="00066C63" w:rsidRDefault="009656F6">
            <w:pPr>
              <w:jc w:val="right"/>
              <w:textAlignment w:val="bottom"/>
            </w:pPr>
            <w:r>
              <w:rPr>
                <w:rFonts w:ascii="Arial" w:eastAsia="宋体" w:hAnsi="Arial" w:cs="Arial"/>
                <w:color w:val="000000"/>
                <w:sz w:val="17"/>
                <w:szCs w:val="17"/>
              </w:rPr>
              <w:t>1 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28E" w14:textId="77777777" w:rsidR="00066C63" w:rsidRDefault="00066C63">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28F" w14:textId="77777777" w:rsidR="00066C63" w:rsidRDefault="009656F6">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290" w14:textId="77777777" w:rsidR="00066C63" w:rsidRDefault="00066C63">
            <w:pPr>
              <w:jc w:val="right"/>
              <w:rPr>
                <w:rFonts w:ascii="宋体"/>
              </w:rPr>
            </w:pPr>
          </w:p>
        </w:tc>
      </w:tr>
      <w:tr w:rsidR="00066C63" w14:paraId="669C62A6"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669C6292" w14:textId="77777777" w:rsidR="00066C63" w:rsidRDefault="009656F6">
            <w:pPr>
              <w:textAlignment w:val="bottom"/>
            </w:pPr>
            <w:r>
              <w:rPr>
                <w:rFonts w:ascii="Arial" w:eastAsia="宋体" w:hAnsi="Arial" w:cs="Arial"/>
                <w:b/>
                <w:bCs/>
                <w:color w:val="000000"/>
                <w:sz w:val="17"/>
                <w:szCs w:val="17"/>
              </w:rPr>
              <w:t>TOTAL</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69C6293"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669C6294" w14:textId="77777777" w:rsidR="00066C63" w:rsidRDefault="009656F6">
            <w:pPr>
              <w:jc w:val="right"/>
              <w:textAlignment w:val="bottom"/>
            </w:pPr>
            <w:r>
              <w:rPr>
                <w:rFonts w:ascii="Arial" w:eastAsia="宋体" w:hAnsi="Arial" w:cs="Arial"/>
                <w:b/>
                <w:bCs/>
                <w:color w:val="000000"/>
                <w:sz w:val="17"/>
                <w:szCs w:val="17"/>
              </w:rPr>
              <w:t>80</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69C6295" w14:textId="77777777" w:rsidR="00066C63" w:rsidRDefault="00066C63">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69C6296"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669C6297" w14:textId="77777777" w:rsidR="00066C63" w:rsidRDefault="009656F6">
            <w:pPr>
              <w:jc w:val="right"/>
              <w:textAlignment w:val="bottom"/>
            </w:pPr>
            <w:r>
              <w:rPr>
                <w:rFonts w:ascii="Arial" w:eastAsia="宋体" w:hAnsi="Arial" w:cs="Arial"/>
                <w:b/>
                <w:bCs/>
                <w:color w:val="000000"/>
                <w:sz w:val="17"/>
                <w:szCs w:val="17"/>
              </w:rPr>
              <w:t>62</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69C6298" w14:textId="77777777" w:rsidR="00066C63" w:rsidRDefault="00066C63">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69C6299"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669C629A" w14:textId="77777777" w:rsidR="00066C63" w:rsidRDefault="009656F6">
            <w:pPr>
              <w:jc w:val="right"/>
              <w:textAlignment w:val="bottom"/>
            </w:pPr>
            <w:r>
              <w:rPr>
                <w:rFonts w:ascii="Arial" w:eastAsia="宋体" w:hAnsi="Arial" w:cs="Arial"/>
                <w:b/>
                <w:bCs/>
                <w:color w:val="000000"/>
                <w:sz w:val="17"/>
                <w:szCs w:val="17"/>
              </w:rPr>
              <w:t>18</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69C629B" w14:textId="77777777" w:rsidR="00066C63" w:rsidRDefault="00066C63">
            <w:pPr>
              <w:jc w:val="right"/>
              <w:rPr>
                <w:rFonts w:ascii="宋体"/>
              </w:rPr>
            </w:pPr>
          </w:p>
        </w:tc>
        <w:tc>
          <w:tcPr>
            <w:tcW w:w="0" w:type="auto"/>
            <w:gridSpan w:val="3"/>
            <w:tcBorders>
              <w:top w:val="single" w:sz="8" w:space="0" w:color="E87722"/>
              <w:bottom w:val="single" w:sz="8" w:space="0" w:color="E87722"/>
            </w:tcBorders>
            <w:shd w:val="clear" w:color="auto" w:fill="FFF1E7"/>
            <w:tcMar>
              <w:top w:w="0" w:type="dxa"/>
              <w:left w:w="20" w:type="dxa"/>
              <w:bottom w:w="0" w:type="dxa"/>
              <w:right w:w="20" w:type="dxa"/>
            </w:tcMar>
          </w:tcPr>
          <w:p w14:paraId="669C629C" w14:textId="77777777" w:rsidR="00066C63" w:rsidRDefault="00066C63">
            <w:pPr>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69C629D"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669C629E" w14:textId="77777777" w:rsidR="00066C63" w:rsidRDefault="009656F6">
            <w:pPr>
              <w:jc w:val="right"/>
              <w:textAlignment w:val="bottom"/>
            </w:pPr>
            <w:r>
              <w:rPr>
                <w:rFonts w:ascii="Arial" w:eastAsia="宋体" w:hAnsi="Arial" w:cs="Arial"/>
                <w:b/>
                <w:bCs/>
                <w:color w:val="000000"/>
                <w:sz w:val="17"/>
                <w:szCs w:val="17"/>
              </w:rPr>
              <w:t>545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69C629F" w14:textId="77777777" w:rsidR="00066C63" w:rsidRDefault="00066C63">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69C62A0"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669C62A1" w14:textId="77777777" w:rsidR="00066C63" w:rsidRDefault="009656F6">
            <w:pPr>
              <w:jc w:val="right"/>
              <w:textAlignment w:val="bottom"/>
            </w:pPr>
            <w:r>
              <w:rPr>
                <w:rFonts w:ascii="Arial" w:eastAsia="宋体" w:hAnsi="Arial" w:cs="Arial"/>
                <w:b/>
                <w:bCs/>
                <w:color w:val="000000"/>
                <w:sz w:val="17"/>
                <w:szCs w:val="17"/>
              </w:rPr>
              <w:t>463</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69C62A2" w14:textId="77777777" w:rsidR="00066C63" w:rsidRDefault="00066C63">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69C62A3"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669C62A4" w14:textId="77777777" w:rsidR="00066C63" w:rsidRDefault="009656F6">
            <w:pPr>
              <w:jc w:val="right"/>
              <w:textAlignment w:val="bottom"/>
            </w:pPr>
            <w:r>
              <w:rPr>
                <w:rFonts w:ascii="Arial" w:eastAsia="宋体" w:hAnsi="Arial" w:cs="Arial"/>
                <w:b/>
                <w:bCs/>
                <w:color w:val="000000"/>
                <w:sz w:val="17"/>
                <w:szCs w:val="17"/>
              </w:rPr>
              <w:t>82</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69C62A5" w14:textId="77777777" w:rsidR="00066C63" w:rsidRDefault="00066C63">
            <w:pPr>
              <w:jc w:val="right"/>
              <w:rPr>
                <w:rFonts w:ascii="宋体"/>
              </w:rPr>
            </w:pPr>
          </w:p>
        </w:tc>
      </w:tr>
    </w:tbl>
    <w:p w14:paraId="669C62A7" w14:textId="77777777" w:rsidR="00066C63" w:rsidRDefault="009656F6">
      <w:pPr>
        <w:spacing w:before="60" w:after="60"/>
        <w:ind w:hanging="360"/>
      </w:pPr>
      <w:r>
        <w:rPr>
          <w:rFonts w:ascii="Arial" w:eastAsia="宋体" w:hAnsi="Arial" w:cs="Arial"/>
          <w:i/>
          <w:iCs/>
          <w:color w:val="000000"/>
          <w:sz w:val="14"/>
          <w:szCs w:val="14"/>
        </w:rPr>
        <w:t>(1)If the foreign exchange derivative instruments had been netted on th</w:t>
      </w:r>
      <w:r>
        <w:rPr>
          <w:rFonts w:ascii="Arial" w:eastAsia="宋体" w:hAnsi="Arial" w:cs="Arial"/>
          <w:i/>
          <w:iCs/>
          <w:color w:val="000000"/>
          <w:sz w:val="14"/>
          <w:szCs w:val="14"/>
        </w:rPr>
        <w:t>e Unaudited Condensed Consolidated Balance Sheets, the asset and liability positions each would have been reduced by $80 million as of February 28, 2021. As of that date, the Company had posted $183 million of cash collateral to various counterparties rela</w:t>
      </w:r>
      <w:r>
        <w:rPr>
          <w:rFonts w:ascii="Arial" w:eastAsia="宋体" w:hAnsi="Arial" w:cs="Arial"/>
          <w:i/>
          <w:iCs/>
          <w:color w:val="000000"/>
          <w:sz w:val="14"/>
          <w:szCs w:val="14"/>
        </w:rPr>
        <w:t xml:space="preserve">ted to foreign exchange derivative instruments. No amount of collateral was received on the Company's derivative asset balance as of February 28, 2021. </w:t>
      </w:r>
    </w:p>
    <w:p w14:paraId="669C62A8" w14:textId="77777777" w:rsidR="00066C63" w:rsidRDefault="009656F6">
      <w:pPr>
        <w:spacing w:before="120" w:after="120"/>
        <w:jc w:val="right"/>
      </w:pPr>
      <w:r>
        <w:rPr>
          <w:rFonts w:ascii="Arial" w:eastAsia="宋体" w:hAnsi="Arial" w:cs="Arial"/>
          <w:color w:val="E87722"/>
          <w:sz w:val="17"/>
          <w:szCs w:val="17"/>
        </w:rPr>
        <w:t>9</w:t>
      </w:r>
    </w:p>
    <w:p w14:paraId="669C62A9" w14:textId="77777777" w:rsidR="00066C63" w:rsidRDefault="009656F6">
      <w:r>
        <w:pict w14:anchorId="669C7E39">
          <v:rect id="_x0000_i1035" style="width:415.3pt;height:1.5pt" o:hralign="center" o:hrstd="t" o:hr="t" fillcolor="#a0a0a0" stroked="f"/>
        </w:pict>
      </w:r>
    </w:p>
    <w:p w14:paraId="669C62AA" w14:textId="77777777" w:rsidR="00066C63" w:rsidRDefault="00066C63"/>
    <w:p w14:paraId="669C62AB" w14:textId="77777777" w:rsidR="00066C63" w:rsidRDefault="009656F6">
      <w:hyperlink r:id="rId80" w:anchor="i1e99cb26debe49fe8b698d0f0eb1273a_7" w:history="1">
        <w:r>
          <w:rPr>
            <w:rStyle w:val="a5"/>
            <w:rFonts w:ascii="sans-serif" w:eastAsia="sans-serif" w:hAnsi="sans-serif" w:cs="sans-serif"/>
            <w:sz w:val="17"/>
            <w:szCs w:val="17"/>
          </w:rPr>
          <w:t>Table of Contents</w:t>
        </w:r>
      </w:hyperlink>
    </w:p>
    <w:p w14:paraId="669C62AC" w14:textId="77777777" w:rsidR="00066C63" w:rsidRDefault="00066C63"/>
    <w:tbl>
      <w:tblPr>
        <w:tblW w:w="4992" w:type="pct"/>
        <w:tblCellMar>
          <w:top w:w="15" w:type="dxa"/>
          <w:left w:w="15" w:type="dxa"/>
          <w:bottom w:w="15" w:type="dxa"/>
          <w:right w:w="15" w:type="dxa"/>
        </w:tblCellMar>
        <w:tblLook w:val="04A0" w:firstRow="1" w:lastRow="0" w:firstColumn="1" w:lastColumn="0" w:noHBand="0" w:noVBand="1"/>
      </w:tblPr>
      <w:tblGrid>
        <w:gridCol w:w="39"/>
        <w:gridCol w:w="3059"/>
        <w:gridCol w:w="38"/>
        <w:gridCol w:w="116"/>
        <w:gridCol w:w="487"/>
        <w:gridCol w:w="36"/>
        <w:gridCol w:w="116"/>
        <w:gridCol w:w="628"/>
        <w:gridCol w:w="36"/>
        <w:gridCol w:w="116"/>
        <w:gridCol w:w="811"/>
        <w:gridCol w:w="36"/>
        <w:gridCol w:w="36"/>
        <w:gridCol w:w="36"/>
        <w:gridCol w:w="36"/>
        <w:gridCol w:w="116"/>
        <w:gridCol w:w="715"/>
        <w:gridCol w:w="36"/>
        <w:gridCol w:w="116"/>
        <w:gridCol w:w="715"/>
        <w:gridCol w:w="36"/>
        <w:gridCol w:w="116"/>
        <w:gridCol w:w="811"/>
        <w:gridCol w:w="36"/>
      </w:tblGrid>
      <w:tr w:rsidR="00066C63" w14:paraId="669C62C5" w14:textId="77777777">
        <w:tc>
          <w:tcPr>
            <w:tcW w:w="50" w:type="pct"/>
            <w:shd w:val="clear" w:color="auto" w:fill="auto"/>
          </w:tcPr>
          <w:p w14:paraId="669C62AD" w14:textId="77777777" w:rsidR="00066C63" w:rsidRDefault="00066C63">
            <w:pPr>
              <w:rPr>
                <w:rFonts w:ascii="宋体"/>
              </w:rPr>
            </w:pPr>
          </w:p>
        </w:tc>
        <w:tc>
          <w:tcPr>
            <w:tcW w:w="2047" w:type="pct"/>
            <w:shd w:val="clear" w:color="auto" w:fill="auto"/>
          </w:tcPr>
          <w:p w14:paraId="669C62AE" w14:textId="77777777" w:rsidR="00066C63" w:rsidRDefault="00066C63">
            <w:pPr>
              <w:rPr>
                <w:rFonts w:ascii="宋体"/>
              </w:rPr>
            </w:pPr>
          </w:p>
        </w:tc>
        <w:tc>
          <w:tcPr>
            <w:tcW w:w="5" w:type="pct"/>
            <w:shd w:val="clear" w:color="auto" w:fill="auto"/>
          </w:tcPr>
          <w:p w14:paraId="669C62AF" w14:textId="77777777" w:rsidR="00066C63" w:rsidRDefault="00066C63">
            <w:pPr>
              <w:rPr>
                <w:rFonts w:ascii="宋体"/>
              </w:rPr>
            </w:pPr>
          </w:p>
        </w:tc>
        <w:tc>
          <w:tcPr>
            <w:tcW w:w="50" w:type="pct"/>
            <w:shd w:val="clear" w:color="auto" w:fill="auto"/>
          </w:tcPr>
          <w:p w14:paraId="669C62B0" w14:textId="77777777" w:rsidR="00066C63" w:rsidRDefault="00066C63">
            <w:pPr>
              <w:rPr>
                <w:rFonts w:ascii="宋体"/>
              </w:rPr>
            </w:pPr>
          </w:p>
        </w:tc>
        <w:tc>
          <w:tcPr>
            <w:tcW w:w="408" w:type="pct"/>
            <w:shd w:val="clear" w:color="auto" w:fill="auto"/>
          </w:tcPr>
          <w:p w14:paraId="669C62B1" w14:textId="77777777" w:rsidR="00066C63" w:rsidRDefault="00066C63">
            <w:pPr>
              <w:rPr>
                <w:rFonts w:ascii="宋体"/>
              </w:rPr>
            </w:pPr>
          </w:p>
        </w:tc>
        <w:tc>
          <w:tcPr>
            <w:tcW w:w="5" w:type="pct"/>
            <w:shd w:val="clear" w:color="auto" w:fill="auto"/>
          </w:tcPr>
          <w:p w14:paraId="669C62B2" w14:textId="77777777" w:rsidR="00066C63" w:rsidRDefault="00066C63">
            <w:pPr>
              <w:rPr>
                <w:rFonts w:ascii="宋体"/>
              </w:rPr>
            </w:pPr>
          </w:p>
        </w:tc>
        <w:tc>
          <w:tcPr>
            <w:tcW w:w="50" w:type="pct"/>
            <w:shd w:val="clear" w:color="auto" w:fill="auto"/>
          </w:tcPr>
          <w:p w14:paraId="669C62B3" w14:textId="77777777" w:rsidR="00066C63" w:rsidRDefault="00066C63">
            <w:pPr>
              <w:rPr>
                <w:rFonts w:ascii="宋体"/>
              </w:rPr>
            </w:pPr>
          </w:p>
        </w:tc>
        <w:tc>
          <w:tcPr>
            <w:tcW w:w="408" w:type="pct"/>
            <w:shd w:val="clear" w:color="auto" w:fill="auto"/>
          </w:tcPr>
          <w:p w14:paraId="669C62B4" w14:textId="77777777" w:rsidR="00066C63" w:rsidRDefault="00066C63">
            <w:pPr>
              <w:rPr>
                <w:rFonts w:ascii="宋体"/>
              </w:rPr>
            </w:pPr>
          </w:p>
        </w:tc>
        <w:tc>
          <w:tcPr>
            <w:tcW w:w="5" w:type="pct"/>
            <w:shd w:val="clear" w:color="auto" w:fill="auto"/>
          </w:tcPr>
          <w:p w14:paraId="669C62B5" w14:textId="77777777" w:rsidR="00066C63" w:rsidRDefault="00066C63">
            <w:pPr>
              <w:rPr>
                <w:rFonts w:ascii="宋体"/>
              </w:rPr>
            </w:pPr>
          </w:p>
        </w:tc>
        <w:tc>
          <w:tcPr>
            <w:tcW w:w="50" w:type="pct"/>
            <w:shd w:val="clear" w:color="auto" w:fill="auto"/>
          </w:tcPr>
          <w:p w14:paraId="669C62B6" w14:textId="77777777" w:rsidR="00066C63" w:rsidRDefault="00066C63">
            <w:pPr>
              <w:rPr>
                <w:rFonts w:ascii="宋体"/>
              </w:rPr>
            </w:pPr>
          </w:p>
        </w:tc>
        <w:tc>
          <w:tcPr>
            <w:tcW w:w="447" w:type="pct"/>
            <w:shd w:val="clear" w:color="auto" w:fill="auto"/>
          </w:tcPr>
          <w:p w14:paraId="669C62B7" w14:textId="77777777" w:rsidR="00066C63" w:rsidRDefault="00066C63">
            <w:pPr>
              <w:rPr>
                <w:rFonts w:ascii="宋体"/>
              </w:rPr>
            </w:pPr>
          </w:p>
        </w:tc>
        <w:tc>
          <w:tcPr>
            <w:tcW w:w="5" w:type="pct"/>
            <w:shd w:val="clear" w:color="auto" w:fill="auto"/>
          </w:tcPr>
          <w:p w14:paraId="669C62B8" w14:textId="77777777" w:rsidR="00066C63" w:rsidRDefault="00066C63">
            <w:pPr>
              <w:rPr>
                <w:rFonts w:ascii="宋体"/>
              </w:rPr>
            </w:pPr>
          </w:p>
        </w:tc>
        <w:tc>
          <w:tcPr>
            <w:tcW w:w="5" w:type="pct"/>
            <w:shd w:val="clear" w:color="auto" w:fill="auto"/>
          </w:tcPr>
          <w:p w14:paraId="669C62B9" w14:textId="77777777" w:rsidR="00066C63" w:rsidRDefault="00066C63">
            <w:pPr>
              <w:rPr>
                <w:rFonts w:ascii="宋体"/>
              </w:rPr>
            </w:pPr>
          </w:p>
        </w:tc>
        <w:tc>
          <w:tcPr>
            <w:tcW w:w="28" w:type="pct"/>
            <w:shd w:val="clear" w:color="auto" w:fill="auto"/>
          </w:tcPr>
          <w:p w14:paraId="669C62BA" w14:textId="77777777" w:rsidR="00066C63" w:rsidRDefault="00066C63">
            <w:pPr>
              <w:rPr>
                <w:rFonts w:ascii="宋体"/>
              </w:rPr>
            </w:pPr>
          </w:p>
        </w:tc>
        <w:tc>
          <w:tcPr>
            <w:tcW w:w="5" w:type="pct"/>
            <w:shd w:val="clear" w:color="auto" w:fill="auto"/>
          </w:tcPr>
          <w:p w14:paraId="669C62BB" w14:textId="77777777" w:rsidR="00066C63" w:rsidRDefault="00066C63">
            <w:pPr>
              <w:rPr>
                <w:rFonts w:ascii="宋体"/>
              </w:rPr>
            </w:pPr>
          </w:p>
        </w:tc>
        <w:tc>
          <w:tcPr>
            <w:tcW w:w="50" w:type="pct"/>
            <w:shd w:val="clear" w:color="auto" w:fill="auto"/>
          </w:tcPr>
          <w:p w14:paraId="669C62BC" w14:textId="77777777" w:rsidR="00066C63" w:rsidRDefault="00066C63">
            <w:pPr>
              <w:rPr>
                <w:rFonts w:ascii="宋体"/>
              </w:rPr>
            </w:pPr>
          </w:p>
        </w:tc>
        <w:tc>
          <w:tcPr>
            <w:tcW w:w="408" w:type="pct"/>
            <w:shd w:val="clear" w:color="auto" w:fill="auto"/>
          </w:tcPr>
          <w:p w14:paraId="669C62BD" w14:textId="77777777" w:rsidR="00066C63" w:rsidRDefault="00066C63">
            <w:pPr>
              <w:rPr>
                <w:rFonts w:ascii="宋体"/>
              </w:rPr>
            </w:pPr>
          </w:p>
        </w:tc>
        <w:tc>
          <w:tcPr>
            <w:tcW w:w="5" w:type="pct"/>
            <w:shd w:val="clear" w:color="auto" w:fill="auto"/>
          </w:tcPr>
          <w:p w14:paraId="669C62BE" w14:textId="77777777" w:rsidR="00066C63" w:rsidRDefault="00066C63">
            <w:pPr>
              <w:rPr>
                <w:rFonts w:ascii="宋体"/>
              </w:rPr>
            </w:pPr>
          </w:p>
        </w:tc>
        <w:tc>
          <w:tcPr>
            <w:tcW w:w="50" w:type="pct"/>
            <w:shd w:val="clear" w:color="auto" w:fill="auto"/>
          </w:tcPr>
          <w:p w14:paraId="669C62BF" w14:textId="77777777" w:rsidR="00066C63" w:rsidRDefault="00066C63">
            <w:pPr>
              <w:rPr>
                <w:rFonts w:ascii="宋体"/>
              </w:rPr>
            </w:pPr>
          </w:p>
        </w:tc>
        <w:tc>
          <w:tcPr>
            <w:tcW w:w="408" w:type="pct"/>
            <w:shd w:val="clear" w:color="auto" w:fill="auto"/>
          </w:tcPr>
          <w:p w14:paraId="669C62C0" w14:textId="77777777" w:rsidR="00066C63" w:rsidRDefault="00066C63">
            <w:pPr>
              <w:rPr>
                <w:rFonts w:ascii="宋体"/>
              </w:rPr>
            </w:pPr>
          </w:p>
        </w:tc>
        <w:tc>
          <w:tcPr>
            <w:tcW w:w="5" w:type="pct"/>
            <w:shd w:val="clear" w:color="auto" w:fill="auto"/>
          </w:tcPr>
          <w:p w14:paraId="669C62C1" w14:textId="77777777" w:rsidR="00066C63" w:rsidRDefault="00066C63">
            <w:pPr>
              <w:rPr>
                <w:rFonts w:ascii="宋体"/>
              </w:rPr>
            </w:pPr>
          </w:p>
        </w:tc>
        <w:tc>
          <w:tcPr>
            <w:tcW w:w="50" w:type="pct"/>
            <w:shd w:val="clear" w:color="auto" w:fill="auto"/>
          </w:tcPr>
          <w:p w14:paraId="669C62C2" w14:textId="77777777" w:rsidR="00066C63" w:rsidRDefault="00066C63">
            <w:pPr>
              <w:rPr>
                <w:rFonts w:ascii="宋体"/>
              </w:rPr>
            </w:pPr>
          </w:p>
        </w:tc>
        <w:tc>
          <w:tcPr>
            <w:tcW w:w="447" w:type="pct"/>
            <w:shd w:val="clear" w:color="auto" w:fill="auto"/>
          </w:tcPr>
          <w:p w14:paraId="669C62C3" w14:textId="77777777" w:rsidR="00066C63" w:rsidRDefault="00066C63">
            <w:pPr>
              <w:rPr>
                <w:rFonts w:ascii="宋体"/>
              </w:rPr>
            </w:pPr>
          </w:p>
        </w:tc>
        <w:tc>
          <w:tcPr>
            <w:tcW w:w="5" w:type="pct"/>
            <w:shd w:val="clear" w:color="auto" w:fill="auto"/>
          </w:tcPr>
          <w:p w14:paraId="669C62C4" w14:textId="77777777" w:rsidR="00066C63" w:rsidRDefault="00066C63">
            <w:pPr>
              <w:rPr>
                <w:rFonts w:ascii="宋体"/>
              </w:rPr>
            </w:pPr>
          </w:p>
        </w:tc>
      </w:tr>
      <w:tr w:rsidR="00066C63" w14:paraId="669C62C8" w14:textId="77777777">
        <w:tc>
          <w:tcPr>
            <w:tcW w:w="0" w:type="auto"/>
            <w:gridSpan w:val="3"/>
            <w:shd w:val="clear" w:color="auto" w:fill="auto"/>
            <w:tcMar>
              <w:top w:w="0" w:type="dxa"/>
              <w:left w:w="20" w:type="dxa"/>
              <w:bottom w:w="0" w:type="dxa"/>
              <w:right w:w="20" w:type="dxa"/>
            </w:tcMar>
          </w:tcPr>
          <w:p w14:paraId="669C62C6" w14:textId="77777777" w:rsidR="00066C63" w:rsidRDefault="00066C63">
            <w:pPr>
              <w:rPr>
                <w:rFonts w:ascii="宋体"/>
              </w:rPr>
            </w:pPr>
          </w:p>
        </w:tc>
        <w:tc>
          <w:tcPr>
            <w:tcW w:w="0" w:type="auto"/>
            <w:gridSpan w:val="21"/>
            <w:tcBorders>
              <w:bottom w:val="single" w:sz="8" w:space="0" w:color="E87722"/>
            </w:tcBorders>
            <w:shd w:val="clear" w:color="auto" w:fill="auto"/>
            <w:tcMar>
              <w:top w:w="40" w:type="dxa"/>
              <w:left w:w="20" w:type="dxa"/>
              <w:bottom w:w="40" w:type="dxa"/>
              <w:right w:w="20" w:type="dxa"/>
            </w:tcMar>
            <w:vAlign w:val="bottom"/>
          </w:tcPr>
          <w:p w14:paraId="669C62C7" w14:textId="77777777" w:rsidR="00066C63" w:rsidRDefault="009656F6">
            <w:pPr>
              <w:jc w:val="center"/>
              <w:textAlignment w:val="bottom"/>
            </w:pPr>
            <w:r>
              <w:rPr>
                <w:rFonts w:ascii="sans-serif" w:eastAsia="sans-serif" w:hAnsi="sans-serif" w:cs="sans-serif"/>
                <w:b/>
                <w:bCs/>
                <w:color w:val="000000"/>
                <w:sz w:val="17"/>
                <w:szCs w:val="17"/>
              </w:rPr>
              <w:t>MAY 31, 2020</w:t>
            </w:r>
          </w:p>
        </w:tc>
      </w:tr>
      <w:tr w:rsidR="00066C63" w14:paraId="669C62CD" w14:textId="77777777">
        <w:tc>
          <w:tcPr>
            <w:tcW w:w="0" w:type="auto"/>
            <w:gridSpan w:val="3"/>
            <w:shd w:val="clear" w:color="auto" w:fill="auto"/>
            <w:tcMar>
              <w:top w:w="0" w:type="dxa"/>
              <w:left w:w="20" w:type="dxa"/>
              <w:bottom w:w="0" w:type="dxa"/>
              <w:right w:w="20" w:type="dxa"/>
            </w:tcMar>
          </w:tcPr>
          <w:p w14:paraId="669C62C9" w14:textId="77777777" w:rsidR="00066C63" w:rsidRDefault="00066C63">
            <w:pPr>
              <w:rPr>
                <w:rFonts w:ascii="宋体"/>
              </w:rPr>
            </w:pPr>
          </w:p>
        </w:tc>
        <w:tc>
          <w:tcPr>
            <w:tcW w:w="0" w:type="auto"/>
            <w:gridSpan w:val="9"/>
            <w:tcBorders>
              <w:top w:val="single" w:sz="8" w:space="0" w:color="E87722"/>
            </w:tcBorders>
            <w:shd w:val="clear" w:color="auto" w:fill="auto"/>
            <w:tcMar>
              <w:top w:w="40" w:type="dxa"/>
              <w:left w:w="20" w:type="dxa"/>
              <w:bottom w:w="40" w:type="dxa"/>
              <w:right w:w="20" w:type="dxa"/>
            </w:tcMar>
            <w:vAlign w:val="bottom"/>
          </w:tcPr>
          <w:p w14:paraId="669C62CA" w14:textId="77777777" w:rsidR="00066C63" w:rsidRDefault="009656F6">
            <w:pPr>
              <w:jc w:val="center"/>
              <w:textAlignment w:val="bottom"/>
            </w:pPr>
            <w:r>
              <w:rPr>
                <w:rFonts w:ascii="sans-serif" w:eastAsia="sans-serif" w:hAnsi="sans-serif" w:cs="sans-serif"/>
                <w:b/>
                <w:bCs/>
                <w:color w:val="000000"/>
                <w:sz w:val="17"/>
                <w:szCs w:val="17"/>
              </w:rPr>
              <w:t>DERIVATIVE ASSETS</w:t>
            </w:r>
          </w:p>
        </w:tc>
        <w:tc>
          <w:tcPr>
            <w:tcW w:w="0" w:type="auto"/>
            <w:gridSpan w:val="3"/>
            <w:tcBorders>
              <w:top w:val="single" w:sz="8" w:space="0" w:color="E87722"/>
            </w:tcBorders>
            <w:shd w:val="clear" w:color="auto" w:fill="auto"/>
            <w:tcMar>
              <w:top w:w="0" w:type="dxa"/>
              <w:left w:w="20" w:type="dxa"/>
              <w:bottom w:w="0" w:type="dxa"/>
              <w:right w:w="20" w:type="dxa"/>
            </w:tcMar>
          </w:tcPr>
          <w:p w14:paraId="669C62CB" w14:textId="77777777" w:rsidR="00066C63" w:rsidRDefault="00066C63">
            <w:pPr>
              <w:rPr>
                <w:rFonts w:ascii="宋体"/>
              </w:rPr>
            </w:pPr>
          </w:p>
        </w:tc>
        <w:tc>
          <w:tcPr>
            <w:tcW w:w="0" w:type="auto"/>
            <w:gridSpan w:val="9"/>
            <w:tcBorders>
              <w:top w:val="single" w:sz="8" w:space="0" w:color="E87722"/>
            </w:tcBorders>
            <w:shd w:val="clear" w:color="auto" w:fill="auto"/>
            <w:tcMar>
              <w:top w:w="40" w:type="dxa"/>
              <w:left w:w="20" w:type="dxa"/>
              <w:bottom w:w="40" w:type="dxa"/>
              <w:right w:w="20" w:type="dxa"/>
            </w:tcMar>
            <w:vAlign w:val="bottom"/>
          </w:tcPr>
          <w:p w14:paraId="669C62CC" w14:textId="77777777" w:rsidR="00066C63" w:rsidRDefault="009656F6">
            <w:pPr>
              <w:jc w:val="center"/>
              <w:textAlignment w:val="bottom"/>
            </w:pPr>
            <w:r>
              <w:rPr>
                <w:rFonts w:ascii="sans-serif" w:eastAsia="sans-serif" w:hAnsi="sans-serif" w:cs="sans-serif"/>
                <w:b/>
                <w:bCs/>
                <w:color w:val="000000"/>
                <w:sz w:val="17"/>
                <w:szCs w:val="17"/>
              </w:rPr>
              <w:t>DERIVATIVE LIABILITIES</w:t>
            </w:r>
          </w:p>
        </w:tc>
      </w:tr>
      <w:tr w:rsidR="00066C63" w14:paraId="669C62D6" w14:textId="77777777">
        <w:tc>
          <w:tcPr>
            <w:tcW w:w="0" w:type="auto"/>
            <w:gridSpan w:val="3"/>
            <w:shd w:val="clear" w:color="auto" w:fill="auto"/>
            <w:tcMar>
              <w:top w:w="40" w:type="dxa"/>
              <w:left w:w="20" w:type="dxa"/>
              <w:bottom w:w="40" w:type="dxa"/>
              <w:right w:w="20" w:type="dxa"/>
            </w:tcMar>
            <w:vAlign w:val="bottom"/>
          </w:tcPr>
          <w:p w14:paraId="669C62CE" w14:textId="77777777" w:rsidR="00066C63" w:rsidRDefault="009656F6">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2CF" w14:textId="77777777" w:rsidR="00066C63" w:rsidRDefault="009656F6">
            <w:pPr>
              <w:jc w:val="right"/>
              <w:textAlignment w:val="bottom"/>
            </w:pPr>
            <w:r>
              <w:rPr>
                <w:rFonts w:ascii="sans-serif" w:eastAsia="sans-serif" w:hAnsi="sans-serif" w:cs="sans-serif"/>
                <w:b/>
                <w:bCs/>
                <w:color w:val="000000"/>
                <w:sz w:val="17"/>
                <w:szCs w:val="17"/>
              </w:rPr>
              <w:t>ASSETS AT FAIR VALUE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2D0" w14:textId="77777777" w:rsidR="00066C63" w:rsidRDefault="009656F6">
            <w:pPr>
              <w:jc w:val="right"/>
              <w:textAlignment w:val="bottom"/>
            </w:pPr>
            <w:r>
              <w:rPr>
                <w:rFonts w:ascii="sans-serif" w:eastAsia="sans-serif" w:hAnsi="sans-serif" w:cs="sans-serif"/>
                <w:b/>
                <w:bCs/>
                <w:color w:val="000000"/>
                <w:sz w:val="17"/>
                <w:szCs w:val="17"/>
              </w:rPr>
              <w:t>OTHER CURRENT ASSETS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2D1" w14:textId="77777777" w:rsidR="00066C63" w:rsidRDefault="009656F6">
            <w:pPr>
              <w:jc w:val="right"/>
              <w:textAlignment w:val="bottom"/>
            </w:pPr>
            <w:r>
              <w:rPr>
                <w:rFonts w:ascii="sans-serif" w:eastAsia="sans-serif" w:hAnsi="sans-serif" w:cs="sans-serif"/>
                <w:b/>
                <w:bCs/>
                <w:color w:val="000000"/>
                <w:sz w:val="17"/>
                <w:szCs w:val="17"/>
              </w:rPr>
              <w:t>OTHER LONG-TERM ASSETS</w:t>
            </w:r>
          </w:p>
        </w:tc>
        <w:tc>
          <w:tcPr>
            <w:tcW w:w="0" w:type="auto"/>
            <w:gridSpan w:val="3"/>
            <w:shd w:val="clear" w:color="auto" w:fill="auto"/>
            <w:tcMar>
              <w:top w:w="0" w:type="dxa"/>
              <w:left w:w="20" w:type="dxa"/>
              <w:bottom w:w="0" w:type="dxa"/>
              <w:right w:w="20" w:type="dxa"/>
            </w:tcMar>
          </w:tcPr>
          <w:p w14:paraId="669C62D2" w14:textId="77777777" w:rsidR="00066C63" w:rsidRDefault="00066C63">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2D3" w14:textId="77777777" w:rsidR="00066C63" w:rsidRDefault="009656F6">
            <w:pPr>
              <w:jc w:val="right"/>
              <w:textAlignment w:val="bottom"/>
            </w:pPr>
            <w:r>
              <w:rPr>
                <w:rFonts w:ascii="sans-serif" w:eastAsia="sans-serif" w:hAnsi="sans-serif" w:cs="sans-serif"/>
                <w:b/>
                <w:bCs/>
                <w:color w:val="000000"/>
                <w:sz w:val="17"/>
                <w:szCs w:val="17"/>
              </w:rPr>
              <w:t>LIABILITIES AT FAIR VALUE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2D4" w14:textId="77777777" w:rsidR="00066C63" w:rsidRDefault="009656F6">
            <w:pPr>
              <w:jc w:val="right"/>
              <w:textAlignment w:val="bottom"/>
            </w:pPr>
            <w:r>
              <w:rPr>
                <w:rFonts w:ascii="sans-serif" w:eastAsia="sans-serif" w:hAnsi="sans-serif" w:cs="sans-serif"/>
                <w:b/>
                <w:bCs/>
                <w:color w:val="000000"/>
                <w:sz w:val="17"/>
                <w:szCs w:val="17"/>
              </w:rPr>
              <w:t>ACCRUED LIABILITIES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2D5" w14:textId="77777777" w:rsidR="00066C63" w:rsidRDefault="009656F6">
            <w:pPr>
              <w:jc w:val="right"/>
              <w:textAlignment w:val="bottom"/>
            </w:pPr>
            <w:r>
              <w:rPr>
                <w:rFonts w:ascii="sans-serif" w:eastAsia="sans-serif" w:hAnsi="sans-serif" w:cs="sans-serif"/>
                <w:b/>
                <w:bCs/>
                <w:color w:val="000000"/>
                <w:sz w:val="17"/>
                <w:szCs w:val="17"/>
              </w:rPr>
              <w:t xml:space="preserve">OTHER </w:t>
            </w:r>
            <w:r>
              <w:rPr>
                <w:rFonts w:ascii="sans-serif" w:eastAsia="sans-serif" w:hAnsi="sans-serif" w:cs="sans-serif"/>
                <w:b/>
                <w:bCs/>
                <w:color w:val="000000"/>
                <w:sz w:val="17"/>
                <w:szCs w:val="17"/>
              </w:rPr>
              <w:t>LONG-TERM LIABILITIES</w:t>
            </w:r>
          </w:p>
        </w:tc>
      </w:tr>
      <w:tr w:rsidR="00066C63" w14:paraId="669C62DF"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2D7" w14:textId="77777777" w:rsidR="00066C63" w:rsidRDefault="009656F6">
            <w:pPr>
              <w:textAlignment w:val="bottom"/>
            </w:pPr>
            <w:r>
              <w:rPr>
                <w:rFonts w:ascii="Arial" w:eastAsia="宋体" w:hAnsi="Arial" w:cs="Arial"/>
                <w:color w:val="000000"/>
                <w:sz w:val="17"/>
                <w:szCs w:val="17"/>
                <w:u w:val="single"/>
              </w:rPr>
              <w:t>Level 2:</w:t>
            </w:r>
          </w:p>
        </w:tc>
        <w:tc>
          <w:tcPr>
            <w:tcW w:w="0" w:type="auto"/>
            <w:gridSpan w:val="3"/>
            <w:tcBorders>
              <w:top w:val="single" w:sz="8" w:space="0" w:color="E87722"/>
            </w:tcBorders>
            <w:shd w:val="clear" w:color="auto" w:fill="auto"/>
            <w:tcMar>
              <w:top w:w="0" w:type="dxa"/>
              <w:left w:w="20" w:type="dxa"/>
              <w:bottom w:w="0" w:type="dxa"/>
              <w:right w:w="20" w:type="dxa"/>
            </w:tcMar>
          </w:tcPr>
          <w:p w14:paraId="669C62D8"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62D9"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62DA"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62DB"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62DC"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62DD"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62DE" w14:textId="77777777" w:rsidR="00066C63" w:rsidRDefault="00066C63">
            <w:pPr>
              <w:rPr>
                <w:rFonts w:ascii="宋体"/>
              </w:rPr>
            </w:pPr>
          </w:p>
        </w:tc>
      </w:tr>
      <w:tr w:rsidR="00066C63" w14:paraId="669C62F4"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62E0" w14:textId="77777777" w:rsidR="00066C63" w:rsidRDefault="009656F6">
            <w:pPr>
              <w:textAlignment w:val="bottom"/>
            </w:pPr>
            <w:r>
              <w:rPr>
                <w:rFonts w:ascii="Arial" w:eastAsia="宋体" w:hAnsi="Arial" w:cs="Arial"/>
                <w:color w:val="000000"/>
                <w:sz w:val="17"/>
                <w:szCs w:val="17"/>
              </w:rPr>
              <w:t>Foreign exchange forwards and options</w:t>
            </w:r>
            <w:r>
              <w:rPr>
                <w:rFonts w:ascii="Arial" w:eastAsia="宋体" w:hAnsi="Arial" w:cs="Arial"/>
                <w:color w:val="000000"/>
                <w:sz w:val="11"/>
                <w:szCs w:val="11"/>
              </w:rPr>
              <w:t>(1)</w:t>
            </w:r>
          </w:p>
        </w:tc>
        <w:tc>
          <w:tcPr>
            <w:tcW w:w="0" w:type="auto"/>
            <w:tcBorders>
              <w:top w:val="single" w:sz="8" w:space="0" w:color="808080"/>
            </w:tcBorders>
            <w:shd w:val="clear" w:color="auto" w:fill="auto"/>
            <w:tcMar>
              <w:top w:w="40" w:type="dxa"/>
              <w:left w:w="20" w:type="dxa"/>
              <w:bottom w:w="40" w:type="dxa"/>
              <w:right w:w="0" w:type="dxa"/>
            </w:tcMar>
            <w:vAlign w:val="bottom"/>
          </w:tcPr>
          <w:p w14:paraId="669C62E1"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669C62E2" w14:textId="77777777" w:rsidR="00066C63" w:rsidRDefault="009656F6">
            <w:pPr>
              <w:jc w:val="right"/>
              <w:textAlignment w:val="bottom"/>
            </w:pPr>
            <w:r>
              <w:rPr>
                <w:rFonts w:ascii="Arial" w:eastAsia="宋体" w:hAnsi="Arial" w:cs="Arial"/>
                <w:color w:val="000000"/>
                <w:sz w:val="17"/>
                <w:szCs w:val="17"/>
              </w:rPr>
              <w:t>94 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2E3" w14:textId="77777777" w:rsidR="00066C63" w:rsidRDefault="00066C63">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669C62E4"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669C62E5" w14:textId="77777777" w:rsidR="00066C63" w:rsidRDefault="009656F6">
            <w:pPr>
              <w:jc w:val="right"/>
              <w:textAlignment w:val="bottom"/>
            </w:pPr>
            <w:r>
              <w:rPr>
                <w:rFonts w:ascii="Arial" w:eastAsia="宋体" w:hAnsi="Arial" w:cs="Arial"/>
                <w:color w:val="000000"/>
                <w:sz w:val="17"/>
                <w:szCs w:val="17"/>
              </w:rPr>
              <w:t>91 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2E6" w14:textId="77777777" w:rsidR="00066C63" w:rsidRDefault="00066C63">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669C62E7"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669C62E8" w14:textId="77777777" w:rsidR="00066C63" w:rsidRDefault="009656F6">
            <w:pPr>
              <w:jc w:val="right"/>
              <w:textAlignment w:val="bottom"/>
            </w:pPr>
            <w:r>
              <w:rPr>
                <w:rFonts w:ascii="Arial" w:eastAsia="宋体" w:hAnsi="Arial" w:cs="Arial"/>
                <w:color w:val="000000"/>
                <w:sz w:val="17"/>
                <w:szCs w:val="17"/>
              </w:rPr>
              <w:t>3 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2E9" w14:textId="77777777" w:rsidR="00066C63" w:rsidRDefault="00066C63">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62EA" w14:textId="77777777" w:rsidR="00066C63" w:rsidRDefault="00066C63">
            <w:pPr>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669C62EB"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669C62EC" w14:textId="77777777" w:rsidR="00066C63" w:rsidRDefault="009656F6">
            <w:pPr>
              <w:jc w:val="right"/>
              <w:textAlignment w:val="bottom"/>
            </w:pPr>
            <w:r>
              <w:rPr>
                <w:rFonts w:ascii="Arial" w:eastAsia="宋体" w:hAnsi="Arial" w:cs="Arial"/>
                <w:color w:val="000000"/>
                <w:sz w:val="17"/>
                <w:szCs w:val="17"/>
              </w:rPr>
              <w:t>205 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2ED" w14:textId="77777777" w:rsidR="00066C63" w:rsidRDefault="00066C63">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669C62EE"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669C62EF" w14:textId="77777777" w:rsidR="00066C63" w:rsidRDefault="009656F6">
            <w:pPr>
              <w:jc w:val="right"/>
              <w:textAlignment w:val="bottom"/>
            </w:pPr>
            <w:r>
              <w:rPr>
                <w:rFonts w:ascii="Arial" w:eastAsia="宋体" w:hAnsi="Arial" w:cs="Arial"/>
                <w:color w:val="000000"/>
                <w:sz w:val="17"/>
                <w:szCs w:val="17"/>
              </w:rPr>
              <w:t>188 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2F0" w14:textId="77777777" w:rsidR="00066C63" w:rsidRDefault="00066C63">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669C62F1"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669C62F2" w14:textId="77777777" w:rsidR="00066C63" w:rsidRDefault="009656F6">
            <w:pPr>
              <w:jc w:val="right"/>
              <w:textAlignment w:val="bottom"/>
            </w:pPr>
            <w:r>
              <w:rPr>
                <w:rFonts w:ascii="Arial" w:eastAsia="宋体" w:hAnsi="Arial" w:cs="Arial"/>
                <w:color w:val="000000"/>
                <w:sz w:val="17"/>
                <w:szCs w:val="17"/>
              </w:rPr>
              <w:t>17 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2F3" w14:textId="77777777" w:rsidR="00066C63" w:rsidRDefault="00066C63">
            <w:pPr>
              <w:jc w:val="right"/>
              <w:rPr>
                <w:rFonts w:ascii="宋体"/>
              </w:rPr>
            </w:pPr>
          </w:p>
        </w:tc>
      </w:tr>
      <w:tr w:rsidR="00066C63" w14:paraId="669C6303"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62F5" w14:textId="77777777" w:rsidR="00066C63" w:rsidRDefault="009656F6">
            <w:pPr>
              <w:textAlignment w:val="bottom"/>
            </w:pPr>
            <w:r>
              <w:rPr>
                <w:rFonts w:ascii="Arial" w:eastAsia="宋体" w:hAnsi="Arial" w:cs="Arial"/>
                <w:color w:val="000000"/>
                <w:sz w:val="17"/>
                <w:szCs w:val="17"/>
              </w:rPr>
              <w:t>Embedded derivatives</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2F6" w14:textId="77777777" w:rsidR="00066C63" w:rsidRDefault="009656F6">
            <w:pPr>
              <w:jc w:val="right"/>
              <w:textAlignment w:val="bottom"/>
            </w:pPr>
            <w:r>
              <w:rPr>
                <w:rFonts w:ascii="Arial" w:eastAsia="宋体" w:hAnsi="Arial" w:cs="Arial"/>
                <w:color w:val="000000"/>
                <w:sz w:val="17"/>
                <w:szCs w:val="17"/>
              </w:rPr>
              <w:t>1 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2F7"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2F8" w14:textId="77777777" w:rsidR="00066C63" w:rsidRDefault="009656F6">
            <w:pPr>
              <w:jc w:val="right"/>
              <w:textAlignment w:val="bottom"/>
            </w:pPr>
            <w:r>
              <w:rPr>
                <w:rFonts w:ascii="Arial" w:eastAsia="宋体" w:hAnsi="Arial" w:cs="Arial"/>
                <w:color w:val="000000"/>
                <w:sz w:val="17"/>
                <w:szCs w:val="17"/>
              </w:rPr>
              <w:t>1 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2F9"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2FA" w14:textId="77777777" w:rsidR="00066C63" w:rsidRDefault="009656F6">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2FB" w14:textId="77777777" w:rsidR="00066C63" w:rsidRDefault="00066C63">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62FC" w14:textId="77777777" w:rsidR="00066C63" w:rsidRDefault="00066C63">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2FD" w14:textId="77777777" w:rsidR="00066C63" w:rsidRDefault="009656F6">
            <w:pPr>
              <w:jc w:val="right"/>
              <w:textAlignment w:val="bottom"/>
            </w:pPr>
            <w:r>
              <w:rPr>
                <w:rFonts w:ascii="Arial" w:eastAsia="宋体" w:hAnsi="Arial" w:cs="Arial"/>
                <w:color w:val="000000"/>
                <w:sz w:val="17"/>
                <w:szCs w:val="17"/>
              </w:rPr>
              <w:t>2 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2FE"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2FF" w14:textId="77777777" w:rsidR="00066C63" w:rsidRDefault="009656F6">
            <w:pPr>
              <w:jc w:val="right"/>
              <w:textAlignment w:val="bottom"/>
            </w:pPr>
            <w:r>
              <w:rPr>
                <w:rFonts w:ascii="Arial" w:eastAsia="宋体" w:hAnsi="Arial" w:cs="Arial"/>
                <w:color w:val="000000"/>
                <w:sz w:val="17"/>
                <w:szCs w:val="17"/>
              </w:rPr>
              <w:t>2 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300"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301" w14:textId="77777777" w:rsidR="00066C63" w:rsidRDefault="009656F6">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302" w14:textId="77777777" w:rsidR="00066C63" w:rsidRDefault="00066C63">
            <w:pPr>
              <w:jc w:val="right"/>
              <w:rPr>
                <w:rFonts w:ascii="宋体"/>
              </w:rPr>
            </w:pPr>
          </w:p>
        </w:tc>
      </w:tr>
      <w:tr w:rsidR="00066C63" w14:paraId="669C6318"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669C6304" w14:textId="77777777" w:rsidR="00066C63" w:rsidRDefault="009656F6">
            <w:pPr>
              <w:textAlignment w:val="bottom"/>
            </w:pPr>
            <w:r>
              <w:rPr>
                <w:rFonts w:ascii="Arial" w:eastAsia="宋体" w:hAnsi="Arial" w:cs="Arial"/>
                <w:b/>
                <w:bCs/>
                <w:color w:val="000000"/>
                <w:sz w:val="17"/>
                <w:szCs w:val="17"/>
              </w:rPr>
              <w:t>TOTAL</w:t>
            </w: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69C6305"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69C6306" w14:textId="77777777" w:rsidR="00066C63" w:rsidRDefault="009656F6">
            <w:pPr>
              <w:jc w:val="right"/>
              <w:textAlignment w:val="bottom"/>
            </w:pPr>
            <w:r>
              <w:rPr>
                <w:rFonts w:ascii="Arial" w:eastAsia="宋体" w:hAnsi="Arial" w:cs="Arial"/>
                <w:b/>
                <w:bCs/>
                <w:color w:val="000000"/>
                <w:sz w:val="17"/>
                <w:szCs w:val="17"/>
              </w:rPr>
              <w:t>95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69C6307" w14:textId="77777777" w:rsidR="00066C63" w:rsidRDefault="00066C63">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69C6308"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69C6309" w14:textId="77777777" w:rsidR="00066C63" w:rsidRDefault="009656F6">
            <w:pPr>
              <w:jc w:val="right"/>
              <w:textAlignment w:val="bottom"/>
            </w:pPr>
            <w:r>
              <w:rPr>
                <w:rFonts w:ascii="Arial" w:eastAsia="宋体" w:hAnsi="Arial" w:cs="Arial"/>
                <w:b/>
                <w:bCs/>
                <w:color w:val="000000"/>
                <w:sz w:val="17"/>
                <w:szCs w:val="17"/>
              </w:rPr>
              <w:t>92</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69C630A" w14:textId="77777777" w:rsidR="00066C63" w:rsidRDefault="00066C63">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69C630B"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69C630C" w14:textId="77777777" w:rsidR="00066C63" w:rsidRDefault="009656F6">
            <w:pPr>
              <w:jc w:val="right"/>
              <w:textAlignment w:val="bottom"/>
            </w:pPr>
            <w:r>
              <w:rPr>
                <w:rFonts w:ascii="Arial" w:eastAsia="宋体" w:hAnsi="Arial" w:cs="Arial"/>
                <w:b/>
                <w:bCs/>
                <w:color w:val="000000"/>
                <w:sz w:val="17"/>
                <w:szCs w:val="17"/>
              </w:rPr>
              <w:t>3</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69C630D" w14:textId="77777777" w:rsidR="00066C63" w:rsidRDefault="00066C63">
            <w:pPr>
              <w:jc w:val="right"/>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tcPr>
          <w:p w14:paraId="669C630E" w14:textId="77777777" w:rsidR="00066C63" w:rsidRDefault="00066C63">
            <w:pPr>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69C630F"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69C6310" w14:textId="77777777" w:rsidR="00066C63" w:rsidRDefault="009656F6">
            <w:pPr>
              <w:jc w:val="right"/>
              <w:textAlignment w:val="bottom"/>
            </w:pPr>
            <w:r>
              <w:rPr>
                <w:rFonts w:ascii="Arial" w:eastAsia="宋体" w:hAnsi="Arial" w:cs="Arial"/>
                <w:b/>
                <w:bCs/>
                <w:color w:val="000000"/>
                <w:sz w:val="17"/>
                <w:szCs w:val="17"/>
              </w:rPr>
              <w:t>207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69C6311" w14:textId="77777777" w:rsidR="00066C63" w:rsidRDefault="00066C63">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69C6312"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69C6313" w14:textId="77777777" w:rsidR="00066C63" w:rsidRDefault="009656F6">
            <w:pPr>
              <w:jc w:val="right"/>
              <w:textAlignment w:val="bottom"/>
            </w:pPr>
            <w:r>
              <w:rPr>
                <w:rFonts w:ascii="Arial" w:eastAsia="宋体" w:hAnsi="Arial" w:cs="Arial"/>
                <w:b/>
                <w:bCs/>
                <w:color w:val="000000"/>
                <w:sz w:val="17"/>
                <w:szCs w:val="17"/>
              </w:rPr>
              <w:t>190</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69C6314" w14:textId="77777777" w:rsidR="00066C63" w:rsidRDefault="00066C63">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69C6315"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69C6316" w14:textId="77777777" w:rsidR="00066C63" w:rsidRDefault="009656F6">
            <w:pPr>
              <w:jc w:val="right"/>
              <w:textAlignment w:val="bottom"/>
            </w:pPr>
            <w:r>
              <w:rPr>
                <w:rFonts w:ascii="Arial" w:eastAsia="宋体" w:hAnsi="Arial" w:cs="Arial"/>
                <w:b/>
                <w:bCs/>
                <w:color w:val="000000"/>
                <w:sz w:val="17"/>
                <w:szCs w:val="17"/>
              </w:rPr>
              <w:t>17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69C6317" w14:textId="77777777" w:rsidR="00066C63" w:rsidRDefault="00066C63">
            <w:pPr>
              <w:jc w:val="right"/>
              <w:rPr>
                <w:rFonts w:ascii="宋体"/>
              </w:rPr>
            </w:pPr>
          </w:p>
        </w:tc>
      </w:tr>
    </w:tbl>
    <w:p w14:paraId="669C6319" w14:textId="77777777" w:rsidR="00066C63" w:rsidRDefault="009656F6">
      <w:pPr>
        <w:spacing w:before="60" w:after="60"/>
        <w:ind w:hanging="360"/>
      </w:pPr>
      <w:r>
        <w:rPr>
          <w:rFonts w:ascii="Arial" w:eastAsia="宋体" w:hAnsi="Arial" w:cs="Arial"/>
          <w:i/>
          <w:iCs/>
          <w:color w:val="000000"/>
          <w:sz w:val="14"/>
          <w:szCs w:val="14"/>
        </w:rPr>
        <w:t>(1)If the foreign exchange derivative instruments had been netted on th</w:t>
      </w:r>
      <w:r>
        <w:rPr>
          <w:rFonts w:ascii="Arial" w:eastAsia="宋体" w:hAnsi="Arial" w:cs="Arial"/>
          <w:i/>
          <w:iCs/>
          <w:color w:val="000000"/>
          <w:sz w:val="14"/>
          <w:szCs w:val="14"/>
        </w:rPr>
        <w:t>e Consolidated Balance Sheets, the asset and liability positions each would have been reduced by $76 million as of May 31, 2020. As of that date, no amount of cash collateral had been received or posted on the derivative asset and liability balances relate</w:t>
      </w:r>
      <w:r>
        <w:rPr>
          <w:rFonts w:ascii="Arial" w:eastAsia="宋体" w:hAnsi="Arial" w:cs="Arial"/>
          <w:i/>
          <w:iCs/>
          <w:color w:val="000000"/>
          <w:sz w:val="14"/>
          <w:szCs w:val="14"/>
        </w:rPr>
        <w:t>d to these foreign exchange derivative instruments.</w:t>
      </w:r>
    </w:p>
    <w:p w14:paraId="669C631A" w14:textId="77777777" w:rsidR="00066C63" w:rsidRDefault="009656F6">
      <w:pPr>
        <w:spacing w:before="120" w:after="120"/>
      </w:pPr>
      <w:r>
        <w:rPr>
          <w:rFonts w:ascii="Arial" w:eastAsia="宋体" w:hAnsi="Arial" w:cs="Arial"/>
          <w:color w:val="000000"/>
          <w:sz w:val="17"/>
          <w:szCs w:val="17"/>
        </w:rPr>
        <w:t xml:space="preserve">For additional information related to the Company's derivative financial instruments and credit risk, refer to Note 9 — Risk Management and Derivatives. </w:t>
      </w:r>
    </w:p>
    <w:p w14:paraId="669C631B" w14:textId="77777777" w:rsidR="00066C63" w:rsidRDefault="009656F6">
      <w:pPr>
        <w:spacing w:before="120" w:after="120"/>
      </w:pPr>
      <w:r>
        <w:rPr>
          <w:rFonts w:ascii="Arial" w:eastAsia="宋体" w:hAnsi="Arial" w:cs="Arial"/>
          <w:color w:val="000000"/>
          <w:sz w:val="17"/>
          <w:szCs w:val="17"/>
        </w:rPr>
        <w:t>The carrying amounts of other current financial as</w:t>
      </w:r>
      <w:r>
        <w:rPr>
          <w:rFonts w:ascii="Arial" w:eastAsia="宋体" w:hAnsi="Arial" w:cs="Arial"/>
          <w:color w:val="000000"/>
          <w:sz w:val="17"/>
          <w:szCs w:val="17"/>
        </w:rPr>
        <w:t xml:space="preserve">sets and other current financial liabilities approximate fair value. </w:t>
      </w:r>
    </w:p>
    <w:p w14:paraId="669C631C" w14:textId="77777777" w:rsidR="00066C63" w:rsidRDefault="009656F6">
      <w:pPr>
        <w:spacing w:before="240" w:after="120"/>
      </w:pPr>
      <w:r>
        <w:rPr>
          <w:rFonts w:ascii="sans-serif" w:eastAsia="sans-serif" w:hAnsi="sans-serif" w:cs="sans-serif"/>
          <w:b/>
          <w:bCs/>
          <w:color w:val="000000"/>
          <w:sz w:val="28"/>
          <w:szCs w:val="28"/>
        </w:rPr>
        <w:t>FINANCIAL ASSETS AND LIABILITIES NOT RECORDED AT FAIR VALUE</w:t>
      </w:r>
    </w:p>
    <w:p w14:paraId="669C631D" w14:textId="77777777" w:rsidR="00066C63" w:rsidRDefault="009656F6">
      <w:pPr>
        <w:spacing w:before="120" w:after="120"/>
      </w:pPr>
      <w:r>
        <w:rPr>
          <w:rFonts w:ascii="Arial" w:eastAsia="宋体" w:hAnsi="Arial" w:cs="Arial"/>
          <w:color w:val="000000"/>
          <w:sz w:val="17"/>
          <w:szCs w:val="17"/>
        </w:rPr>
        <w:t>Long-term debt</w:t>
      </w:r>
      <w:r>
        <w:rPr>
          <w:rFonts w:ascii="Arial" w:eastAsia="宋体" w:hAnsi="Arial" w:cs="Arial"/>
          <w:i/>
          <w:iCs/>
          <w:color w:val="000000"/>
          <w:sz w:val="17"/>
          <w:szCs w:val="17"/>
        </w:rPr>
        <w:t xml:space="preserve"> </w:t>
      </w:r>
      <w:r>
        <w:rPr>
          <w:rFonts w:ascii="Arial" w:eastAsia="宋体" w:hAnsi="Arial" w:cs="Arial"/>
          <w:color w:val="000000"/>
          <w:sz w:val="17"/>
          <w:szCs w:val="17"/>
        </w:rPr>
        <w:t>is recorded at adjusted cost, net of unamortized premiums, discounts and debt issuance costs. The fair value of</w:t>
      </w:r>
      <w:r>
        <w:rPr>
          <w:rFonts w:ascii="Arial" w:eastAsia="宋体" w:hAnsi="Arial" w:cs="Arial"/>
          <w:color w:val="000000"/>
          <w:sz w:val="17"/>
          <w:szCs w:val="17"/>
        </w:rPr>
        <w:t xml:space="preserve"> Long-term debt</w:t>
      </w:r>
      <w:r>
        <w:rPr>
          <w:rFonts w:ascii="Arial" w:eastAsia="宋体" w:hAnsi="Arial" w:cs="Arial"/>
          <w:i/>
          <w:iCs/>
          <w:color w:val="000000"/>
          <w:sz w:val="17"/>
          <w:szCs w:val="17"/>
        </w:rPr>
        <w:t xml:space="preserve"> </w:t>
      </w:r>
      <w:r>
        <w:rPr>
          <w:rFonts w:ascii="Arial" w:eastAsia="宋体" w:hAnsi="Arial" w:cs="Arial"/>
          <w:color w:val="000000"/>
          <w:sz w:val="17"/>
          <w:szCs w:val="17"/>
        </w:rPr>
        <w:t>is estimated based upon quoted prices for similar instruments or quoted prices for identical instruments in inactive markets (Level 2). The fair value of the Company’s Long-term debt, including the current portion, was approximately $10,320</w:t>
      </w:r>
      <w:r>
        <w:rPr>
          <w:rFonts w:ascii="Arial" w:eastAsia="宋体" w:hAnsi="Arial" w:cs="Arial"/>
          <w:color w:val="000000"/>
          <w:sz w:val="17"/>
          <w:szCs w:val="17"/>
        </w:rPr>
        <w:t xml:space="preserve"> million at February 28, 2021 and $10,645 million at May 31, 2020.</w:t>
      </w:r>
    </w:p>
    <w:p w14:paraId="669C631E" w14:textId="77777777" w:rsidR="00066C63" w:rsidRDefault="009656F6">
      <w:pPr>
        <w:spacing w:before="120" w:after="120"/>
      </w:pPr>
      <w:r>
        <w:rPr>
          <w:rFonts w:ascii="Arial" w:eastAsia="宋体" w:hAnsi="Arial" w:cs="Arial"/>
          <w:color w:val="000000"/>
          <w:sz w:val="17"/>
          <w:szCs w:val="17"/>
        </w:rPr>
        <w:t>For fair value information regarding Notes payable, refer to Note 5 — Short-Term Borrowings and Credit Lines.</w:t>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066C63" w14:paraId="669C6322" w14:textId="77777777">
        <w:tc>
          <w:tcPr>
            <w:tcW w:w="50" w:type="pct"/>
            <w:shd w:val="clear" w:color="auto" w:fill="auto"/>
          </w:tcPr>
          <w:p w14:paraId="669C631F" w14:textId="77777777" w:rsidR="00066C63" w:rsidRDefault="00066C63">
            <w:pPr>
              <w:rPr>
                <w:rFonts w:ascii="宋体"/>
              </w:rPr>
            </w:pPr>
          </w:p>
        </w:tc>
        <w:tc>
          <w:tcPr>
            <w:tcW w:w="4945" w:type="pct"/>
            <w:shd w:val="clear" w:color="auto" w:fill="auto"/>
          </w:tcPr>
          <w:p w14:paraId="669C6320" w14:textId="77777777" w:rsidR="00066C63" w:rsidRDefault="00066C63">
            <w:pPr>
              <w:rPr>
                <w:rFonts w:ascii="宋体"/>
              </w:rPr>
            </w:pPr>
          </w:p>
        </w:tc>
        <w:tc>
          <w:tcPr>
            <w:tcW w:w="5" w:type="pct"/>
            <w:shd w:val="clear" w:color="auto" w:fill="auto"/>
          </w:tcPr>
          <w:p w14:paraId="669C6321" w14:textId="77777777" w:rsidR="00066C63" w:rsidRDefault="00066C63">
            <w:pPr>
              <w:rPr>
                <w:rFonts w:ascii="宋体"/>
              </w:rPr>
            </w:pPr>
          </w:p>
        </w:tc>
      </w:tr>
      <w:tr w:rsidR="00066C63" w14:paraId="669C6324" w14:textId="77777777">
        <w:tc>
          <w:tcPr>
            <w:tcW w:w="0" w:type="auto"/>
            <w:gridSpan w:val="3"/>
            <w:shd w:val="clear" w:color="auto" w:fill="auto"/>
            <w:tcMar>
              <w:top w:w="40" w:type="dxa"/>
              <w:left w:w="20" w:type="dxa"/>
              <w:bottom w:w="40" w:type="dxa"/>
              <w:right w:w="20" w:type="dxa"/>
            </w:tcMar>
            <w:vAlign w:val="bottom"/>
          </w:tcPr>
          <w:p w14:paraId="669C6323" w14:textId="77777777" w:rsidR="00066C63" w:rsidRDefault="009656F6">
            <w:pPr>
              <w:textAlignment w:val="bottom"/>
            </w:pPr>
            <w:r>
              <w:rPr>
                <w:rFonts w:ascii="sans-serif" w:eastAsia="sans-serif" w:hAnsi="sans-serif" w:cs="sans-serif"/>
                <w:b/>
                <w:bCs/>
                <w:color w:val="E87722"/>
                <w:sz w:val="36"/>
                <w:szCs w:val="36"/>
              </w:rPr>
              <w:t>NOTE 5 — SHORT-TERM BORROWINGS AND CREDIT LINES</w:t>
            </w:r>
          </w:p>
        </w:tc>
      </w:tr>
    </w:tbl>
    <w:p w14:paraId="669C6325" w14:textId="77777777" w:rsidR="00066C63" w:rsidRDefault="009656F6">
      <w:pPr>
        <w:spacing w:before="120" w:after="120"/>
      </w:pPr>
      <w:r>
        <w:rPr>
          <w:rFonts w:ascii="Arial" w:eastAsia="宋体" w:hAnsi="Arial" w:cs="Arial"/>
          <w:color w:val="000000"/>
          <w:sz w:val="17"/>
          <w:szCs w:val="17"/>
        </w:rPr>
        <w:t xml:space="preserve">The carrying amounts reflected on the Unaudited Condensed Consolidated Balance Sheets for Notes payable approximate fair value. </w:t>
      </w:r>
    </w:p>
    <w:p w14:paraId="669C6326" w14:textId="77777777" w:rsidR="00066C63" w:rsidRDefault="009656F6">
      <w:pPr>
        <w:spacing w:before="120" w:after="120"/>
      </w:pPr>
      <w:r>
        <w:rPr>
          <w:rFonts w:ascii="Arial" w:eastAsia="宋体" w:hAnsi="Arial" w:cs="Arial"/>
          <w:color w:val="000000"/>
          <w:sz w:val="17"/>
          <w:szCs w:val="17"/>
        </w:rPr>
        <w:t>As of February 28, 2021, the Company had no borrowings outstanding under its $4 billion commercial paper program. As of May 31,</w:t>
      </w:r>
      <w:r>
        <w:rPr>
          <w:rFonts w:ascii="Arial" w:eastAsia="宋体" w:hAnsi="Arial" w:cs="Arial"/>
          <w:color w:val="000000"/>
          <w:sz w:val="17"/>
          <w:szCs w:val="17"/>
        </w:rPr>
        <w:t xml:space="preserve"> 2020, the Company had $248 million of borrowings outstanding at a weighted average interest rate of 1.65% under its $4 billion commercial paper program. Commercial paper repayments with original maturities greater than three months are included in Repayme</w:t>
      </w:r>
      <w:r>
        <w:rPr>
          <w:rFonts w:ascii="Arial" w:eastAsia="宋体" w:hAnsi="Arial" w:cs="Arial"/>
          <w:color w:val="000000"/>
          <w:sz w:val="17"/>
          <w:szCs w:val="17"/>
        </w:rPr>
        <w:t>nt of borrowings on the Unaudited Condensed Consolidated Statements of Cash Flows.</w:t>
      </w:r>
    </w:p>
    <w:p w14:paraId="669C6327" w14:textId="77777777" w:rsidR="00066C63" w:rsidRDefault="009656F6">
      <w:pPr>
        <w:spacing w:before="120" w:after="120"/>
      </w:pPr>
      <w:r>
        <w:rPr>
          <w:rFonts w:ascii="Arial" w:eastAsia="宋体" w:hAnsi="Arial" w:cs="Arial"/>
          <w:color w:val="000000"/>
          <w:sz w:val="17"/>
          <w:szCs w:val="17"/>
        </w:rPr>
        <w:t xml:space="preserve">On March 15, 2021, subsequent to the end of the third quarter of fiscal 2021, the Company entered into a committed credit facility agreement with a syndicate of banks which </w:t>
      </w:r>
      <w:r>
        <w:rPr>
          <w:rFonts w:ascii="Arial" w:eastAsia="宋体" w:hAnsi="Arial" w:cs="Arial"/>
          <w:color w:val="000000"/>
          <w:sz w:val="17"/>
          <w:szCs w:val="17"/>
        </w:rPr>
        <w:t>provides for up to $1 billion of borrowings, with the option to increase borrowings up to $1.5 billion in total upon lender approval. The facility matures on March 14, 2022, with a 364-day extension option up to 30 days prior to the existing termination da</w:t>
      </w:r>
      <w:r>
        <w:rPr>
          <w:rFonts w:ascii="Arial" w:eastAsia="宋体" w:hAnsi="Arial" w:cs="Arial"/>
          <w:color w:val="000000"/>
          <w:sz w:val="17"/>
          <w:szCs w:val="17"/>
        </w:rPr>
        <w:t>te, provided that in no event shall it extend beyond March 13, 2023. This facility replaces the prior $2 billion credit facility agreement entered into on April 6, 2020, which would have matured on April 5, 2021. Based on the Company's current long-term se</w:t>
      </w:r>
      <w:r>
        <w:rPr>
          <w:rFonts w:ascii="Arial" w:eastAsia="宋体" w:hAnsi="Arial" w:cs="Arial"/>
          <w:color w:val="000000"/>
          <w:sz w:val="17"/>
          <w:szCs w:val="17"/>
        </w:rPr>
        <w:t>nior unsecured debt ratings of AA- and A1 from Standard and Poor's Corporation and Moody's Investor Services, respectively, the interest rate charged on any outstanding borrowings would be the prevailing London Interbank Offered Rate (LIBOR) plus 0.50%. Th</w:t>
      </w:r>
      <w:r>
        <w:rPr>
          <w:rFonts w:ascii="Arial" w:eastAsia="宋体" w:hAnsi="Arial" w:cs="Arial"/>
          <w:color w:val="000000"/>
          <w:sz w:val="17"/>
          <w:szCs w:val="17"/>
        </w:rPr>
        <w:t xml:space="preserve">e facility fee is 0.03% of the total undrawn commitment. Additionally, the Company decreased its $4 billion commercial paper program to $3 billion in connection with the new credit facility agreement. As of April 2, 2021, no amounts were outstanding under </w:t>
      </w:r>
      <w:r>
        <w:rPr>
          <w:rFonts w:ascii="Arial" w:eastAsia="宋体" w:hAnsi="Arial" w:cs="Arial"/>
          <w:color w:val="000000"/>
          <w:sz w:val="17"/>
          <w:szCs w:val="17"/>
        </w:rPr>
        <w:t>this committed credit facility and there were no borrowings under the commercial paper program.</w:t>
      </w:r>
    </w:p>
    <w:p w14:paraId="669C6328" w14:textId="77777777" w:rsidR="00066C63" w:rsidRDefault="009656F6">
      <w:pPr>
        <w:spacing w:before="120" w:after="120"/>
      </w:pPr>
      <w:r>
        <w:rPr>
          <w:rFonts w:ascii="Arial" w:eastAsia="宋体" w:hAnsi="Arial" w:cs="Arial"/>
          <w:color w:val="000000"/>
          <w:sz w:val="17"/>
          <w:szCs w:val="17"/>
        </w:rPr>
        <w:t>There have been no other changes to the credit lines reported in the Company's Annual Report on Form 10-K for the fiscal year ended May 31, 2020.</w:t>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066C63" w14:paraId="669C632C" w14:textId="77777777">
        <w:tc>
          <w:tcPr>
            <w:tcW w:w="50" w:type="pct"/>
            <w:shd w:val="clear" w:color="auto" w:fill="auto"/>
          </w:tcPr>
          <w:p w14:paraId="669C6329" w14:textId="77777777" w:rsidR="00066C63" w:rsidRDefault="00066C63">
            <w:pPr>
              <w:rPr>
                <w:rFonts w:ascii="宋体"/>
              </w:rPr>
            </w:pPr>
          </w:p>
        </w:tc>
        <w:tc>
          <w:tcPr>
            <w:tcW w:w="4945" w:type="pct"/>
            <w:shd w:val="clear" w:color="auto" w:fill="auto"/>
          </w:tcPr>
          <w:p w14:paraId="669C632A" w14:textId="77777777" w:rsidR="00066C63" w:rsidRDefault="00066C63">
            <w:pPr>
              <w:rPr>
                <w:rFonts w:ascii="宋体"/>
              </w:rPr>
            </w:pPr>
          </w:p>
        </w:tc>
        <w:tc>
          <w:tcPr>
            <w:tcW w:w="5" w:type="pct"/>
            <w:shd w:val="clear" w:color="auto" w:fill="auto"/>
          </w:tcPr>
          <w:p w14:paraId="669C632B" w14:textId="77777777" w:rsidR="00066C63" w:rsidRDefault="00066C63">
            <w:pPr>
              <w:rPr>
                <w:rFonts w:ascii="宋体"/>
              </w:rPr>
            </w:pPr>
          </w:p>
        </w:tc>
      </w:tr>
      <w:tr w:rsidR="00066C63" w14:paraId="669C632E" w14:textId="77777777">
        <w:tc>
          <w:tcPr>
            <w:tcW w:w="0" w:type="auto"/>
            <w:gridSpan w:val="3"/>
            <w:shd w:val="clear" w:color="auto" w:fill="auto"/>
            <w:tcMar>
              <w:top w:w="40" w:type="dxa"/>
              <w:left w:w="20" w:type="dxa"/>
              <w:bottom w:w="40" w:type="dxa"/>
              <w:right w:w="20" w:type="dxa"/>
            </w:tcMar>
            <w:vAlign w:val="bottom"/>
          </w:tcPr>
          <w:p w14:paraId="669C632D" w14:textId="77777777" w:rsidR="00066C63" w:rsidRDefault="009656F6">
            <w:pPr>
              <w:textAlignment w:val="bottom"/>
            </w:pPr>
            <w:r>
              <w:rPr>
                <w:rFonts w:ascii="sans-serif" w:eastAsia="sans-serif" w:hAnsi="sans-serif" w:cs="sans-serif"/>
                <w:b/>
                <w:bCs/>
                <w:color w:val="E87722"/>
                <w:sz w:val="36"/>
                <w:szCs w:val="36"/>
              </w:rPr>
              <w:t>NOTE 6 — I</w:t>
            </w:r>
            <w:r>
              <w:rPr>
                <w:rFonts w:ascii="sans-serif" w:eastAsia="sans-serif" w:hAnsi="sans-serif" w:cs="sans-serif"/>
                <w:b/>
                <w:bCs/>
                <w:color w:val="E87722"/>
                <w:sz w:val="36"/>
                <w:szCs w:val="36"/>
              </w:rPr>
              <w:t>NCOME TAXES</w:t>
            </w:r>
          </w:p>
        </w:tc>
      </w:tr>
    </w:tbl>
    <w:p w14:paraId="669C632F" w14:textId="77777777" w:rsidR="00066C63" w:rsidRDefault="009656F6">
      <w:r>
        <w:rPr>
          <w:rFonts w:ascii="Arial" w:eastAsia="宋体" w:hAnsi="Arial" w:cs="Arial"/>
          <w:color w:val="000000"/>
          <w:sz w:val="17"/>
          <w:szCs w:val="17"/>
        </w:rPr>
        <w:t>The effective tax rate was 12.3% and 9.8% for the nine months ended February 28, 2021 and February 29, 2020, respectively. The increase in the Company's effective tax rate was due to a shift in the proportion of earnings taxed in the U.S., in part due to t</w:t>
      </w:r>
      <w:r>
        <w:rPr>
          <w:rFonts w:ascii="Arial" w:eastAsia="宋体" w:hAnsi="Arial" w:cs="Arial"/>
          <w:color w:val="000000"/>
          <w:sz w:val="17"/>
          <w:szCs w:val="17"/>
        </w:rPr>
        <w:t xml:space="preserve">he impact of the COVID-19 pandemic and less favorable impacts from discrete items, such as a modification of the treatment of certain research and development expenditures recognized in the prior year. Additionally, the increase was due to the recognition </w:t>
      </w:r>
      <w:r>
        <w:rPr>
          <w:rFonts w:ascii="Arial" w:eastAsia="宋体" w:hAnsi="Arial" w:cs="Arial"/>
          <w:color w:val="000000"/>
          <w:sz w:val="17"/>
          <w:szCs w:val="17"/>
        </w:rPr>
        <w:t xml:space="preserve">of a reserve in the first quarter of fiscal 2021 related to </w:t>
      </w:r>
      <w:r>
        <w:rPr>
          <w:rFonts w:ascii="Arial" w:eastAsia="宋体" w:hAnsi="Arial" w:cs="Arial"/>
          <w:i/>
          <w:iCs/>
          <w:color w:val="000000"/>
          <w:sz w:val="17"/>
          <w:szCs w:val="17"/>
        </w:rPr>
        <w:t>Altera Corp. v. Commissioner,</w:t>
      </w:r>
      <w:r>
        <w:rPr>
          <w:rFonts w:ascii="Arial" w:eastAsia="宋体" w:hAnsi="Arial" w:cs="Arial"/>
          <w:color w:val="000000"/>
          <w:sz w:val="17"/>
          <w:szCs w:val="17"/>
        </w:rPr>
        <w:t xml:space="preserve"> where the taxpayer was denied a hearing before the U.S. Supreme Court on June 22, 2020, thereby ratifying the Ninth Circuit Court's decision and requiring the inclusi</w:t>
      </w:r>
      <w:r>
        <w:rPr>
          <w:rFonts w:ascii="Arial" w:eastAsia="宋体" w:hAnsi="Arial" w:cs="Arial"/>
          <w:color w:val="000000"/>
          <w:sz w:val="17"/>
          <w:szCs w:val="17"/>
        </w:rPr>
        <w:t>on of stock-based compensation in intercompany cost-sharing arrangements.</w:t>
      </w:r>
    </w:p>
    <w:p w14:paraId="669C6330" w14:textId="77777777" w:rsidR="00066C63" w:rsidRDefault="009656F6">
      <w:pPr>
        <w:spacing w:before="120" w:after="120"/>
      </w:pPr>
      <w:r>
        <w:rPr>
          <w:rFonts w:ascii="Arial" w:eastAsia="宋体" w:hAnsi="Arial" w:cs="Arial"/>
          <w:color w:val="E87722"/>
          <w:sz w:val="17"/>
          <w:szCs w:val="17"/>
        </w:rPr>
        <w:t>10</w:t>
      </w:r>
      <w:r>
        <w:rPr>
          <w:rFonts w:ascii="sans-serif" w:eastAsia="sans-serif" w:hAnsi="sans-serif" w:cs="sans-serif"/>
          <w:color w:val="000000"/>
          <w:sz w:val="17"/>
          <w:szCs w:val="17"/>
        </w:rPr>
        <w:t xml:space="preserve"> </w:t>
      </w:r>
    </w:p>
    <w:p w14:paraId="669C6331" w14:textId="77777777" w:rsidR="00066C63" w:rsidRDefault="009656F6">
      <w:r>
        <w:pict w14:anchorId="669C7E3A">
          <v:rect id="_x0000_i1036" style="width:415.3pt;height:1.5pt" o:hralign="center" o:hrstd="t" o:hr="t" fillcolor="#a0a0a0" stroked="f"/>
        </w:pict>
      </w:r>
    </w:p>
    <w:p w14:paraId="669C6332" w14:textId="77777777" w:rsidR="00066C63" w:rsidRDefault="00066C63"/>
    <w:p w14:paraId="669C6333" w14:textId="77777777" w:rsidR="00066C63" w:rsidRDefault="009656F6">
      <w:hyperlink r:id="rId81" w:anchor="i1e99cb26debe49fe8b698d0f0eb1273a_7" w:history="1">
        <w:r>
          <w:rPr>
            <w:rStyle w:val="a5"/>
            <w:rFonts w:ascii="sans-serif" w:eastAsia="sans-serif" w:hAnsi="sans-serif" w:cs="sans-serif"/>
            <w:sz w:val="17"/>
            <w:szCs w:val="17"/>
          </w:rPr>
          <w:t>Table of Contents</w:t>
        </w:r>
      </w:hyperlink>
    </w:p>
    <w:p w14:paraId="669C6334" w14:textId="77777777" w:rsidR="00066C63" w:rsidRDefault="00066C63"/>
    <w:p w14:paraId="669C6335" w14:textId="77777777" w:rsidR="00066C63" w:rsidRDefault="009656F6">
      <w:pPr>
        <w:spacing w:before="120" w:after="120"/>
      </w:pPr>
      <w:r>
        <w:rPr>
          <w:rFonts w:ascii="Arial" w:eastAsia="宋体" w:hAnsi="Arial" w:cs="Arial"/>
          <w:color w:val="000000"/>
          <w:sz w:val="17"/>
          <w:szCs w:val="17"/>
        </w:rPr>
        <w:t>As o</w:t>
      </w:r>
      <w:r>
        <w:rPr>
          <w:rFonts w:ascii="Arial" w:eastAsia="宋体" w:hAnsi="Arial" w:cs="Arial"/>
          <w:color w:val="000000"/>
          <w:sz w:val="17"/>
          <w:szCs w:val="17"/>
        </w:rPr>
        <w:t>f February 28, 2021, total gross unrecognized tax benefits, excluding related interest and penalties, were $877 million, $622 million of which would affect the Company's effective tax rate if recognized in future periods. During the nine months ended Febru</w:t>
      </w:r>
      <w:r>
        <w:rPr>
          <w:rFonts w:ascii="Arial" w:eastAsia="宋体" w:hAnsi="Arial" w:cs="Arial"/>
          <w:color w:val="000000"/>
          <w:sz w:val="17"/>
          <w:szCs w:val="17"/>
        </w:rPr>
        <w:t xml:space="preserve">ary 28, 2021, the Company recognized $74 million of gross unrecognized tax benefits related to </w:t>
      </w:r>
      <w:r>
        <w:rPr>
          <w:rFonts w:ascii="Arial" w:eastAsia="宋体" w:hAnsi="Arial" w:cs="Arial"/>
          <w:i/>
          <w:iCs/>
          <w:color w:val="000000"/>
          <w:sz w:val="17"/>
          <w:szCs w:val="17"/>
        </w:rPr>
        <w:t xml:space="preserve">Altera Corp. v. Commissioner </w:t>
      </w:r>
      <w:r>
        <w:rPr>
          <w:rFonts w:ascii="Arial" w:eastAsia="宋体" w:hAnsi="Arial" w:cs="Arial"/>
          <w:color w:val="000000"/>
          <w:sz w:val="17"/>
          <w:szCs w:val="17"/>
        </w:rPr>
        <w:t xml:space="preserve">discussed above, of which $69 million impacted the effective tax rate. The majority of the total gross unrecognized tax </w:t>
      </w:r>
      <w:r>
        <w:rPr>
          <w:rFonts w:ascii="Arial" w:eastAsia="宋体" w:hAnsi="Arial" w:cs="Arial"/>
          <w:color w:val="000000"/>
          <w:sz w:val="17"/>
          <w:szCs w:val="17"/>
        </w:rPr>
        <w:t>benefits are long-term in nature and included within Deferred income taxes and other liabilities on the Unaudited Condensed Consolidated Balance Sheets. As of May 31, 2020, total gross unrecognized tax benefits, excluding related interest and penalties, we</w:t>
      </w:r>
      <w:r>
        <w:rPr>
          <w:rFonts w:ascii="Arial" w:eastAsia="宋体" w:hAnsi="Arial" w:cs="Arial"/>
          <w:color w:val="000000"/>
          <w:sz w:val="17"/>
          <w:szCs w:val="17"/>
        </w:rPr>
        <w:t>re $771 million. The liability for payment of interest and penalties increased by $41 million during the nine months ended February 28, 2021. As of February 28, 2021 and May 31, 2020, accrued interest and penalties related to uncertain tax positions were $</w:t>
      </w:r>
      <w:r>
        <w:rPr>
          <w:rFonts w:ascii="Arial" w:eastAsia="宋体" w:hAnsi="Arial" w:cs="Arial"/>
          <w:color w:val="000000"/>
          <w:sz w:val="17"/>
          <w:szCs w:val="17"/>
        </w:rPr>
        <w:t>199 million and $158 million, respectively (excluding federal benefit).</w:t>
      </w:r>
    </w:p>
    <w:p w14:paraId="669C6336" w14:textId="77777777" w:rsidR="00066C63" w:rsidRDefault="009656F6">
      <w:pPr>
        <w:spacing w:before="120" w:after="120"/>
      </w:pPr>
      <w:r>
        <w:rPr>
          <w:rFonts w:ascii="Arial" w:eastAsia="宋体" w:hAnsi="Arial" w:cs="Arial"/>
          <w:color w:val="000000"/>
          <w:sz w:val="17"/>
          <w:szCs w:val="17"/>
        </w:rPr>
        <w:t>The Company is subject to taxation in the United States, as well as various state and foreign jurisdictions. The Company is currently under audit by the U.S. Internal Revenue Service (</w:t>
      </w:r>
      <w:r>
        <w:rPr>
          <w:rFonts w:ascii="Arial" w:eastAsia="宋体" w:hAnsi="Arial" w:cs="Arial"/>
          <w:color w:val="000000"/>
          <w:sz w:val="17"/>
          <w:szCs w:val="17"/>
        </w:rPr>
        <w:t xml:space="preserve">"IRS") for fiscal years 2017 through 2019. The Company has closed all U.S. federal income tax matters through fiscal 2016, with the exception of certain transfer pricing adjustments. </w:t>
      </w:r>
    </w:p>
    <w:p w14:paraId="669C6337" w14:textId="77777777" w:rsidR="00066C63" w:rsidRDefault="009656F6">
      <w:pPr>
        <w:spacing w:before="120" w:after="120"/>
      </w:pPr>
      <w:r>
        <w:rPr>
          <w:rFonts w:ascii="Arial" w:eastAsia="宋体" w:hAnsi="Arial" w:cs="Arial"/>
          <w:color w:val="000000"/>
          <w:sz w:val="17"/>
          <w:szCs w:val="17"/>
        </w:rPr>
        <w:t>Tax years after 2010 remain open in certain major foreign jurisdictions.</w:t>
      </w:r>
      <w:r>
        <w:rPr>
          <w:rFonts w:ascii="Arial" w:eastAsia="宋体" w:hAnsi="Arial" w:cs="Arial"/>
          <w:color w:val="000000"/>
          <w:sz w:val="17"/>
          <w:szCs w:val="17"/>
        </w:rPr>
        <w:t xml:space="preserve"> Although the timing of resolution of audits is not certain, the Company evaluates all domestic and foreign audit issues in the aggregate, along with the expiration of applicable statutes of limitations, and estimates that it is reasonably possible the tot</w:t>
      </w:r>
      <w:r>
        <w:rPr>
          <w:rFonts w:ascii="Arial" w:eastAsia="宋体" w:hAnsi="Arial" w:cs="Arial"/>
          <w:color w:val="000000"/>
          <w:sz w:val="17"/>
          <w:szCs w:val="17"/>
        </w:rPr>
        <w:t>al gross unrecognized tax benefits could decrease by up to $50 million within the next 12 months. In January 2019, the European Commission opened a formal investigation to examine whether the Netherlands has breached State Aid rules when granting certain t</w:t>
      </w:r>
      <w:r>
        <w:rPr>
          <w:rFonts w:ascii="Arial" w:eastAsia="宋体" w:hAnsi="Arial" w:cs="Arial"/>
          <w:color w:val="000000"/>
          <w:sz w:val="17"/>
          <w:szCs w:val="17"/>
        </w:rPr>
        <w:t xml:space="preserve">ax rulings to the Company. The Company believes the investigation is without merit. If this matter is adversely resolved, the Netherlands may be required to assess additional amounts with respect to current and prior periods, and the Company's Netherlands </w:t>
      </w:r>
      <w:r>
        <w:rPr>
          <w:rFonts w:ascii="Arial" w:eastAsia="宋体" w:hAnsi="Arial" w:cs="Arial"/>
          <w:color w:val="000000"/>
          <w:sz w:val="17"/>
          <w:szCs w:val="17"/>
        </w:rPr>
        <w:t>income taxes in the future could increase.</w:t>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066C63" w14:paraId="669C633B" w14:textId="77777777">
        <w:tc>
          <w:tcPr>
            <w:tcW w:w="50" w:type="pct"/>
            <w:shd w:val="clear" w:color="auto" w:fill="auto"/>
          </w:tcPr>
          <w:p w14:paraId="669C6338" w14:textId="77777777" w:rsidR="00066C63" w:rsidRDefault="00066C63">
            <w:pPr>
              <w:rPr>
                <w:rFonts w:ascii="宋体"/>
              </w:rPr>
            </w:pPr>
          </w:p>
        </w:tc>
        <w:tc>
          <w:tcPr>
            <w:tcW w:w="4945" w:type="pct"/>
            <w:shd w:val="clear" w:color="auto" w:fill="auto"/>
          </w:tcPr>
          <w:p w14:paraId="669C6339" w14:textId="77777777" w:rsidR="00066C63" w:rsidRDefault="00066C63">
            <w:pPr>
              <w:rPr>
                <w:rFonts w:ascii="宋体"/>
              </w:rPr>
            </w:pPr>
          </w:p>
        </w:tc>
        <w:tc>
          <w:tcPr>
            <w:tcW w:w="5" w:type="pct"/>
            <w:shd w:val="clear" w:color="auto" w:fill="auto"/>
          </w:tcPr>
          <w:p w14:paraId="669C633A" w14:textId="77777777" w:rsidR="00066C63" w:rsidRDefault="00066C63">
            <w:pPr>
              <w:rPr>
                <w:rFonts w:ascii="宋体"/>
              </w:rPr>
            </w:pPr>
          </w:p>
        </w:tc>
      </w:tr>
      <w:tr w:rsidR="00066C63" w14:paraId="669C633D" w14:textId="77777777">
        <w:tc>
          <w:tcPr>
            <w:tcW w:w="0" w:type="auto"/>
            <w:gridSpan w:val="3"/>
            <w:shd w:val="clear" w:color="auto" w:fill="auto"/>
            <w:tcMar>
              <w:top w:w="40" w:type="dxa"/>
              <w:left w:w="20" w:type="dxa"/>
              <w:bottom w:w="40" w:type="dxa"/>
              <w:right w:w="20" w:type="dxa"/>
            </w:tcMar>
            <w:vAlign w:val="bottom"/>
          </w:tcPr>
          <w:p w14:paraId="669C633C" w14:textId="77777777" w:rsidR="00066C63" w:rsidRDefault="009656F6">
            <w:pPr>
              <w:textAlignment w:val="bottom"/>
            </w:pPr>
            <w:r>
              <w:rPr>
                <w:rFonts w:ascii="sans-serif" w:eastAsia="sans-serif" w:hAnsi="sans-serif" w:cs="sans-serif"/>
                <w:b/>
                <w:bCs/>
                <w:color w:val="E87722"/>
                <w:sz w:val="36"/>
                <w:szCs w:val="36"/>
              </w:rPr>
              <w:t>NOTE 7 — STOCK-BASED COMPENSATION</w:t>
            </w:r>
          </w:p>
        </w:tc>
      </w:tr>
    </w:tbl>
    <w:p w14:paraId="669C633E" w14:textId="77777777" w:rsidR="00066C63" w:rsidRDefault="009656F6">
      <w:pPr>
        <w:spacing w:before="180" w:after="120"/>
      </w:pPr>
      <w:r>
        <w:rPr>
          <w:rFonts w:ascii="sans-serif" w:eastAsia="sans-serif" w:hAnsi="sans-serif" w:cs="sans-serif"/>
          <w:b/>
          <w:bCs/>
          <w:color w:val="000000"/>
          <w:sz w:val="28"/>
          <w:szCs w:val="28"/>
        </w:rPr>
        <w:t>STOCK-BASED COMPENSATION</w:t>
      </w:r>
    </w:p>
    <w:p w14:paraId="669C633F" w14:textId="77777777" w:rsidR="00066C63" w:rsidRDefault="009656F6">
      <w:pPr>
        <w:spacing w:before="120" w:after="120"/>
      </w:pPr>
      <w:r>
        <w:rPr>
          <w:rFonts w:ascii="Arial" w:eastAsia="宋体" w:hAnsi="Arial" w:cs="Arial"/>
          <w:color w:val="000000"/>
          <w:sz w:val="17"/>
          <w:szCs w:val="17"/>
        </w:rPr>
        <w:t xml:space="preserve">The NIKE, Inc. Stock Incentive Plan (the “Stock Incentive Plan”) provides for the issuance of up to 798 million previously unissued shares of Class B Common Stock in connection with equity awards granted under the Stock Incentive Plan. The Stock Incentive </w:t>
      </w:r>
      <w:r>
        <w:rPr>
          <w:rFonts w:ascii="Arial" w:eastAsia="宋体" w:hAnsi="Arial" w:cs="Arial"/>
          <w:color w:val="000000"/>
          <w:sz w:val="17"/>
          <w:szCs w:val="17"/>
        </w:rPr>
        <w:t>Plan authorizes the grant of non-statutory stock options, incentive stock options, stock appreciation rights, restricted stock, restricted stock units and performance-based awards. In addition to the Stock Incentive Plan, the Company gives employees the ri</w:t>
      </w:r>
      <w:r>
        <w:rPr>
          <w:rFonts w:ascii="Arial" w:eastAsia="宋体" w:hAnsi="Arial" w:cs="Arial"/>
          <w:color w:val="000000"/>
          <w:sz w:val="17"/>
          <w:szCs w:val="17"/>
        </w:rPr>
        <w:t>ght to purchase shares at a discount from the market price under employee stock purchase plans (ESPPs). Refer to Note 11 — Common Stock and Stock-Based Compensation of the Annual Report on Form 10-K for the fiscal year ended May 31, 2020 for further inform</w:t>
      </w:r>
      <w:r>
        <w:rPr>
          <w:rFonts w:ascii="Arial" w:eastAsia="宋体" w:hAnsi="Arial" w:cs="Arial"/>
          <w:color w:val="000000"/>
          <w:sz w:val="17"/>
          <w:szCs w:val="17"/>
        </w:rPr>
        <w:t xml:space="preserve">ation. </w:t>
      </w:r>
    </w:p>
    <w:p w14:paraId="669C6340" w14:textId="77777777" w:rsidR="00066C63" w:rsidRDefault="009656F6">
      <w:pPr>
        <w:spacing w:before="120"/>
      </w:pPr>
      <w:r>
        <w:rPr>
          <w:rFonts w:ascii="Arial" w:eastAsia="宋体" w:hAnsi="Arial" w:cs="Arial"/>
          <w:color w:val="000000"/>
          <w:sz w:val="17"/>
          <w:szCs w:val="17"/>
        </w:rPr>
        <w:t>The following table summarizes the Company's total stock-based compensation expense recognized in Cost of sales or Operating overhead expense, as applicable: </w:t>
      </w:r>
    </w:p>
    <w:tbl>
      <w:tblPr>
        <w:tblW w:w="5000" w:type="pct"/>
        <w:tblCellMar>
          <w:top w:w="15" w:type="dxa"/>
          <w:left w:w="15" w:type="dxa"/>
          <w:bottom w:w="15" w:type="dxa"/>
          <w:right w:w="15" w:type="dxa"/>
        </w:tblCellMar>
        <w:tblLook w:val="04A0" w:firstRow="1" w:lastRow="0" w:firstColumn="1" w:lastColumn="0" w:noHBand="0" w:noVBand="1"/>
      </w:tblPr>
      <w:tblGrid>
        <w:gridCol w:w="40"/>
        <w:gridCol w:w="3345"/>
        <w:gridCol w:w="38"/>
        <w:gridCol w:w="116"/>
        <w:gridCol w:w="1057"/>
        <w:gridCol w:w="37"/>
        <w:gridCol w:w="116"/>
        <w:gridCol w:w="1057"/>
        <w:gridCol w:w="37"/>
        <w:gridCol w:w="36"/>
        <w:gridCol w:w="36"/>
        <w:gridCol w:w="36"/>
        <w:gridCol w:w="116"/>
        <w:gridCol w:w="1021"/>
        <w:gridCol w:w="37"/>
        <w:gridCol w:w="116"/>
        <w:gridCol w:w="1058"/>
        <w:gridCol w:w="37"/>
      </w:tblGrid>
      <w:tr w:rsidR="00066C63" w14:paraId="669C6353" w14:textId="77777777">
        <w:tc>
          <w:tcPr>
            <w:tcW w:w="50" w:type="pct"/>
            <w:shd w:val="clear" w:color="auto" w:fill="auto"/>
          </w:tcPr>
          <w:p w14:paraId="669C6341" w14:textId="77777777" w:rsidR="00066C63" w:rsidRDefault="00066C63">
            <w:pPr>
              <w:rPr>
                <w:rFonts w:ascii="宋体"/>
              </w:rPr>
            </w:pPr>
          </w:p>
        </w:tc>
        <w:tc>
          <w:tcPr>
            <w:tcW w:w="2036" w:type="pct"/>
            <w:shd w:val="clear" w:color="auto" w:fill="auto"/>
          </w:tcPr>
          <w:p w14:paraId="669C6342" w14:textId="77777777" w:rsidR="00066C63" w:rsidRDefault="00066C63">
            <w:pPr>
              <w:rPr>
                <w:rFonts w:ascii="宋体"/>
              </w:rPr>
            </w:pPr>
          </w:p>
        </w:tc>
        <w:tc>
          <w:tcPr>
            <w:tcW w:w="5" w:type="pct"/>
            <w:shd w:val="clear" w:color="auto" w:fill="auto"/>
          </w:tcPr>
          <w:p w14:paraId="669C6343" w14:textId="77777777" w:rsidR="00066C63" w:rsidRDefault="00066C63">
            <w:pPr>
              <w:rPr>
                <w:rFonts w:ascii="宋体"/>
              </w:rPr>
            </w:pPr>
          </w:p>
        </w:tc>
        <w:tc>
          <w:tcPr>
            <w:tcW w:w="50" w:type="pct"/>
            <w:shd w:val="clear" w:color="auto" w:fill="auto"/>
          </w:tcPr>
          <w:p w14:paraId="669C6344" w14:textId="77777777" w:rsidR="00066C63" w:rsidRDefault="00066C63">
            <w:pPr>
              <w:rPr>
                <w:rFonts w:ascii="宋体"/>
              </w:rPr>
            </w:pPr>
          </w:p>
        </w:tc>
        <w:tc>
          <w:tcPr>
            <w:tcW w:w="662" w:type="pct"/>
            <w:shd w:val="clear" w:color="auto" w:fill="auto"/>
          </w:tcPr>
          <w:p w14:paraId="669C6345" w14:textId="77777777" w:rsidR="00066C63" w:rsidRDefault="00066C63">
            <w:pPr>
              <w:rPr>
                <w:rFonts w:ascii="宋体"/>
              </w:rPr>
            </w:pPr>
          </w:p>
        </w:tc>
        <w:tc>
          <w:tcPr>
            <w:tcW w:w="5" w:type="pct"/>
            <w:shd w:val="clear" w:color="auto" w:fill="auto"/>
          </w:tcPr>
          <w:p w14:paraId="669C6346" w14:textId="77777777" w:rsidR="00066C63" w:rsidRDefault="00066C63">
            <w:pPr>
              <w:rPr>
                <w:rFonts w:ascii="宋体"/>
              </w:rPr>
            </w:pPr>
          </w:p>
        </w:tc>
        <w:tc>
          <w:tcPr>
            <w:tcW w:w="50" w:type="pct"/>
            <w:shd w:val="clear" w:color="auto" w:fill="auto"/>
          </w:tcPr>
          <w:p w14:paraId="669C6347" w14:textId="77777777" w:rsidR="00066C63" w:rsidRDefault="00066C63">
            <w:pPr>
              <w:rPr>
                <w:rFonts w:ascii="宋体"/>
              </w:rPr>
            </w:pPr>
          </w:p>
        </w:tc>
        <w:tc>
          <w:tcPr>
            <w:tcW w:w="662" w:type="pct"/>
            <w:shd w:val="clear" w:color="auto" w:fill="auto"/>
          </w:tcPr>
          <w:p w14:paraId="669C6348" w14:textId="77777777" w:rsidR="00066C63" w:rsidRDefault="00066C63">
            <w:pPr>
              <w:rPr>
                <w:rFonts w:ascii="宋体"/>
              </w:rPr>
            </w:pPr>
          </w:p>
        </w:tc>
        <w:tc>
          <w:tcPr>
            <w:tcW w:w="5" w:type="pct"/>
            <w:shd w:val="clear" w:color="auto" w:fill="auto"/>
          </w:tcPr>
          <w:p w14:paraId="669C6349" w14:textId="77777777" w:rsidR="00066C63" w:rsidRDefault="00066C63">
            <w:pPr>
              <w:rPr>
                <w:rFonts w:ascii="宋体"/>
              </w:rPr>
            </w:pPr>
          </w:p>
        </w:tc>
        <w:tc>
          <w:tcPr>
            <w:tcW w:w="5" w:type="pct"/>
            <w:shd w:val="clear" w:color="auto" w:fill="auto"/>
          </w:tcPr>
          <w:p w14:paraId="669C634A" w14:textId="77777777" w:rsidR="00066C63" w:rsidRDefault="00066C63">
            <w:pPr>
              <w:rPr>
                <w:rFonts w:ascii="宋体"/>
              </w:rPr>
            </w:pPr>
          </w:p>
        </w:tc>
        <w:tc>
          <w:tcPr>
            <w:tcW w:w="28" w:type="pct"/>
            <w:shd w:val="clear" w:color="auto" w:fill="auto"/>
          </w:tcPr>
          <w:p w14:paraId="669C634B" w14:textId="77777777" w:rsidR="00066C63" w:rsidRDefault="00066C63">
            <w:pPr>
              <w:rPr>
                <w:rFonts w:ascii="宋体"/>
              </w:rPr>
            </w:pPr>
          </w:p>
        </w:tc>
        <w:tc>
          <w:tcPr>
            <w:tcW w:w="5" w:type="pct"/>
            <w:shd w:val="clear" w:color="auto" w:fill="auto"/>
          </w:tcPr>
          <w:p w14:paraId="669C634C" w14:textId="77777777" w:rsidR="00066C63" w:rsidRDefault="00066C63">
            <w:pPr>
              <w:rPr>
                <w:rFonts w:ascii="宋体"/>
              </w:rPr>
            </w:pPr>
          </w:p>
        </w:tc>
        <w:tc>
          <w:tcPr>
            <w:tcW w:w="50" w:type="pct"/>
            <w:shd w:val="clear" w:color="auto" w:fill="auto"/>
          </w:tcPr>
          <w:p w14:paraId="669C634D" w14:textId="77777777" w:rsidR="00066C63" w:rsidRDefault="00066C63">
            <w:pPr>
              <w:rPr>
                <w:rFonts w:ascii="宋体"/>
              </w:rPr>
            </w:pPr>
          </w:p>
        </w:tc>
        <w:tc>
          <w:tcPr>
            <w:tcW w:w="662" w:type="pct"/>
            <w:shd w:val="clear" w:color="auto" w:fill="auto"/>
          </w:tcPr>
          <w:p w14:paraId="669C634E" w14:textId="77777777" w:rsidR="00066C63" w:rsidRDefault="00066C63">
            <w:pPr>
              <w:rPr>
                <w:rFonts w:ascii="宋体"/>
              </w:rPr>
            </w:pPr>
          </w:p>
        </w:tc>
        <w:tc>
          <w:tcPr>
            <w:tcW w:w="5" w:type="pct"/>
            <w:shd w:val="clear" w:color="auto" w:fill="auto"/>
          </w:tcPr>
          <w:p w14:paraId="669C634F" w14:textId="77777777" w:rsidR="00066C63" w:rsidRDefault="00066C63">
            <w:pPr>
              <w:rPr>
                <w:rFonts w:ascii="宋体"/>
              </w:rPr>
            </w:pPr>
          </w:p>
        </w:tc>
        <w:tc>
          <w:tcPr>
            <w:tcW w:w="50" w:type="pct"/>
            <w:shd w:val="clear" w:color="auto" w:fill="auto"/>
          </w:tcPr>
          <w:p w14:paraId="669C6350" w14:textId="77777777" w:rsidR="00066C63" w:rsidRDefault="00066C63">
            <w:pPr>
              <w:rPr>
                <w:rFonts w:ascii="宋体"/>
              </w:rPr>
            </w:pPr>
          </w:p>
        </w:tc>
        <w:tc>
          <w:tcPr>
            <w:tcW w:w="662" w:type="pct"/>
            <w:shd w:val="clear" w:color="auto" w:fill="auto"/>
          </w:tcPr>
          <w:p w14:paraId="669C6351" w14:textId="77777777" w:rsidR="00066C63" w:rsidRDefault="00066C63">
            <w:pPr>
              <w:rPr>
                <w:rFonts w:ascii="宋体"/>
              </w:rPr>
            </w:pPr>
          </w:p>
        </w:tc>
        <w:tc>
          <w:tcPr>
            <w:tcW w:w="5" w:type="pct"/>
            <w:shd w:val="clear" w:color="auto" w:fill="auto"/>
          </w:tcPr>
          <w:p w14:paraId="669C6352" w14:textId="77777777" w:rsidR="00066C63" w:rsidRDefault="00066C63">
            <w:pPr>
              <w:rPr>
                <w:rFonts w:ascii="宋体"/>
              </w:rPr>
            </w:pPr>
          </w:p>
        </w:tc>
      </w:tr>
      <w:tr w:rsidR="00066C63" w14:paraId="669C6358" w14:textId="77777777">
        <w:tc>
          <w:tcPr>
            <w:tcW w:w="0" w:type="auto"/>
            <w:gridSpan w:val="3"/>
            <w:shd w:val="clear" w:color="auto" w:fill="auto"/>
            <w:tcMar>
              <w:top w:w="40" w:type="dxa"/>
              <w:left w:w="20" w:type="dxa"/>
              <w:bottom w:w="40" w:type="dxa"/>
              <w:right w:w="20" w:type="dxa"/>
            </w:tcMar>
            <w:vAlign w:val="bottom"/>
          </w:tcPr>
          <w:p w14:paraId="669C6354" w14:textId="77777777" w:rsidR="00066C63" w:rsidRDefault="009656F6">
            <w:pPr>
              <w:textAlignment w:val="bottom"/>
            </w:pPr>
            <w:r>
              <w:rPr>
                <w:rFonts w:ascii="Arial" w:eastAsia="宋体" w:hAnsi="Arial" w:cs="Arial"/>
                <w:color w:val="000000"/>
                <w:sz w:val="17"/>
                <w:szCs w:val="17"/>
              </w:rPr>
              <w:t> </w:t>
            </w:r>
          </w:p>
        </w:tc>
        <w:tc>
          <w:tcPr>
            <w:tcW w:w="0" w:type="auto"/>
            <w:gridSpan w:val="6"/>
            <w:shd w:val="clear" w:color="auto" w:fill="auto"/>
            <w:tcMar>
              <w:top w:w="40" w:type="dxa"/>
              <w:left w:w="20" w:type="dxa"/>
              <w:bottom w:w="40" w:type="dxa"/>
              <w:right w:w="20" w:type="dxa"/>
            </w:tcMar>
            <w:vAlign w:val="bottom"/>
          </w:tcPr>
          <w:p w14:paraId="669C6355" w14:textId="77777777" w:rsidR="00066C63" w:rsidRDefault="009656F6">
            <w:pPr>
              <w:jc w:val="center"/>
              <w:textAlignment w:val="bottom"/>
            </w:pPr>
            <w:r>
              <w:rPr>
                <w:rFonts w:ascii="sans-serif" w:eastAsia="sans-serif" w:hAnsi="sans-serif" w:cs="sans-serif"/>
                <w:b/>
                <w:bCs/>
                <w:color w:val="000000"/>
                <w:sz w:val="17"/>
                <w:szCs w:val="17"/>
              </w:rPr>
              <w:t xml:space="preserve">THREE MONTHS ENDED </w:t>
            </w:r>
          </w:p>
        </w:tc>
        <w:tc>
          <w:tcPr>
            <w:tcW w:w="0" w:type="auto"/>
            <w:gridSpan w:val="3"/>
            <w:shd w:val="clear" w:color="auto" w:fill="auto"/>
            <w:tcMar>
              <w:top w:w="0" w:type="dxa"/>
              <w:left w:w="20" w:type="dxa"/>
              <w:bottom w:w="0" w:type="dxa"/>
              <w:right w:w="20" w:type="dxa"/>
            </w:tcMar>
          </w:tcPr>
          <w:p w14:paraId="669C6356" w14:textId="77777777" w:rsidR="00066C63" w:rsidRDefault="00066C63">
            <w:pPr>
              <w:rPr>
                <w:rFonts w:ascii="宋体"/>
              </w:rPr>
            </w:pPr>
          </w:p>
        </w:tc>
        <w:tc>
          <w:tcPr>
            <w:tcW w:w="0" w:type="auto"/>
            <w:gridSpan w:val="6"/>
            <w:shd w:val="clear" w:color="auto" w:fill="auto"/>
            <w:tcMar>
              <w:top w:w="40" w:type="dxa"/>
              <w:left w:w="20" w:type="dxa"/>
              <w:bottom w:w="40" w:type="dxa"/>
              <w:right w:w="20" w:type="dxa"/>
            </w:tcMar>
            <w:vAlign w:val="bottom"/>
          </w:tcPr>
          <w:p w14:paraId="669C6357" w14:textId="77777777" w:rsidR="00066C63" w:rsidRDefault="009656F6">
            <w:pPr>
              <w:jc w:val="center"/>
              <w:textAlignment w:val="bottom"/>
            </w:pPr>
            <w:r>
              <w:rPr>
                <w:rFonts w:ascii="sans-serif" w:eastAsia="sans-serif" w:hAnsi="sans-serif" w:cs="sans-serif"/>
                <w:b/>
                <w:bCs/>
                <w:color w:val="000000"/>
                <w:sz w:val="17"/>
                <w:szCs w:val="17"/>
              </w:rPr>
              <w:t xml:space="preserve">NINE MONTHS ENDED </w:t>
            </w:r>
          </w:p>
        </w:tc>
      </w:tr>
      <w:tr w:rsidR="00066C63" w14:paraId="669C635F" w14:textId="77777777">
        <w:tc>
          <w:tcPr>
            <w:tcW w:w="0" w:type="auto"/>
            <w:gridSpan w:val="3"/>
            <w:shd w:val="clear" w:color="auto" w:fill="auto"/>
            <w:tcMar>
              <w:top w:w="40" w:type="dxa"/>
              <w:left w:w="20" w:type="dxa"/>
              <w:bottom w:w="40" w:type="dxa"/>
              <w:right w:w="20" w:type="dxa"/>
            </w:tcMar>
            <w:vAlign w:val="bottom"/>
          </w:tcPr>
          <w:p w14:paraId="669C6359" w14:textId="77777777" w:rsidR="00066C63" w:rsidRDefault="009656F6">
            <w:pPr>
              <w:textAlignment w:val="bottom"/>
            </w:pPr>
            <w:r>
              <w:rPr>
                <w:rFonts w:ascii="Arial Narrow" w:eastAsia="Arial Narrow" w:hAnsi="Arial Narrow" w:cs="Arial Narrow"/>
                <w:i/>
                <w:iCs/>
                <w:color w:val="000000"/>
                <w:sz w:val="17"/>
                <w:szCs w:val="17"/>
              </w:rPr>
              <w:t xml:space="preserve">(Dollars in </w:t>
            </w:r>
            <w:r>
              <w:rPr>
                <w:rFonts w:ascii="Arial Narrow" w:eastAsia="Arial Narrow" w:hAnsi="Arial Narrow" w:cs="Arial Narrow"/>
                <w:i/>
                <w:iCs/>
                <w:color w:val="000000"/>
                <w:sz w:val="17"/>
                <w:szCs w:val="17"/>
              </w:rPr>
              <w:t>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35A" w14:textId="77777777" w:rsidR="00066C63" w:rsidRDefault="009656F6">
            <w:pPr>
              <w:jc w:val="center"/>
              <w:textAlignment w:val="bottom"/>
            </w:pPr>
            <w:r>
              <w:rPr>
                <w:rFonts w:ascii="sans-serif" w:eastAsia="sans-serif" w:hAnsi="sans-serif" w:cs="sans-serif"/>
                <w:b/>
                <w:bCs/>
                <w:color w:val="000000"/>
                <w:sz w:val="17"/>
                <w:szCs w:val="17"/>
              </w:rPr>
              <w:t>FEBRUARY 28, 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35B" w14:textId="77777777" w:rsidR="00066C63" w:rsidRDefault="009656F6">
            <w:pPr>
              <w:jc w:val="center"/>
              <w:textAlignment w:val="bottom"/>
            </w:pPr>
            <w:r>
              <w:rPr>
                <w:rFonts w:ascii="sans-serif" w:eastAsia="sans-serif" w:hAnsi="sans-serif" w:cs="sans-serif"/>
                <w:b/>
                <w:bCs/>
                <w:color w:val="000000"/>
                <w:sz w:val="17"/>
                <w:szCs w:val="17"/>
              </w:rPr>
              <w:t>FEBRUARY 29, 2020</w:t>
            </w:r>
          </w:p>
        </w:tc>
        <w:tc>
          <w:tcPr>
            <w:tcW w:w="0" w:type="auto"/>
            <w:gridSpan w:val="3"/>
            <w:shd w:val="clear" w:color="auto" w:fill="auto"/>
            <w:tcMar>
              <w:top w:w="0" w:type="dxa"/>
              <w:left w:w="20" w:type="dxa"/>
              <w:bottom w:w="0" w:type="dxa"/>
              <w:right w:w="20" w:type="dxa"/>
            </w:tcMar>
          </w:tcPr>
          <w:p w14:paraId="669C635C" w14:textId="77777777" w:rsidR="00066C63" w:rsidRDefault="00066C63">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35D" w14:textId="77777777" w:rsidR="00066C63" w:rsidRDefault="009656F6">
            <w:pPr>
              <w:jc w:val="center"/>
              <w:textAlignment w:val="bottom"/>
            </w:pPr>
            <w:r>
              <w:rPr>
                <w:rFonts w:ascii="sans-serif" w:eastAsia="sans-serif" w:hAnsi="sans-serif" w:cs="sans-serif"/>
                <w:b/>
                <w:bCs/>
                <w:color w:val="000000"/>
                <w:sz w:val="17"/>
                <w:szCs w:val="17"/>
              </w:rPr>
              <w:t>FEBRUARY 28, 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35E" w14:textId="77777777" w:rsidR="00066C63" w:rsidRDefault="009656F6">
            <w:pPr>
              <w:jc w:val="center"/>
              <w:textAlignment w:val="bottom"/>
            </w:pPr>
            <w:r>
              <w:rPr>
                <w:rFonts w:ascii="sans-serif" w:eastAsia="sans-serif" w:hAnsi="sans-serif" w:cs="sans-serif"/>
                <w:b/>
                <w:bCs/>
                <w:color w:val="000000"/>
                <w:sz w:val="17"/>
                <w:szCs w:val="17"/>
              </w:rPr>
              <w:t>FEBRUARY 29, 2020</w:t>
            </w:r>
          </w:p>
        </w:tc>
      </w:tr>
      <w:tr w:rsidR="00066C63" w14:paraId="669C636E"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360" w14:textId="77777777" w:rsidR="00066C63" w:rsidRDefault="009656F6">
            <w:pPr>
              <w:textAlignment w:val="bottom"/>
            </w:pPr>
            <w:r>
              <w:rPr>
                <w:rFonts w:ascii="Arial" w:eastAsia="宋体" w:hAnsi="Arial" w:cs="Arial"/>
                <w:color w:val="000000"/>
                <w:sz w:val="17"/>
                <w:szCs w:val="17"/>
              </w:rPr>
              <w:t>Stock options</w:t>
            </w:r>
            <w:r>
              <w:rPr>
                <w:rFonts w:ascii="Arial" w:eastAsia="宋体" w:hAnsi="Arial" w:cs="Arial"/>
                <w:color w:val="000000"/>
                <w:sz w:val="11"/>
                <w:szCs w:val="11"/>
              </w:rPr>
              <w:t>(1)</w:t>
            </w:r>
          </w:p>
        </w:tc>
        <w:tc>
          <w:tcPr>
            <w:tcW w:w="0" w:type="auto"/>
            <w:tcBorders>
              <w:top w:val="single" w:sz="8" w:space="0" w:color="E87722"/>
            </w:tcBorders>
            <w:shd w:val="clear" w:color="auto" w:fill="FFF1E7"/>
            <w:tcMar>
              <w:top w:w="40" w:type="dxa"/>
              <w:left w:w="20" w:type="dxa"/>
              <w:bottom w:w="40" w:type="dxa"/>
              <w:right w:w="0" w:type="dxa"/>
            </w:tcMar>
            <w:vAlign w:val="bottom"/>
          </w:tcPr>
          <w:p w14:paraId="669C6361"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669C6362" w14:textId="77777777" w:rsidR="00066C63" w:rsidRDefault="009656F6">
            <w:pPr>
              <w:jc w:val="right"/>
              <w:textAlignment w:val="bottom"/>
            </w:pPr>
            <w:r>
              <w:rPr>
                <w:rFonts w:ascii="Arial" w:eastAsia="宋体" w:hAnsi="Arial" w:cs="Arial"/>
                <w:color w:val="000000"/>
                <w:sz w:val="17"/>
                <w:szCs w:val="17"/>
              </w:rPr>
              <w:t>73 </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6363" w14:textId="77777777" w:rsidR="00066C63" w:rsidRDefault="00066C63">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69C6364"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69C6365" w14:textId="77777777" w:rsidR="00066C63" w:rsidRDefault="009656F6">
            <w:pPr>
              <w:jc w:val="right"/>
              <w:textAlignment w:val="bottom"/>
            </w:pPr>
            <w:r>
              <w:rPr>
                <w:rFonts w:ascii="Arial" w:eastAsia="宋体" w:hAnsi="Arial" w:cs="Arial"/>
                <w:color w:val="000000"/>
                <w:sz w:val="17"/>
                <w:szCs w:val="17"/>
              </w:rPr>
              <w:t>64 </w:t>
            </w:r>
          </w:p>
        </w:tc>
        <w:tc>
          <w:tcPr>
            <w:tcW w:w="0" w:type="auto"/>
            <w:tcBorders>
              <w:top w:val="single" w:sz="8" w:space="0" w:color="E87722"/>
            </w:tcBorders>
            <w:shd w:val="clear" w:color="auto" w:fill="auto"/>
            <w:tcMar>
              <w:top w:w="40" w:type="dxa"/>
              <w:left w:w="0" w:type="dxa"/>
              <w:bottom w:w="40" w:type="dxa"/>
              <w:right w:w="20" w:type="dxa"/>
            </w:tcMar>
            <w:vAlign w:val="bottom"/>
          </w:tcPr>
          <w:p w14:paraId="669C6366" w14:textId="77777777" w:rsidR="00066C63" w:rsidRDefault="00066C63">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6367" w14:textId="77777777" w:rsidR="00066C63" w:rsidRDefault="00066C63">
            <w:pPr>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669C6368"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669C6369" w14:textId="77777777" w:rsidR="00066C63" w:rsidRDefault="009656F6">
            <w:pPr>
              <w:jc w:val="right"/>
              <w:textAlignment w:val="bottom"/>
            </w:pPr>
            <w:r>
              <w:rPr>
                <w:rFonts w:ascii="Arial" w:eastAsia="宋体" w:hAnsi="Arial" w:cs="Arial"/>
                <w:color w:val="000000"/>
                <w:sz w:val="17"/>
                <w:szCs w:val="17"/>
              </w:rPr>
              <w:t>250 </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636A" w14:textId="77777777" w:rsidR="00066C63" w:rsidRDefault="00066C63">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69C636B"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69C636C" w14:textId="77777777" w:rsidR="00066C63" w:rsidRDefault="009656F6">
            <w:pPr>
              <w:jc w:val="right"/>
              <w:textAlignment w:val="bottom"/>
            </w:pPr>
            <w:r>
              <w:rPr>
                <w:rFonts w:ascii="Arial" w:eastAsia="宋体" w:hAnsi="Arial" w:cs="Arial"/>
                <w:color w:val="000000"/>
                <w:sz w:val="17"/>
                <w:szCs w:val="17"/>
              </w:rPr>
              <w:t>170 </w:t>
            </w:r>
          </w:p>
        </w:tc>
        <w:tc>
          <w:tcPr>
            <w:tcW w:w="0" w:type="auto"/>
            <w:tcBorders>
              <w:top w:val="single" w:sz="8" w:space="0" w:color="E87722"/>
            </w:tcBorders>
            <w:shd w:val="clear" w:color="auto" w:fill="auto"/>
            <w:tcMar>
              <w:top w:w="40" w:type="dxa"/>
              <w:left w:w="0" w:type="dxa"/>
              <w:bottom w:w="40" w:type="dxa"/>
              <w:right w:w="20" w:type="dxa"/>
            </w:tcMar>
            <w:vAlign w:val="bottom"/>
          </w:tcPr>
          <w:p w14:paraId="669C636D" w14:textId="77777777" w:rsidR="00066C63" w:rsidRDefault="00066C63">
            <w:pPr>
              <w:jc w:val="right"/>
              <w:rPr>
                <w:rFonts w:ascii="宋体"/>
              </w:rPr>
            </w:pPr>
          </w:p>
        </w:tc>
      </w:tr>
      <w:tr w:rsidR="00066C63" w14:paraId="669C6379"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636F" w14:textId="77777777" w:rsidR="00066C63" w:rsidRDefault="009656F6">
            <w:pPr>
              <w:textAlignment w:val="bottom"/>
            </w:pPr>
            <w:r>
              <w:rPr>
                <w:rFonts w:ascii="Arial" w:eastAsia="宋体" w:hAnsi="Arial" w:cs="Arial"/>
                <w:color w:val="000000"/>
                <w:sz w:val="17"/>
                <w:szCs w:val="17"/>
              </w:rPr>
              <w:t>ESPPs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370" w14:textId="77777777" w:rsidR="00066C63" w:rsidRDefault="009656F6">
            <w:pPr>
              <w:jc w:val="right"/>
              <w:textAlignment w:val="bottom"/>
            </w:pPr>
            <w:r>
              <w:rPr>
                <w:rFonts w:ascii="Arial" w:eastAsia="宋体" w:hAnsi="Arial" w:cs="Arial"/>
                <w:color w:val="000000"/>
                <w:sz w:val="17"/>
                <w:szCs w:val="17"/>
              </w:rPr>
              <w:t>15 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371"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372" w14:textId="77777777" w:rsidR="00066C63" w:rsidRDefault="009656F6">
            <w:pPr>
              <w:jc w:val="right"/>
              <w:textAlignment w:val="bottom"/>
            </w:pPr>
            <w:r>
              <w:rPr>
                <w:rFonts w:ascii="Arial" w:eastAsia="宋体" w:hAnsi="Arial" w:cs="Arial"/>
                <w:color w:val="000000"/>
                <w:sz w:val="17"/>
                <w:szCs w:val="17"/>
              </w:rPr>
              <w:t>11 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373" w14:textId="77777777" w:rsidR="00066C63" w:rsidRDefault="00066C63">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6374" w14:textId="77777777" w:rsidR="00066C63" w:rsidRDefault="00066C63">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375" w14:textId="77777777" w:rsidR="00066C63" w:rsidRDefault="009656F6">
            <w:pPr>
              <w:jc w:val="right"/>
              <w:textAlignment w:val="bottom"/>
            </w:pPr>
            <w:r>
              <w:rPr>
                <w:rFonts w:ascii="Arial" w:eastAsia="宋体" w:hAnsi="Arial" w:cs="Arial"/>
                <w:color w:val="000000"/>
                <w:sz w:val="17"/>
                <w:szCs w:val="17"/>
              </w:rPr>
              <w:t>50 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376"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377" w14:textId="77777777" w:rsidR="00066C63" w:rsidRDefault="009656F6">
            <w:pPr>
              <w:jc w:val="right"/>
              <w:textAlignment w:val="bottom"/>
            </w:pPr>
            <w:r>
              <w:rPr>
                <w:rFonts w:ascii="Arial" w:eastAsia="宋体" w:hAnsi="Arial" w:cs="Arial"/>
                <w:color w:val="000000"/>
                <w:sz w:val="17"/>
                <w:szCs w:val="17"/>
              </w:rPr>
              <w:t>35 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378" w14:textId="77777777" w:rsidR="00066C63" w:rsidRDefault="00066C63">
            <w:pPr>
              <w:jc w:val="right"/>
              <w:rPr>
                <w:rFonts w:ascii="宋体"/>
              </w:rPr>
            </w:pPr>
          </w:p>
        </w:tc>
      </w:tr>
      <w:tr w:rsidR="00066C63" w14:paraId="669C6384"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637A" w14:textId="77777777" w:rsidR="00066C63" w:rsidRDefault="009656F6">
            <w:pPr>
              <w:textAlignment w:val="bottom"/>
            </w:pPr>
            <w:r>
              <w:rPr>
                <w:rFonts w:ascii="Arial" w:eastAsia="宋体" w:hAnsi="Arial" w:cs="Arial"/>
                <w:color w:val="000000"/>
                <w:sz w:val="17"/>
                <w:szCs w:val="17"/>
              </w:rPr>
              <w:t>Restricted stock</w:t>
            </w:r>
            <w:r>
              <w:rPr>
                <w:rFonts w:ascii="Arial" w:eastAsia="宋体" w:hAnsi="Arial" w:cs="Arial"/>
                <w:color w:val="000000"/>
                <w:sz w:val="11"/>
                <w:szCs w:val="11"/>
              </w:rPr>
              <w:t>(1)</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37B" w14:textId="77777777" w:rsidR="00066C63" w:rsidRDefault="009656F6">
            <w:pPr>
              <w:jc w:val="right"/>
              <w:textAlignment w:val="bottom"/>
            </w:pPr>
            <w:r>
              <w:rPr>
                <w:rFonts w:ascii="Arial" w:eastAsia="宋体" w:hAnsi="Arial" w:cs="Arial"/>
                <w:color w:val="000000"/>
                <w:sz w:val="17"/>
                <w:szCs w:val="17"/>
              </w:rPr>
              <w:t>54 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37C"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37D" w14:textId="77777777" w:rsidR="00066C63" w:rsidRDefault="009656F6">
            <w:pPr>
              <w:jc w:val="right"/>
              <w:textAlignment w:val="bottom"/>
            </w:pPr>
            <w:r>
              <w:rPr>
                <w:rFonts w:ascii="Arial" w:eastAsia="宋体" w:hAnsi="Arial" w:cs="Arial"/>
                <w:color w:val="000000"/>
                <w:sz w:val="17"/>
                <w:szCs w:val="17"/>
              </w:rPr>
              <w:t>38 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37E" w14:textId="77777777" w:rsidR="00066C63" w:rsidRDefault="00066C63">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637F" w14:textId="77777777" w:rsidR="00066C63" w:rsidRDefault="00066C63">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380" w14:textId="77777777" w:rsidR="00066C63" w:rsidRDefault="009656F6">
            <w:pPr>
              <w:jc w:val="right"/>
              <w:textAlignment w:val="bottom"/>
            </w:pPr>
            <w:r>
              <w:rPr>
                <w:rFonts w:ascii="Arial" w:eastAsia="宋体" w:hAnsi="Arial" w:cs="Arial"/>
                <w:color w:val="000000"/>
                <w:sz w:val="17"/>
                <w:szCs w:val="17"/>
              </w:rPr>
              <w:t>167 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381"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382" w14:textId="77777777" w:rsidR="00066C63" w:rsidRDefault="009656F6">
            <w:pPr>
              <w:jc w:val="right"/>
              <w:textAlignment w:val="bottom"/>
            </w:pPr>
            <w:r>
              <w:rPr>
                <w:rFonts w:ascii="Arial" w:eastAsia="宋体" w:hAnsi="Arial" w:cs="Arial"/>
                <w:color w:val="000000"/>
                <w:sz w:val="17"/>
                <w:szCs w:val="17"/>
              </w:rPr>
              <w:t>98 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383" w14:textId="77777777" w:rsidR="00066C63" w:rsidRDefault="00066C63">
            <w:pPr>
              <w:jc w:val="right"/>
              <w:rPr>
                <w:rFonts w:ascii="宋体"/>
              </w:rPr>
            </w:pPr>
          </w:p>
        </w:tc>
      </w:tr>
      <w:tr w:rsidR="00066C63" w14:paraId="669C6393"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669C6385" w14:textId="77777777" w:rsidR="00066C63" w:rsidRDefault="009656F6">
            <w:pPr>
              <w:textAlignment w:val="bottom"/>
            </w:pPr>
            <w:r>
              <w:rPr>
                <w:rFonts w:ascii="Arial" w:eastAsia="宋体" w:hAnsi="Arial" w:cs="Arial"/>
                <w:b/>
                <w:bCs/>
                <w:color w:val="000000"/>
                <w:sz w:val="17"/>
                <w:szCs w:val="17"/>
              </w:rPr>
              <w:t>TOT</w:t>
            </w:r>
            <w:r>
              <w:rPr>
                <w:rFonts w:ascii="Arial" w:eastAsia="宋体" w:hAnsi="Arial" w:cs="Arial"/>
                <w:b/>
                <w:bCs/>
                <w:color w:val="000000"/>
                <w:sz w:val="17"/>
                <w:szCs w:val="17"/>
              </w:rPr>
              <w:t>AL STOCK-BASED COMPENSATION EXPENSE</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69C6386"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669C6387" w14:textId="77777777" w:rsidR="00066C63" w:rsidRDefault="009656F6">
            <w:pPr>
              <w:jc w:val="right"/>
              <w:textAlignment w:val="bottom"/>
            </w:pPr>
            <w:r>
              <w:rPr>
                <w:rFonts w:ascii="Arial" w:eastAsia="宋体" w:hAnsi="Arial" w:cs="Arial"/>
                <w:b/>
                <w:bCs/>
                <w:color w:val="000000"/>
                <w:sz w:val="17"/>
                <w:szCs w:val="17"/>
              </w:rPr>
              <w:t>142</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69C6388" w14:textId="77777777" w:rsidR="00066C63" w:rsidRDefault="00066C63">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69C6389"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69C638A" w14:textId="77777777" w:rsidR="00066C63" w:rsidRDefault="009656F6">
            <w:pPr>
              <w:jc w:val="right"/>
              <w:textAlignment w:val="bottom"/>
            </w:pPr>
            <w:r>
              <w:rPr>
                <w:rFonts w:ascii="Arial" w:eastAsia="宋体" w:hAnsi="Arial" w:cs="Arial"/>
                <w:b/>
                <w:bCs/>
                <w:color w:val="000000"/>
                <w:sz w:val="17"/>
                <w:szCs w:val="17"/>
              </w:rPr>
              <w:t>113</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69C638B" w14:textId="77777777" w:rsidR="00066C63" w:rsidRDefault="00066C63">
            <w:pPr>
              <w:jc w:val="right"/>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tcPr>
          <w:p w14:paraId="669C638C" w14:textId="77777777" w:rsidR="00066C63" w:rsidRDefault="00066C63">
            <w:pPr>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69C638D"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669C638E" w14:textId="77777777" w:rsidR="00066C63" w:rsidRDefault="009656F6">
            <w:pPr>
              <w:jc w:val="right"/>
              <w:textAlignment w:val="bottom"/>
            </w:pPr>
            <w:r>
              <w:rPr>
                <w:rFonts w:ascii="Arial" w:eastAsia="宋体" w:hAnsi="Arial" w:cs="Arial"/>
                <w:b/>
                <w:bCs/>
                <w:color w:val="000000"/>
                <w:sz w:val="17"/>
                <w:szCs w:val="17"/>
              </w:rPr>
              <w:t>467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69C638F" w14:textId="77777777" w:rsidR="00066C63" w:rsidRDefault="00066C63">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69C6390"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69C6391" w14:textId="77777777" w:rsidR="00066C63" w:rsidRDefault="009656F6">
            <w:pPr>
              <w:jc w:val="right"/>
              <w:textAlignment w:val="bottom"/>
            </w:pPr>
            <w:r>
              <w:rPr>
                <w:rFonts w:ascii="Arial" w:eastAsia="宋体" w:hAnsi="Arial" w:cs="Arial"/>
                <w:b/>
                <w:bCs/>
                <w:color w:val="000000"/>
                <w:sz w:val="17"/>
                <w:szCs w:val="17"/>
              </w:rPr>
              <w:t>303</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69C6392" w14:textId="77777777" w:rsidR="00066C63" w:rsidRDefault="00066C63">
            <w:pPr>
              <w:jc w:val="right"/>
              <w:rPr>
                <w:rFonts w:ascii="宋体"/>
              </w:rPr>
            </w:pPr>
          </w:p>
        </w:tc>
      </w:tr>
    </w:tbl>
    <w:p w14:paraId="669C6394" w14:textId="77777777" w:rsidR="00066C63" w:rsidRDefault="009656F6">
      <w:pPr>
        <w:spacing w:before="60" w:after="60"/>
        <w:ind w:hanging="360"/>
      </w:pPr>
      <w:r>
        <w:rPr>
          <w:rFonts w:ascii="Arial" w:eastAsia="宋体" w:hAnsi="Arial" w:cs="Arial"/>
          <w:i/>
          <w:iCs/>
          <w:color w:val="000000"/>
          <w:sz w:val="14"/>
          <w:szCs w:val="14"/>
        </w:rPr>
        <w:t>(1)Expense for stock options includes the expense associated with stock appreciation rights. Accelerated stock option and restricted stock expense is primarily recorded for employees meeting certain retirement eligibility requirements and certain employees</w:t>
      </w:r>
      <w:r>
        <w:rPr>
          <w:rFonts w:ascii="Arial" w:eastAsia="宋体" w:hAnsi="Arial" w:cs="Arial"/>
          <w:i/>
          <w:iCs/>
          <w:color w:val="000000"/>
          <w:sz w:val="14"/>
          <w:szCs w:val="14"/>
        </w:rPr>
        <w:t xml:space="preserve"> impacted by the Company's organizational realignment. For more information see Note 14 — Restructuring. </w:t>
      </w:r>
    </w:p>
    <w:p w14:paraId="669C6395" w14:textId="77777777" w:rsidR="00066C63" w:rsidRDefault="009656F6">
      <w:pPr>
        <w:spacing w:before="120" w:after="120"/>
      </w:pPr>
      <w:r>
        <w:rPr>
          <w:rFonts w:ascii="Arial" w:eastAsia="宋体" w:hAnsi="Arial" w:cs="Arial"/>
          <w:color w:val="000000"/>
          <w:sz w:val="17"/>
          <w:szCs w:val="17"/>
        </w:rPr>
        <w:t xml:space="preserve">The income tax benefit related to stock-based compensation expense was $67 million for both the three months ended February 28, 2021 and February 29, </w:t>
      </w:r>
      <w:r>
        <w:rPr>
          <w:rFonts w:ascii="Arial" w:eastAsia="宋体" w:hAnsi="Arial" w:cs="Arial"/>
          <w:color w:val="000000"/>
          <w:sz w:val="17"/>
          <w:szCs w:val="17"/>
        </w:rPr>
        <w:t>2020 and $256 million and $181 million for the nine months ended February 28, 2021 and February 29, 2020, respectively.</w:t>
      </w:r>
    </w:p>
    <w:p w14:paraId="669C6396" w14:textId="77777777" w:rsidR="00066C63" w:rsidRDefault="009656F6">
      <w:pPr>
        <w:spacing w:before="120" w:after="120"/>
        <w:jc w:val="right"/>
      </w:pPr>
      <w:r>
        <w:rPr>
          <w:rFonts w:ascii="Arial" w:eastAsia="宋体" w:hAnsi="Arial" w:cs="Arial"/>
          <w:color w:val="E87722"/>
          <w:sz w:val="17"/>
          <w:szCs w:val="17"/>
        </w:rPr>
        <w:t>11</w:t>
      </w:r>
    </w:p>
    <w:p w14:paraId="669C6397" w14:textId="77777777" w:rsidR="00066C63" w:rsidRDefault="009656F6">
      <w:r>
        <w:pict w14:anchorId="669C7E3B">
          <v:rect id="_x0000_i1037" style="width:415.3pt;height:1.5pt" o:hralign="center" o:hrstd="t" o:hr="t" fillcolor="#a0a0a0" stroked="f"/>
        </w:pict>
      </w:r>
    </w:p>
    <w:p w14:paraId="669C6398" w14:textId="77777777" w:rsidR="00066C63" w:rsidRDefault="00066C63"/>
    <w:p w14:paraId="669C6399" w14:textId="77777777" w:rsidR="00066C63" w:rsidRDefault="009656F6">
      <w:hyperlink r:id="rId82" w:anchor="i1e99cb26debe49fe8b698d0f0eb1273a_7" w:history="1">
        <w:r>
          <w:rPr>
            <w:rStyle w:val="a5"/>
            <w:rFonts w:ascii="sans-serif" w:eastAsia="sans-serif" w:hAnsi="sans-serif" w:cs="sans-serif"/>
            <w:sz w:val="17"/>
            <w:szCs w:val="17"/>
          </w:rPr>
          <w:t>Table of Contents</w:t>
        </w:r>
      </w:hyperlink>
    </w:p>
    <w:p w14:paraId="669C639A" w14:textId="77777777" w:rsidR="00066C63" w:rsidRDefault="00066C63"/>
    <w:p w14:paraId="669C639B" w14:textId="77777777" w:rsidR="00066C63" w:rsidRDefault="009656F6">
      <w:pPr>
        <w:spacing w:before="240" w:after="120"/>
      </w:pPr>
      <w:r>
        <w:rPr>
          <w:rFonts w:ascii="sans-serif" w:eastAsia="sans-serif" w:hAnsi="sans-serif" w:cs="sans-serif"/>
          <w:b/>
          <w:bCs/>
          <w:color w:val="000000"/>
          <w:sz w:val="28"/>
          <w:szCs w:val="28"/>
        </w:rPr>
        <w:t>STOCK OPTIONS</w:t>
      </w:r>
    </w:p>
    <w:p w14:paraId="669C639C" w14:textId="77777777" w:rsidR="00066C63" w:rsidRDefault="009656F6">
      <w:pPr>
        <w:spacing w:before="120"/>
      </w:pPr>
      <w:r>
        <w:rPr>
          <w:rFonts w:ascii="Arial" w:eastAsia="宋体" w:hAnsi="Arial" w:cs="Arial"/>
          <w:color w:val="000000"/>
          <w:sz w:val="17"/>
          <w:szCs w:val="17"/>
        </w:rPr>
        <w:t>The weighted average fair value per share of the options granted during the nine months ended February 28, 2021 and February 29, 2020, computed as of the grant date using the Black-Scholes pricing mode</w:t>
      </w:r>
      <w:r>
        <w:rPr>
          <w:rFonts w:ascii="Arial" w:eastAsia="宋体" w:hAnsi="Arial" w:cs="Arial"/>
          <w:color w:val="000000"/>
          <w:sz w:val="17"/>
          <w:szCs w:val="17"/>
        </w:rPr>
        <w:t>l, was $26.75 and $18.71, respectively. The weighted average assumptions used to estimate these fair values were as follows:</w:t>
      </w:r>
    </w:p>
    <w:tbl>
      <w:tblPr>
        <w:tblW w:w="5000" w:type="pct"/>
        <w:tblCellMar>
          <w:top w:w="15" w:type="dxa"/>
          <w:left w:w="15" w:type="dxa"/>
          <w:bottom w:w="15" w:type="dxa"/>
          <w:right w:w="15" w:type="dxa"/>
        </w:tblCellMar>
        <w:tblLook w:val="04A0" w:firstRow="1" w:lastRow="0" w:firstColumn="1" w:lastColumn="0" w:noHBand="0" w:noVBand="1"/>
      </w:tblPr>
      <w:tblGrid>
        <w:gridCol w:w="37"/>
        <w:gridCol w:w="5778"/>
        <w:gridCol w:w="36"/>
        <w:gridCol w:w="56"/>
        <w:gridCol w:w="1013"/>
        <w:gridCol w:w="174"/>
        <w:gridCol w:w="56"/>
        <w:gridCol w:w="1013"/>
        <w:gridCol w:w="173"/>
      </w:tblGrid>
      <w:tr w:rsidR="00066C63" w14:paraId="669C63A6" w14:textId="77777777">
        <w:tc>
          <w:tcPr>
            <w:tcW w:w="50" w:type="pct"/>
            <w:shd w:val="clear" w:color="auto" w:fill="auto"/>
          </w:tcPr>
          <w:p w14:paraId="669C639D" w14:textId="77777777" w:rsidR="00066C63" w:rsidRDefault="00066C63">
            <w:pPr>
              <w:rPr>
                <w:rFonts w:ascii="宋体"/>
              </w:rPr>
            </w:pPr>
          </w:p>
        </w:tc>
        <w:tc>
          <w:tcPr>
            <w:tcW w:w="3509" w:type="pct"/>
            <w:shd w:val="clear" w:color="auto" w:fill="auto"/>
          </w:tcPr>
          <w:p w14:paraId="669C639E" w14:textId="77777777" w:rsidR="00066C63" w:rsidRDefault="00066C63">
            <w:pPr>
              <w:rPr>
                <w:rFonts w:ascii="宋体"/>
              </w:rPr>
            </w:pPr>
          </w:p>
        </w:tc>
        <w:tc>
          <w:tcPr>
            <w:tcW w:w="5" w:type="pct"/>
            <w:shd w:val="clear" w:color="auto" w:fill="auto"/>
          </w:tcPr>
          <w:p w14:paraId="669C639F" w14:textId="77777777" w:rsidR="00066C63" w:rsidRDefault="00066C63">
            <w:pPr>
              <w:rPr>
                <w:rFonts w:ascii="宋体"/>
              </w:rPr>
            </w:pPr>
          </w:p>
        </w:tc>
        <w:tc>
          <w:tcPr>
            <w:tcW w:w="50" w:type="pct"/>
            <w:shd w:val="clear" w:color="auto" w:fill="auto"/>
          </w:tcPr>
          <w:p w14:paraId="669C63A0" w14:textId="77777777" w:rsidR="00066C63" w:rsidRDefault="00066C63">
            <w:pPr>
              <w:rPr>
                <w:rFonts w:ascii="宋体"/>
              </w:rPr>
            </w:pPr>
          </w:p>
        </w:tc>
        <w:tc>
          <w:tcPr>
            <w:tcW w:w="662" w:type="pct"/>
            <w:shd w:val="clear" w:color="auto" w:fill="auto"/>
          </w:tcPr>
          <w:p w14:paraId="669C63A1" w14:textId="77777777" w:rsidR="00066C63" w:rsidRDefault="00066C63">
            <w:pPr>
              <w:rPr>
                <w:rFonts w:ascii="宋体"/>
              </w:rPr>
            </w:pPr>
          </w:p>
        </w:tc>
        <w:tc>
          <w:tcPr>
            <w:tcW w:w="5" w:type="pct"/>
            <w:shd w:val="clear" w:color="auto" w:fill="auto"/>
          </w:tcPr>
          <w:p w14:paraId="669C63A2" w14:textId="77777777" w:rsidR="00066C63" w:rsidRDefault="00066C63">
            <w:pPr>
              <w:rPr>
                <w:rFonts w:ascii="宋体"/>
              </w:rPr>
            </w:pPr>
          </w:p>
        </w:tc>
        <w:tc>
          <w:tcPr>
            <w:tcW w:w="50" w:type="pct"/>
            <w:shd w:val="clear" w:color="auto" w:fill="auto"/>
          </w:tcPr>
          <w:p w14:paraId="669C63A3" w14:textId="77777777" w:rsidR="00066C63" w:rsidRDefault="00066C63">
            <w:pPr>
              <w:rPr>
                <w:rFonts w:ascii="宋体"/>
              </w:rPr>
            </w:pPr>
          </w:p>
        </w:tc>
        <w:tc>
          <w:tcPr>
            <w:tcW w:w="662" w:type="pct"/>
            <w:shd w:val="clear" w:color="auto" w:fill="auto"/>
          </w:tcPr>
          <w:p w14:paraId="669C63A4" w14:textId="77777777" w:rsidR="00066C63" w:rsidRDefault="00066C63">
            <w:pPr>
              <w:rPr>
                <w:rFonts w:ascii="宋体"/>
              </w:rPr>
            </w:pPr>
          </w:p>
        </w:tc>
        <w:tc>
          <w:tcPr>
            <w:tcW w:w="5" w:type="pct"/>
            <w:shd w:val="clear" w:color="auto" w:fill="auto"/>
          </w:tcPr>
          <w:p w14:paraId="669C63A5" w14:textId="77777777" w:rsidR="00066C63" w:rsidRDefault="00066C63">
            <w:pPr>
              <w:rPr>
                <w:rFonts w:ascii="宋体"/>
              </w:rPr>
            </w:pPr>
          </w:p>
        </w:tc>
      </w:tr>
      <w:tr w:rsidR="00066C63" w14:paraId="669C63A9" w14:textId="77777777">
        <w:tc>
          <w:tcPr>
            <w:tcW w:w="0" w:type="auto"/>
            <w:gridSpan w:val="3"/>
            <w:shd w:val="clear" w:color="auto" w:fill="auto"/>
            <w:tcMar>
              <w:top w:w="40" w:type="dxa"/>
              <w:left w:w="20" w:type="dxa"/>
              <w:bottom w:w="40" w:type="dxa"/>
              <w:right w:w="20" w:type="dxa"/>
            </w:tcMar>
            <w:vAlign w:val="bottom"/>
          </w:tcPr>
          <w:p w14:paraId="669C63A7" w14:textId="77777777" w:rsidR="00066C63" w:rsidRDefault="009656F6">
            <w:pPr>
              <w:textAlignment w:val="bottom"/>
            </w:pPr>
            <w:r>
              <w:rPr>
                <w:rFonts w:ascii="Arial" w:eastAsia="宋体" w:hAnsi="Arial" w:cs="Arial"/>
                <w:color w:val="000000"/>
                <w:sz w:val="17"/>
                <w:szCs w:val="17"/>
              </w:rPr>
              <w:t> </w:t>
            </w:r>
          </w:p>
        </w:tc>
        <w:tc>
          <w:tcPr>
            <w:tcW w:w="0" w:type="auto"/>
            <w:gridSpan w:val="6"/>
            <w:shd w:val="clear" w:color="auto" w:fill="auto"/>
            <w:tcMar>
              <w:top w:w="40" w:type="dxa"/>
              <w:left w:w="20" w:type="dxa"/>
              <w:bottom w:w="40" w:type="dxa"/>
              <w:right w:w="20" w:type="dxa"/>
            </w:tcMar>
            <w:vAlign w:val="bottom"/>
          </w:tcPr>
          <w:p w14:paraId="669C63A8" w14:textId="77777777" w:rsidR="00066C63" w:rsidRDefault="009656F6">
            <w:pPr>
              <w:jc w:val="center"/>
              <w:textAlignment w:val="bottom"/>
            </w:pPr>
            <w:r>
              <w:rPr>
                <w:rFonts w:ascii="sans-serif" w:eastAsia="sans-serif" w:hAnsi="sans-serif" w:cs="sans-serif"/>
                <w:b/>
                <w:bCs/>
                <w:color w:val="000000"/>
                <w:sz w:val="17"/>
                <w:szCs w:val="17"/>
              </w:rPr>
              <w:t xml:space="preserve">NINE MONTHS ENDED </w:t>
            </w:r>
          </w:p>
        </w:tc>
      </w:tr>
      <w:tr w:rsidR="00066C63" w14:paraId="669C63AD" w14:textId="77777777">
        <w:tc>
          <w:tcPr>
            <w:tcW w:w="0" w:type="auto"/>
            <w:gridSpan w:val="3"/>
            <w:shd w:val="clear" w:color="auto" w:fill="auto"/>
            <w:tcMar>
              <w:top w:w="0" w:type="dxa"/>
              <w:left w:w="20" w:type="dxa"/>
              <w:bottom w:w="0" w:type="dxa"/>
              <w:right w:w="20" w:type="dxa"/>
            </w:tcMar>
          </w:tcPr>
          <w:p w14:paraId="669C63AA" w14:textId="77777777" w:rsidR="00066C63" w:rsidRDefault="00066C63">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3AB" w14:textId="77777777" w:rsidR="00066C63" w:rsidRDefault="009656F6">
            <w:pPr>
              <w:jc w:val="center"/>
              <w:textAlignment w:val="bottom"/>
            </w:pPr>
            <w:r>
              <w:rPr>
                <w:rFonts w:ascii="sans-serif" w:eastAsia="sans-serif" w:hAnsi="sans-serif" w:cs="sans-serif"/>
                <w:b/>
                <w:bCs/>
                <w:color w:val="000000"/>
                <w:sz w:val="17"/>
                <w:szCs w:val="17"/>
              </w:rPr>
              <w:t>FEBRUARY 28, 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3AC" w14:textId="77777777" w:rsidR="00066C63" w:rsidRDefault="009656F6">
            <w:pPr>
              <w:jc w:val="center"/>
              <w:textAlignment w:val="bottom"/>
            </w:pPr>
            <w:r>
              <w:rPr>
                <w:rFonts w:ascii="sans-serif" w:eastAsia="sans-serif" w:hAnsi="sans-serif" w:cs="sans-serif"/>
                <w:b/>
                <w:bCs/>
                <w:color w:val="000000"/>
                <w:sz w:val="17"/>
                <w:szCs w:val="17"/>
              </w:rPr>
              <w:t>FEBRUARY 29, 2020</w:t>
            </w:r>
          </w:p>
        </w:tc>
      </w:tr>
      <w:tr w:rsidR="00066C63" w14:paraId="669C63B3"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3AE" w14:textId="77777777" w:rsidR="00066C63" w:rsidRDefault="009656F6">
            <w:pPr>
              <w:textAlignment w:val="bottom"/>
            </w:pPr>
            <w:r>
              <w:rPr>
                <w:rFonts w:ascii="Arial" w:eastAsia="宋体" w:hAnsi="Arial" w:cs="Arial"/>
                <w:color w:val="000000"/>
                <w:sz w:val="17"/>
                <w:szCs w:val="17"/>
              </w:rPr>
              <w:t>Dividend yield</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669C63AF" w14:textId="77777777" w:rsidR="00066C63" w:rsidRDefault="009656F6">
            <w:pPr>
              <w:jc w:val="right"/>
              <w:textAlignment w:val="bottom"/>
            </w:pPr>
            <w:r>
              <w:rPr>
                <w:rFonts w:ascii="Arial" w:eastAsia="宋体" w:hAnsi="Arial" w:cs="Arial"/>
                <w:color w:val="000000"/>
                <w:sz w:val="17"/>
                <w:szCs w:val="17"/>
              </w:rPr>
              <w:t>0.9 </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63B0" w14:textId="77777777" w:rsidR="00066C63" w:rsidRDefault="009656F6">
            <w:pPr>
              <w:jc w:val="right"/>
              <w:textAlignment w:val="bottom"/>
            </w:pPr>
            <w:r>
              <w:rPr>
                <w:rFonts w:ascii="Arial" w:eastAsia="宋体" w:hAnsi="Arial" w:cs="Arial"/>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63B1" w14:textId="77777777" w:rsidR="00066C63" w:rsidRDefault="009656F6">
            <w:pPr>
              <w:jc w:val="right"/>
              <w:textAlignment w:val="bottom"/>
            </w:pPr>
            <w:r>
              <w:rPr>
                <w:rFonts w:ascii="Arial" w:eastAsia="宋体" w:hAnsi="Arial" w:cs="Arial"/>
                <w:color w:val="000000"/>
                <w:sz w:val="17"/>
                <w:szCs w:val="17"/>
              </w:rPr>
              <w:t>1.0 </w:t>
            </w:r>
          </w:p>
        </w:tc>
        <w:tc>
          <w:tcPr>
            <w:tcW w:w="0" w:type="auto"/>
            <w:tcBorders>
              <w:top w:val="single" w:sz="8" w:space="0" w:color="E87722"/>
            </w:tcBorders>
            <w:shd w:val="clear" w:color="auto" w:fill="auto"/>
            <w:tcMar>
              <w:top w:w="40" w:type="dxa"/>
              <w:left w:w="0" w:type="dxa"/>
              <w:bottom w:w="40" w:type="dxa"/>
              <w:right w:w="20" w:type="dxa"/>
            </w:tcMar>
            <w:vAlign w:val="bottom"/>
          </w:tcPr>
          <w:p w14:paraId="669C63B2" w14:textId="77777777" w:rsidR="00066C63" w:rsidRDefault="009656F6">
            <w:pPr>
              <w:jc w:val="right"/>
              <w:textAlignment w:val="bottom"/>
            </w:pPr>
            <w:r>
              <w:rPr>
                <w:rFonts w:ascii="Arial" w:eastAsia="宋体" w:hAnsi="Arial" w:cs="Arial"/>
                <w:color w:val="000000"/>
                <w:sz w:val="17"/>
                <w:szCs w:val="17"/>
              </w:rPr>
              <w:t>%</w:t>
            </w:r>
          </w:p>
        </w:tc>
      </w:tr>
      <w:tr w:rsidR="00066C63" w14:paraId="669C63B9"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63B4" w14:textId="77777777" w:rsidR="00066C63" w:rsidRDefault="009656F6">
            <w:pPr>
              <w:textAlignment w:val="bottom"/>
            </w:pPr>
            <w:r>
              <w:rPr>
                <w:rFonts w:ascii="Arial" w:eastAsia="宋体" w:hAnsi="Arial" w:cs="Arial"/>
                <w:color w:val="000000"/>
                <w:sz w:val="17"/>
                <w:szCs w:val="17"/>
              </w:rPr>
              <w:t>Expected volatility</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3B5" w14:textId="77777777" w:rsidR="00066C63" w:rsidRDefault="009656F6">
            <w:pPr>
              <w:jc w:val="right"/>
              <w:textAlignment w:val="bottom"/>
            </w:pPr>
            <w:r>
              <w:rPr>
                <w:rFonts w:ascii="Arial" w:eastAsia="宋体" w:hAnsi="Arial" w:cs="Arial"/>
                <w:color w:val="000000"/>
                <w:sz w:val="17"/>
                <w:szCs w:val="17"/>
              </w:rPr>
              <w:t>27.3 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3B6" w14:textId="77777777" w:rsidR="00066C63" w:rsidRDefault="009656F6">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3B7" w14:textId="77777777" w:rsidR="00066C63" w:rsidRDefault="009656F6">
            <w:pPr>
              <w:jc w:val="right"/>
              <w:textAlignment w:val="bottom"/>
            </w:pPr>
            <w:r>
              <w:rPr>
                <w:rFonts w:ascii="Arial" w:eastAsia="宋体" w:hAnsi="Arial" w:cs="Arial"/>
                <w:color w:val="000000"/>
                <w:sz w:val="17"/>
                <w:szCs w:val="17"/>
              </w:rPr>
              <w:t>23.0 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3B8" w14:textId="77777777" w:rsidR="00066C63" w:rsidRDefault="009656F6">
            <w:pPr>
              <w:jc w:val="right"/>
              <w:textAlignment w:val="bottom"/>
            </w:pPr>
            <w:r>
              <w:rPr>
                <w:rFonts w:ascii="Arial" w:eastAsia="宋体" w:hAnsi="Arial" w:cs="Arial"/>
                <w:color w:val="000000"/>
                <w:sz w:val="17"/>
                <w:szCs w:val="17"/>
              </w:rPr>
              <w:t>%</w:t>
            </w:r>
          </w:p>
        </w:tc>
      </w:tr>
      <w:tr w:rsidR="00066C63" w14:paraId="669C63BD"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63BA" w14:textId="77777777" w:rsidR="00066C63" w:rsidRDefault="009656F6">
            <w:pPr>
              <w:textAlignment w:val="bottom"/>
            </w:pPr>
            <w:r>
              <w:rPr>
                <w:rFonts w:ascii="Arial" w:eastAsia="宋体" w:hAnsi="Arial" w:cs="Arial"/>
                <w:color w:val="000000"/>
                <w:sz w:val="17"/>
                <w:szCs w:val="17"/>
              </w:rPr>
              <w:t>Weighted average expected life (in years)</w:t>
            </w:r>
          </w:p>
        </w:tc>
        <w:tc>
          <w:tcPr>
            <w:tcW w:w="0" w:type="auto"/>
            <w:gridSpan w:val="3"/>
            <w:tcBorders>
              <w:top w:val="single" w:sz="8" w:space="0" w:color="808080"/>
            </w:tcBorders>
            <w:shd w:val="clear" w:color="auto" w:fill="FFF1E7"/>
            <w:tcMar>
              <w:top w:w="40" w:type="dxa"/>
              <w:left w:w="20" w:type="dxa"/>
              <w:bottom w:w="40" w:type="dxa"/>
              <w:right w:w="20" w:type="dxa"/>
            </w:tcMar>
            <w:vAlign w:val="bottom"/>
          </w:tcPr>
          <w:p w14:paraId="669C63BB" w14:textId="77777777" w:rsidR="00066C63" w:rsidRDefault="009656F6">
            <w:pPr>
              <w:jc w:val="right"/>
              <w:textAlignment w:val="bottom"/>
            </w:pPr>
            <w:r>
              <w:rPr>
                <w:rFonts w:ascii="Arial" w:eastAsia="宋体" w:hAnsi="Arial" w:cs="Arial"/>
                <w:color w:val="000000"/>
                <w:sz w:val="17"/>
                <w:szCs w:val="17"/>
              </w:rPr>
              <w:t>6.0</w:t>
            </w: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63BC" w14:textId="77777777" w:rsidR="00066C63" w:rsidRDefault="009656F6">
            <w:pPr>
              <w:jc w:val="right"/>
              <w:textAlignment w:val="bottom"/>
            </w:pPr>
            <w:r>
              <w:rPr>
                <w:rFonts w:ascii="Arial" w:eastAsia="宋体" w:hAnsi="Arial" w:cs="Arial"/>
                <w:color w:val="000000"/>
                <w:sz w:val="17"/>
                <w:szCs w:val="17"/>
              </w:rPr>
              <w:t>6.0</w:t>
            </w:r>
          </w:p>
        </w:tc>
      </w:tr>
      <w:tr w:rsidR="00066C63" w14:paraId="669C63C3" w14:textId="77777777">
        <w:tc>
          <w:tcPr>
            <w:tcW w:w="0" w:type="auto"/>
            <w:gridSpan w:val="3"/>
            <w:tcBorders>
              <w:top w:val="single" w:sz="8" w:space="0" w:color="808080"/>
              <w:bottom w:val="single" w:sz="8" w:space="0" w:color="E87722"/>
            </w:tcBorders>
            <w:shd w:val="clear" w:color="auto" w:fill="auto"/>
            <w:tcMar>
              <w:top w:w="40" w:type="dxa"/>
              <w:left w:w="20" w:type="dxa"/>
              <w:bottom w:w="40" w:type="dxa"/>
              <w:right w:w="20" w:type="dxa"/>
            </w:tcMar>
            <w:vAlign w:val="bottom"/>
          </w:tcPr>
          <w:p w14:paraId="669C63BE" w14:textId="77777777" w:rsidR="00066C63" w:rsidRDefault="009656F6">
            <w:pPr>
              <w:textAlignment w:val="bottom"/>
            </w:pPr>
            <w:r>
              <w:rPr>
                <w:rFonts w:ascii="Arial" w:eastAsia="宋体" w:hAnsi="Arial" w:cs="Arial"/>
                <w:color w:val="000000"/>
                <w:sz w:val="17"/>
                <w:szCs w:val="17"/>
              </w:rPr>
              <w:t>Risk-free interest rate</w:t>
            </w:r>
          </w:p>
        </w:tc>
        <w:tc>
          <w:tcPr>
            <w:tcW w:w="0" w:type="auto"/>
            <w:gridSpan w:val="2"/>
            <w:tcBorders>
              <w:top w:val="single" w:sz="8" w:space="0" w:color="808080"/>
              <w:bottom w:val="single" w:sz="8" w:space="0" w:color="E87722"/>
            </w:tcBorders>
            <w:shd w:val="clear" w:color="auto" w:fill="FFF1E7"/>
            <w:tcMar>
              <w:top w:w="40" w:type="dxa"/>
              <w:left w:w="20" w:type="dxa"/>
              <w:bottom w:w="40" w:type="dxa"/>
              <w:right w:w="0" w:type="dxa"/>
            </w:tcMar>
            <w:vAlign w:val="bottom"/>
          </w:tcPr>
          <w:p w14:paraId="669C63BF" w14:textId="77777777" w:rsidR="00066C63" w:rsidRDefault="009656F6">
            <w:pPr>
              <w:jc w:val="right"/>
              <w:textAlignment w:val="bottom"/>
            </w:pPr>
            <w:r>
              <w:rPr>
                <w:rFonts w:ascii="Arial" w:eastAsia="宋体" w:hAnsi="Arial" w:cs="Arial"/>
                <w:color w:val="000000"/>
                <w:sz w:val="17"/>
                <w:szCs w:val="17"/>
              </w:rPr>
              <w:t>0.4 </w:t>
            </w:r>
          </w:p>
        </w:tc>
        <w:tc>
          <w:tcPr>
            <w:tcW w:w="0" w:type="auto"/>
            <w:tcBorders>
              <w:top w:val="single" w:sz="8" w:space="0" w:color="808080"/>
              <w:bottom w:val="single" w:sz="8" w:space="0" w:color="E87722"/>
            </w:tcBorders>
            <w:shd w:val="clear" w:color="auto" w:fill="FFF1E7"/>
            <w:tcMar>
              <w:top w:w="40" w:type="dxa"/>
              <w:left w:w="0" w:type="dxa"/>
              <w:bottom w:w="40" w:type="dxa"/>
              <w:right w:w="20" w:type="dxa"/>
            </w:tcMar>
            <w:vAlign w:val="bottom"/>
          </w:tcPr>
          <w:p w14:paraId="669C63C0" w14:textId="77777777" w:rsidR="00066C63" w:rsidRDefault="009656F6">
            <w:pPr>
              <w:jc w:val="right"/>
              <w:textAlignment w:val="bottom"/>
            </w:pPr>
            <w:r>
              <w:rPr>
                <w:rFonts w:ascii="Arial" w:eastAsia="宋体" w:hAnsi="Arial" w:cs="Arial"/>
                <w:color w:val="000000"/>
                <w:sz w:val="17"/>
                <w:szCs w:val="17"/>
              </w:rPr>
              <w:t>%</w:t>
            </w:r>
          </w:p>
        </w:tc>
        <w:tc>
          <w:tcPr>
            <w:tcW w:w="0" w:type="auto"/>
            <w:gridSpan w:val="2"/>
            <w:tcBorders>
              <w:top w:val="single" w:sz="8" w:space="0" w:color="808080"/>
              <w:bottom w:val="single" w:sz="8" w:space="0" w:color="E87722"/>
            </w:tcBorders>
            <w:shd w:val="clear" w:color="auto" w:fill="auto"/>
            <w:tcMar>
              <w:top w:w="40" w:type="dxa"/>
              <w:left w:w="20" w:type="dxa"/>
              <w:bottom w:w="40" w:type="dxa"/>
              <w:right w:w="0" w:type="dxa"/>
            </w:tcMar>
            <w:vAlign w:val="bottom"/>
          </w:tcPr>
          <w:p w14:paraId="669C63C1" w14:textId="77777777" w:rsidR="00066C63" w:rsidRDefault="009656F6">
            <w:pPr>
              <w:jc w:val="right"/>
              <w:textAlignment w:val="bottom"/>
            </w:pPr>
            <w:r>
              <w:rPr>
                <w:rFonts w:ascii="Arial" w:eastAsia="宋体" w:hAnsi="Arial" w:cs="Arial"/>
                <w:color w:val="000000"/>
                <w:sz w:val="17"/>
                <w:szCs w:val="17"/>
              </w:rPr>
              <w:t>1.5 </w:t>
            </w:r>
          </w:p>
        </w:tc>
        <w:tc>
          <w:tcPr>
            <w:tcW w:w="0" w:type="auto"/>
            <w:tcBorders>
              <w:top w:val="single" w:sz="8" w:space="0" w:color="808080"/>
              <w:bottom w:val="single" w:sz="8" w:space="0" w:color="E87722"/>
            </w:tcBorders>
            <w:shd w:val="clear" w:color="auto" w:fill="auto"/>
            <w:tcMar>
              <w:top w:w="40" w:type="dxa"/>
              <w:left w:w="0" w:type="dxa"/>
              <w:bottom w:w="40" w:type="dxa"/>
              <w:right w:w="20" w:type="dxa"/>
            </w:tcMar>
            <w:vAlign w:val="bottom"/>
          </w:tcPr>
          <w:p w14:paraId="669C63C2" w14:textId="77777777" w:rsidR="00066C63" w:rsidRDefault="009656F6">
            <w:pPr>
              <w:jc w:val="right"/>
              <w:textAlignment w:val="bottom"/>
            </w:pPr>
            <w:r>
              <w:rPr>
                <w:rFonts w:ascii="Arial" w:eastAsia="宋体" w:hAnsi="Arial" w:cs="Arial"/>
                <w:color w:val="000000"/>
                <w:sz w:val="17"/>
                <w:szCs w:val="17"/>
              </w:rPr>
              <w:t>%</w:t>
            </w:r>
          </w:p>
        </w:tc>
      </w:tr>
    </w:tbl>
    <w:p w14:paraId="669C63C4" w14:textId="77777777" w:rsidR="00066C63" w:rsidRDefault="009656F6">
      <w:pPr>
        <w:spacing w:before="120" w:after="120"/>
      </w:pPr>
      <w:r>
        <w:rPr>
          <w:rFonts w:ascii="Arial" w:eastAsia="宋体" w:hAnsi="Arial" w:cs="Arial"/>
          <w:color w:val="000000"/>
          <w:sz w:val="17"/>
          <w:szCs w:val="17"/>
        </w:rPr>
        <w:t xml:space="preserve">Expected volatilities are based on the historical volatility of the Company's common stock, the implied volatility in market traded options on the </w:t>
      </w:r>
      <w:r>
        <w:rPr>
          <w:rFonts w:ascii="Arial" w:eastAsia="宋体" w:hAnsi="Arial" w:cs="Arial"/>
          <w:color w:val="000000"/>
          <w:sz w:val="17"/>
          <w:szCs w:val="17"/>
        </w:rPr>
        <w:t>Company's common stock with a term greater than one year, as well as other factors. The weighted average expected life of options is based on an analysis of historical and expected future exercise patterns. The interest rate is based on the U.S. Treasury (</w:t>
      </w:r>
      <w:r>
        <w:rPr>
          <w:rFonts w:ascii="Arial" w:eastAsia="宋体" w:hAnsi="Arial" w:cs="Arial"/>
          <w:color w:val="000000"/>
          <w:sz w:val="17"/>
          <w:szCs w:val="17"/>
        </w:rPr>
        <w:t>constant maturity) risk-free rate in effect at the date of grant for periods corresponding with the expected term of the options.</w:t>
      </w:r>
    </w:p>
    <w:p w14:paraId="669C63C5" w14:textId="77777777" w:rsidR="00066C63" w:rsidRDefault="009656F6">
      <w:pPr>
        <w:spacing w:before="120" w:after="120"/>
      </w:pPr>
      <w:r>
        <w:rPr>
          <w:rFonts w:ascii="Arial" w:eastAsia="宋体" w:hAnsi="Arial" w:cs="Arial"/>
          <w:color w:val="000000"/>
          <w:sz w:val="17"/>
          <w:szCs w:val="17"/>
        </w:rPr>
        <w:t xml:space="preserve">As of February 28, 2021, the Company had $492 million of unrecognized compensation costs from stock options, net of estimated </w:t>
      </w:r>
      <w:r>
        <w:rPr>
          <w:rFonts w:ascii="Arial" w:eastAsia="宋体" w:hAnsi="Arial" w:cs="Arial"/>
          <w:color w:val="000000"/>
          <w:sz w:val="17"/>
          <w:szCs w:val="17"/>
        </w:rPr>
        <w:t>forfeitures, to be recognized in Cost of sales or Operating overhead expense, as applicable, over a weighted average remaining period of 2.6 years.</w:t>
      </w:r>
    </w:p>
    <w:p w14:paraId="669C63C6" w14:textId="77777777" w:rsidR="00066C63" w:rsidRDefault="009656F6">
      <w:pPr>
        <w:spacing w:before="240" w:after="120"/>
      </w:pPr>
      <w:r>
        <w:rPr>
          <w:rFonts w:ascii="sans-serif" w:eastAsia="sans-serif" w:hAnsi="sans-serif" w:cs="sans-serif"/>
          <w:b/>
          <w:bCs/>
          <w:color w:val="000000"/>
          <w:sz w:val="28"/>
          <w:szCs w:val="28"/>
        </w:rPr>
        <w:t>RESTRICTED STOCK AND RESTRICTED STOCK UNITS</w:t>
      </w:r>
    </w:p>
    <w:p w14:paraId="669C63C7" w14:textId="77777777" w:rsidR="00066C63" w:rsidRDefault="009656F6">
      <w:pPr>
        <w:spacing w:before="120" w:after="120"/>
      </w:pPr>
      <w:r>
        <w:rPr>
          <w:rFonts w:ascii="Arial" w:eastAsia="宋体" w:hAnsi="Arial" w:cs="Arial"/>
          <w:color w:val="000000"/>
          <w:sz w:val="17"/>
          <w:szCs w:val="17"/>
        </w:rPr>
        <w:t>The weighted average fair value per share of restricted stock an</w:t>
      </w:r>
      <w:r>
        <w:rPr>
          <w:rFonts w:ascii="Arial" w:eastAsia="宋体" w:hAnsi="Arial" w:cs="Arial"/>
          <w:color w:val="000000"/>
          <w:sz w:val="17"/>
          <w:szCs w:val="17"/>
        </w:rPr>
        <w:t>d restricted stock units granted for the nine months ended February 28, 2021 and February 29, 2020, computed as of the grant date, was $112.44 and $88.28, respectively. As of February 28, 2021, the Company had $485 million of unrecognized compensation cost</w:t>
      </w:r>
      <w:r>
        <w:rPr>
          <w:rFonts w:ascii="Arial" w:eastAsia="宋体" w:hAnsi="Arial" w:cs="Arial"/>
          <w:color w:val="000000"/>
          <w:sz w:val="17"/>
          <w:szCs w:val="17"/>
        </w:rPr>
        <w:t>s from restricted stock and restricted stock units, net of estimated forfeitures, to be recognized in Cost of sales or Operating overhead expense, as applicable, over a weighted average remaining period of 2.7 years.</w:t>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066C63" w14:paraId="669C63CB" w14:textId="77777777">
        <w:tc>
          <w:tcPr>
            <w:tcW w:w="50" w:type="pct"/>
            <w:shd w:val="clear" w:color="auto" w:fill="auto"/>
          </w:tcPr>
          <w:p w14:paraId="669C63C8" w14:textId="77777777" w:rsidR="00066C63" w:rsidRDefault="00066C63">
            <w:pPr>
              <w:rPr>
                <w:rFonts w:ascii="宋体"/>
              </w:rPr>
            </w:pPr>
          </w:p>
        </w:tc>
        <w:tc>
          <w:tcPr>
            <w:tcW w:w="4945" w:type="pct"/>
            <w:shd w:val="clear" w:color="auto" w:fill="auto"/>
          </w:tcPr>
          <w:p w14:paraId="669C63C9" w14:textId="77777777" w:rsidR="00066C63" w:rsidRDefault="00066C63">
            <w:pPr>
              <w:rPr>
                <w:rFonts w:ascii="宋体"/>
              </w:rPr>
            </w:pPr>
          </w:p>
        </w:tc>
        <w:tc>
          <w:tcPr>
            <w:tcW w:w="5" w:type="pct"/>
            <w:shd w:val="clear" w:color="auto" w:fill="auto"/>
          </w:tcPr>
          <w:p w14:paraId="669C63CA" w14:textId="77777777" w:rsidR="00066C63" w:rsidRDefault="00066C63">
            <w:pPr>
              <w:rPr>
                <w:rFonts w:ascii="宋体"/>
              </w:rPr>
            </w:pPr>
          </w:p>
        </w:tc>
      </w:tr>
      <w:tr w:rsidR="00066C63" w14:paraId="669C63CD" w14:textId="77777777">
        <w:tc>
          <w:tcPr>
            <w:tcW w:w="0" w:type="auto"/>
            <w:gridSpan w:val="3"/>
            <w:shd w:val="clear" w:color="auto" w:fill="auto"/>
            <w:tcMar>
              <w:top w:w="40" w:type="dxa"/>
              <w:left w:w="20" w:type="dxa"/>
              <w:bottom w:w="40" w:type="dxa"/>
              <w:right w:w="20" w:type="dxa"/>
            </w:tcMar>
            <w:vAlign w:val="bottom"/>
          </w:tcPr>
          <w:p w14:paraId="669C63CC" w14:textId="77777777" w:rsidR="00066C63" w:rsidRDefault="009656F6">
            <w:pPr>
              <w:textAlignment w:val="bottom"/>
            </w:pPr>
            <w:r>
              <w:rPr>
                <w:rFonts w:ascii="sans-serif" w:eastAsia="sans-serif" w:hAnsi="sans-serif" w:cs="sans-serif"/>
                <w:b/>
                <w:bCs/>
                <w:color w:val="E87722"/>
                <w:sz w:val="36"/>
                <w:szCs w:val="36"/>
              </w:rPr>
              <w:t>NOTE 8 — EARNINGS PER SHARE</w:t>
            </w:r>
          </w:p>
        </w:tc>
      </w:tr>
    </w:tbl>
    <w:p w14:paraId="669C63CE" w14:textId="77777777" w:rsidR="00066C63" w:rsidRDefault="009656F6">
      <w:pPr>
        <w:spacing w:before="120"/>
      </w:pPr>
      <w:r>
        <w:rPr>
          <w:rFonts w:ascii="Arial" w:eastAsia="宋体" w:hAnsi="Arial" w:cs="Arial"/>
          <w:color w:val="000000"/>
          <w:sz w:val="17"/>
          <w:szCs w:val="17"/>
        </w:rPr>
        <w:t xml:space="preserve">The </w:t>
      </w:r>
      <w:r>
        <w:rPr>
          <w:rFonts w:ascii="Arial" w:eastAsia="宋体" w:hAnsi="Arial" w:cs="Arial"/>
          <w:color w:val="000000"/>
          <w:sz w:val="17"/>
          <w:szCs w:val="17"/>
        </w:rPr>
        <w:t>following is a reconciliation from basic earnings per common share to diluted earnings per common share. The computations of diluted earnings per common share excluded restricted stock and options, including shares under ESPPs, to purchase an additional 15</w:t>
      </w:r>
      <w:r>
        <w:rPr>
          <w:rFonts w:ascii="Arial" w:eastAsia="宋体" w:hAnsi="Arial" w:cs="Arial"/>
          <w:color w:val="000000"/>
          <w:sz w:val="17"/>
          <w:szCs w:val="17"/>
        </w:rPr>
        <w:t>.8 million shares of common stock outstanding for the three months ended February 29, 2020 because the awards were anti-dilutive. The amount of anti-dilutive awards for the three months ended February 28, 2021 was insignificant. For the nine months ended F</w:t>
      </w:r>
      <w:r>
        <w:rPr>
          <w:rFonts w:ascii="Arial" w:eastAsia="宋体" w:hAnsi="Arial" w:cs="Arial"/>
          <w:color w:val="000000"/>
          <w:sz w:val="17"/>
          <w:szCs w:val="17"/>
        </w:rPr>
        <w:t>ebruary 28, 2021 and February 29, 2020 the computations of diluted earnings per common share excluded 11.6 million and 31.1 million shares of common stock outstanding because the awards were anti-dilutive.</w:t>
      </w:r>
    </w:p>
    <w:tbl>
      <w:tblPr>
        <w:tblW w:w="5000" w:type="pct"/>
        <w:tblCellMar>
          <w:top w:w="15" w:type="dxa"/>
          <w:left w:w="15" w:type="dxa"/>
          <w:bottom w:w="15" w:type="dxa"/>
          <w:right w:w="15" w:type="dxa"/>
        </w:tblCellMar>
        <w:tblLook w:val="04A0" w:firstRow="1" w:lastRow="0" w:firstColumn="1" w:lastColumn="0" w:noHBand="0" w:noVBand="1"/>
      </w:tblPr>
      <w:tblGrid>
        <w:gridCol w:w="40"/>
        <w:gridCol w:w="3340"/>
        <w:gridCol w:w="39"/>
        <w:gridCol w:w="116"/>
        <w:gridCol w:w="1049"/>
        <w:gridCol w:w="37"/>
        <w:gridCol w:w="116"/>
        <w:gridCol w:w="1049"/>
        <w:gridCol w:w="36"/>
        <w:gridCol w:w="36"/>
        <w:gridCol w:w="36"/>
        <w:gridCol w:w="36"/>
        <w:gridCol w:w="116"/>
        <w:gridCol w:w="1050"/>
        <w:gridCol w:w="37"/>
        <w:gridCol w:w="116"/>
        <w:gridCol w:w="1050"/>
        <w:gridCol w:w="37"/>
      </w:tblGrid>
      <w:tr w:rsidR="00066C63" w14:paraId="669C63E1" w14:textId="77777777">
        <w:tc>
          <w:tcPr>
            <w:tcW w:w="50" w:type="pct"/>
            <w:shd w:val="clear" w:color="auto" w:fill="auto"/>
          </w:tcPr>
          <w:p w14:paraId="669C63CF" w14:textId="77777777" w:rsidR="00066C63" w:rsidRDefault="00066C63">
            <w:pPr>
              <w:rPr>
                <w:rFonts w:ascii="宋体"/>
              </w:rPr>
            </w:pPr>
          </w:p>
        </w:tc>
        <w:tc>
          <w:tcPr>
            <w:tcW w:w="2043" w:type="pct"/>
            <w:shd w:val="clear" w:color="auto" w:fill="auto"/>
          </w:tcPr>
          <w:p w14:paraId="669C63D0" w14:textId="77777777" w:rsidR="00066C63" w:rsidRDefault="00066C63">
            <w:pPr>
              <w:rPr>
                <w:rFonts w:ascii="宋体"/>
              </w:rPr>
            </w:pPr>
          </w:p>
        </w:tc>
        <w:tc>
          <w:tcPr>
            <w:tcW w:w="5" w:type="pct"/>
            <w:shd w:val="clear" w:color="auto" w:fill="auto"/>
          </w:tcPr>
          <w:p w14:paraId="669C63D1" w14:textId="77777777" w:rsidR="00066C63" w:rsidRDefault="00066C63">
            <w:pPr>
              <w:rPr>
                <w:rFonts w:ascii="宋体"/>
              </w:rPr>
            </w:pPr>
          </w:p>
        </w:tc>
        <w:tc>
          <w:tcPr>
            <w:tcW w:w="50" w:type="pct"/>
            <w:shd w:val="clear" w:color="auto" w:fill="auto"/>
          </w:tcPr>
          <w:p w14:paraId="669C63D2" w14:textId="77777777" w:rsidR="00066C63" w:rsidRDefault="00066C63">
            <w:pPr>
              <w:rPr>
                <w:rFonts w:ascii="宋体"/>
              </w:rPr>
            </w:pPr>
          </w:p>
        </w:tc>
        <w:tc>
          <w:tcPr>
            <w:tcW w:w="662" w:type="pct"/>
            <w:shd w:val="clear" w:color="auto" w:fill="auto"/>
          </w:tcPr>
          <w:p w14:paraId="669C63D3" w14:textId="77777777" w:rsidR="00066C63" w:rsidRDefault="00066C63">
            <w:pPr>
              <w:rPr>
                <w:rFonts w:ascii="宋体"/>
              </w:rPr>
            </w:pPr>
          </w:p>
        </w:tc>
        <w:tc>
          <w:tcPr>
            <w:tcW w:w="5" w:type="pct"/>
            <w:shd w:val="clear" w:color="auto" w:fill="auto"/>
          </w:tcPr>
          <w:p w14:paraId="669C63D4" w14:textId="77777777" w:rsidR="00066C63" w:rsidRDefault="00066C63">
            <w:pPr>
              <w:rPr>
                <w:rFonts w:ascii="宋体"/>
              </w:rPr>
            </w:pPr>
          </w:p>
        </w:tc>
        <w:tc>
          <w:tcPr>
            <w:tcW w:w="50" w:type="pct"/>
            <w:shd w:val="clear" w:color="auto" w:fill="auto"/>
          </w:tcPr>
          <w:p w14:paraId="669C63D5" w14:textId="77777777" w:rsidR="00066C63" w:rsidRDefault="00066C63">
            <w:pPr>
              <w:rPr>
                <w:rFonts w:ascii="宋体"/>
              </w:rPr>
            </w:pPr>
          </w:p>
        </w:tc>
        <w:tc>
          <w:tcPr>
            <w:tcW w:w="662" w:type="pct"/>
            <w:shd w:val="clear" w:color="auto" w:fill="auto"/>
          </w:tcPr>
          <w:p w14:paraId="669C63D6" w14:textId="77777777" w:rsidR="00066C63" w:rsidRDefault="00066C63">
            <w:pPr>
              <w:rPr>
                <w:rFonts w:ascii="宋体"/>
              </w:rPr>
            </w:pPr>
          </w:p>
        </w:tc>
        <w:tc>
          <w:tcPr>
            <w:tcW w:w="5" w:type="pct"/>
            <w:shd w:val="clear" w:color="auto" w:fill="auto"/>
          </w:tcPr>
          <w:p w14:paraId="669C63D7" w14:textId="77777777" w:rsidR="00066C63" w:rsidRDefault="00066C63">
            <w:pPr>
              <w:rPr>
                <w:rFonts w:ascii="宋体"/>
              </w:rPr>
            </w:pPr>
          </w:p>
        </w:tc>
        <w:tc>
          <w:tcPr>
            <w:tcW w:w="5" w:type="pct"/>
            <w:shd w:val="clear" w:color="auto" w:fill="auto"/>
          </w:tcPr>
          <w:p w14:paraId="669C63D8" w14:textId="77777777" w:rsidR="00066C63" w:rsidRDefault="00066C63">
            <w:pPr>
              <w:rPr>
                <w:rFonts w:ascii="宋体"/>
              </w:rPr>
            </w:pPr>
          </w:p>
        </w:tc>
        <w:tc>
          <w:tcPr>
            <w:tcW w:w="20" w:type="pct"/>
            <w:shd w:val="clear" w:color="auto" w:fill="auto"/>
          </w:tcPr>
          <w:p w14:paraId="669C63D9" w14:textId="77777777" w:rsidR="00066C63" w:rsidRDefault="00066C63">
            <w:pPr>
              <w:rPr>
                <w:rFonts w:ascii="宋体"/>
              </w:rPr>
            </w:pPr>
          </w:p>
        </w:tc>
        <w:tc>
          <w:tcPr>
            <w:tcW w:w="5" w:type="pct"/>
            <w:shd w:val="clear" w:color="auto" w:fill="auto"/>
          </w:tcPr>
          <w:p w14:paraId="669C63DA" w14:textId="77777777" w:rsidR="00066C63" w:rsidRDefault="00066C63">
            <w:pPr>
              <w:rPr>
                <w:rFonts w:ascii="宋体"/>
              </w:rPr>
            </w:pPr>
          </w:p>
        </w:tc>
        <w:tc>
          <w:tcPr>
            <w:tcW w:w="50" w:type="pct"/>
            <w:shd w:val="clear" w:color="auto" w:fill="auto"/>
          </w:tcPr>
          <w:p w14:paraId="669C63DB" w14:textId="77777777" w:rsidR="00066C63" w:rsidRDefault="00066C63">
            <w:pPr>
              <w:rPr>
                <w:rFonts w:ascii="宋体"/>
              </w:rPr>
            </w:pPr>
          </w:p>
        </w:tc>
        <w:tc>
          <w:tcPr>
            <w:tcW w:w="662" w:type="pct"/>
            <w:shd w:val="clear" w:color="auto" w:fill="auto"/>
          </w:tcPr>
          <w:p w14:paraId="669C63DC" w14:textId="77777777" w:rsidR="00066C63" w:rsidRDefault="00066C63">
            <w:pPr>
              <w:rPr>
                <w:rFonts w:ascii="宋体"/>
              </w:rPr>
            </w:pPr>
          </w:p>
        </w:tc>
        <w:tc>
          <w:tcPr>
            <w:tcW w:w="5" w:type="pct"/>
            <w:shd w:val="clear" w:color="auto" w:fill="auto"/>
          </w:tcPr>
          <w:p w14:paraId="669C63DD" w14:textId="77777777" w:rsidR="00066C63" w:rsidRDefault="00066C63">
            <w:pPr>
              <w:rPr>
                <w:rFonts w:ascii="宋体"/>
              </w:rPr>
            </w:pPr>
          </w:p>
        </w:tc>
        <w:tc>
          <w:tcPr>
            <w:tcW w:w="50" w:type="pct"/>
            <w:shd w:val="clear" w:color="auto" w:fill="auto"/>
          </w:tcPr>
          <w:p w14:paraId="669C63DE" w14:textId="77777777" w:rsidR="00066C63" w:rsidRDefault="00066C63">
            <w:pPr>
              <w:rPr>
                <w:rFonts w:ascii="宋体"/>
              </w:rPr>
            </w:pPr>
          </w:p>
        </w:tc>
        <w:tc>
          <w:tcPr>
            <w:tcW w:w="662" w:type="pct"/>
            <w:shd w:val="clear" w:color="auto" w:fill="auto"/>
          </w:tcPr>
          <w:p w14:paraId="669C63DF" w14:textId="77777777" w:rsidR="00066C63" w:rsidRDefault="00066C63">
            <w:pPr>
              <w:rPr>
                <w:rFonts w:ascii="宋体"/>
              </w:rPr>
            </w:pPr>
          </w:p>
        </w:tc>
        <w:tc>
          <w:tcPr>
            <w:tcW w:w="5" w:type="pct"/>
            <w:shd w:val="clear" w:color="auto" w:fill="auto"/>
          </w:tcPr>
          <w:p w14:paraId="669C63E0" w14:textId="77777777" w:rsidR="00066C63" w:rsidRDefault="00066C63">
            <w:pPr>
              <w:rPr>
                <w:rFonts w:ascii="宋体"/>
              </w:rPr>
            </w:pPr>
          </w:p>
        </w:tc>
      </w:tr>
      <w:tr w:rsidR="00066C63" w14:paraId="669C63E6" w14:textId="77777777">
        <w:tc>
          <w:tcPr>
            <w:tcW w:w="0" w:type="auto"/>
            <w:gridSpan w:val="3"/>
            <w:shd w:val="clear" w:color="auto" w:fill="auto"/>
            <w:tcMar>
              <w:top w:w="40" w:type="dxa"/>
              <w:left w:w="20" w:type="dxa"/>
              <w:bottom w:w="40" w:type="dxa"/>
              <w:right w:w="20" w:type="dxa"/>
            </w:tcMar>
            <w:vAlign w:val="bottom"/>
          </w:tcPr>
          <w:p w14:paraId="669C63E2" w14:textId="77777777" w:rsidR="00066C63" w:rsidRDefault="009656F6">
            <w:pPr>
              <w:textAlignment w:val="bottom"/>
            </w:pPr>
            <w:r>
              <w:rPr>
                <w:rFonts w:ascii="Arial" w:eastAsia="宋体" w:hAnsi="Arial" w:cs="Arial"/>
                <w:color w:val="000000"/>
                <w:sz w:val="17"/>
                <w:szCs w:val="17"/>
              </w:rPr>
              <w:t> </w:t>
            </w:r>
          </w:p>
        </w:tc>
        <w:tc>
          <w:tcPr>
            <w:tcW w:w="0" w:type="auto"/>
            <w:gridSpan w:val="6"/>
            <w:shd w:val="clear" w:color="auto" w:fill="auto"/>
            <w:tcMar>
              <w:top w:w="40" w:type="dxa"/>
              <w:left w:w="20" w:type="dxa"/>
              <w:bottom w:w="40" w:type="dxa"/>
              <w:right w:w="20" w:type="dxa"/>
            </w:tcMar>
            <w:vAlign w:val="bottom"/>
          </w:tcPr>
          <w:p w14:paraId="669C63E3" w14:textId="77777777" w:rsidR="00066C63" w:rsidRDefault="009656F6">
            <w:pPr>
              <w:jc w:val="center"/>
              <w:textAlignment w:val="bottom"/>
            </w:pPr>
            <w:r>
              <w:rPr>
                <w:rFonts w:ascii="sans-serif" w:eastAsia="sans-serif" w:hAnsi="sans-serif" w:cs="sans-serif"/>
                <w:b/>
                <w:bCs/>
                <w:color w:val="000000"/>
                <w:sz w:val="17"/>
                <w:szCs w:val="17"/>
              </w:rPr>
              <w:t xml:space="preserve">THREE MONTHS ENDED </w:t>
            </w:r>
          </w:p>
        </w:tc>
        <w:tc>
          <w:tcPr>
            <w:tcW w:w="0" w:type="auto"/>
            <w:gridSpan w:val="3"/>
            <w:shd w:val="clear" w:color="auto" w:fill="auto"/>
            <w:tcMar>
              <w:top w:w="0" w:type="dxa"/>
              <w:left w:w="20" w:type="dxa"/>
              <w:bottom w:w="0" w:type="dxa"/>
              <w:right w:w="20" w:type="dxa"/>
            </w:tcMar>
          </w:tcPr>
          <w:p w14:paraId="669C63E4" w14:textId="77777777" w:rsidR="00066C63" w:rsidRDefault="00066C63">
            <w:pPr>
              <w:rPr>
                <w:rFonts w:ascii="宋体"/>
              </w:rPr>
            </w:pPr>
          </w:p>
        </w:tc>
        <w:tc>
          <w:tcPr>
            <w:tcW w:w="0" w:type="auto"/>
            <w:gridSpan w:val="6"/>
            <w:shd w:val="clear" w:color="auto" w:fill="auto"/>
            <w:tcMar>
              <w:top w:w="40" w:type="dxa"/>
              <w:left w:w="20" w:type="dxa"/>
              <w:bottom w:w="40" w:type="dxa"/>
              <w:right w:w="20" w:type="dxa"/>
            </w:tcMar>
            <w:vAlign w:val="bottom"/>
          </w:tcPr>
          <w:p w14:paraId="669C63E5" w14:textId="77777777" w:rsidR="00066C63" w:rsidRDefault="009656F6">
            <w:pPr>
              <w:jc w:val="center"/>
              <w:textAlignment w:val="bottom"/>
            </w:pPr>
            <w:r>
              <w:rPr>
                <w:rFonts w:ascii="sans-serif" w:eastAsia="sans-serif" w:hAnsi="sans-serif" w:cs="sans-serif"/>
                <w:b/>
                <w:bCs/>
                <w:color w:val="000000"/>
                <w:sz w:val="17"/>
                <w:szCs w:val="17"/>
              </w:rPr>
              <w:t xml:space="preserve">NINE MONTHS ENDED </w:t>
            </w:r>
          </w:p>
        </w:tc>
      </w:tr>
      <w:tr w:rsidR="00066C63" w14:paraId="669C63ED" w14:textId="77777777">
        <w:tc>
          <w:tcPr>
            <w:tcW w:w="0" w:type="auto"/>
            <w:gridSpan w:val="3"/>
            <w:shd w:val="clear" w:color="auto" w:fill="auto"/>
            <w:tcMar>
              <w:top w:w="40" w:type="dxa"/>
              <w:left w:w="20" w:type="dxa"/>
              <w:bottom w:w="40" w:type="dxa"/>
              <w:right w:w="20" w:type="dxa"/>
            </w:tcMar>
            <w:vAlign w:val="bottom"/>
          </w:tcPr>
          <w:p w14:paraId="669C63E7" w14:textId="77777777" w:rsidR="00066C63" w:rsidRDefault="009656F6">
            <w:pPr>
              <w:textAlignment w:val="bottom"/>
            </w:pPr>
            <w:r>
              <w:rPr>
                <w:rFonts w:ascii="Arial Narrow" w:eastAsia="Arial Narrow" w:hAnsi="Arial Narrow" w:cs="Arial Narrow"/>
                <w:i/>
                <w:iCs/>
                <w:color w:val="000000"/>
                <w:sz w:val="17"/>
                <w:szCs w:val="17"/>
              </w:rPr>
              <w:t>(In millions, except per share data)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3E8" w14:textId="77777777" w:rsidR="00066C63" w:rsidRDefault="009656F6">
            <w:pPr>
              <w:jc w:val="center"/>
              <w:textAlignment w:val="bottom"/>
            </w:pPr>
            <w:r>
              <w:rPr>
                <w:rFonts w:ascii="sans-serif" w:eastAsia="sans-serif" w:hAnsi="sans-serif" w:cs="sans-serif"/>
                <w:b/>
                <w:bCs/>
                <w:color w:val="000000"/>
                <w:sz w:val="17"/>
                <w:szCs w:val="17"/>
              </w:rPr>
              <w:t>FEBRUARY 28, 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3E9" w14:textId="77777777" w:rsidR="00066C63" w:rsidRDefault="009656F6">
            <w:pPr>
              <w:jc w:val="center"/>
              <w:textAlignment w:val="bottom"/>
            </w:pPr>
            <w:r>
              <w:rPr>
                <w:rFonts w:ascii="sans-serif" w:eastAsia="sans-serif" w:hAnsi="sans-serif" w:cs="sans-serif"/>
                <w:b/>
                <w:bCs/>
                <w:color w:val="000000"/>
                <w:sz w:val="17"/>
                <w:szCs w:val="17"/>
              </w:rPr>
              <w:t>FEBRUARY 29, 2020</w:t>
            </w:r>
          </w:p>
        </w:tc>
        <w:tc>
          <w:tcPr>
            <w:tcW w:w="0" w:type="auto"/>
            <w:gridSpan w:val="3"/>
            <w:shd w:val="clear" w:color="auto" w:fill="auto"/>
            <w:tcMar>
              <w:top w:w="0" w:type="dxa"/>
              <w:left w:w="20" w:type="dxa"/>
              <w:bottom w:w="0" w:type="dxa"/>
              <w:right w:w="20" w:type="dxa"/>
            </w:tcMar>
          </w:tcPr>
          <w:p w14:paraId="669C63EA" w14:textId="77777777" w:rsidR="00066C63" w:rsidRDefault="00066C63">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3EB" w14:textId="77777777" w:rsidR="00066C63" w:rsidRDefault="009656F6">
            <w:pPr>
              <w:jc w:val="center"/>
              <w:textAlignment w:val="bottom"/>
            </w:pPr>
            <w:r>
              <w:rPr>
                <w:rFonts w:ascii="sans-serif" w:eastAsia="sans-serif" w:hAnsi="sans-serif" w:cs="sans-serif"/>
                <w:b/>
                <w:bCs/>
                <w:color w:val="000000"/>
                <w:sz w:val="17"/>
                <w:szCs w:val="17"/>
              </w:rPr>
              <w:t>FEBRUARY 28, 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3EC" w14:textId="77777777" w:rsidR="00066C63" w:rsidRDefault="009656F6">
            <w:pPr>
              <w:jc w:val="center"/>
              <w:textAlignment w:val="bottom"/>
            </w:pPr>
            <w:r>
              <w:rPr>
                <w:rFonts w:ascii="sans-serif" w:eastAsia="sans-serif" w:hAnsi="sans-serif" w:cs="sans-serif"/>
                <w:b/>
                <w:bCs/>
                <w:color w:val="000000"/>
                <w:sz w:val="17"/>
                <w:szCs w:val="17"/>
              </w:rPr>
              <w:t>FEBRUARY 29, 2020</w:t>
            </w:r>
          </w:p>
        </w:tc>
      </w:tr>
      <w:tr w:rsidR="00066C63" w14:paraId="669C63FC"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3EE" w14:textId="77777777" w:rsidR="00066C63" w:rsidRDefault="009656F6">
            <w:pPr>
              <w:textAlignment w:val="bottom"/>
            </w:pPr>
            <w:r>
              <w:rPr>
                <w:rFonts w:ascii="Arial" w:eastAsia="宋体" w:hAnsi="Arial" w:cs="Arial"/>
                <w:color w:val="000000"/>
                <w:sz w:val="17"/>
                <w:szCs w:val="17"/>
              </w:rPr>
              <w:t>Net income available to common stockholders</w:t>
            </w:r>
          </w:p>
        </w:tc>
        <w:tc>
          <w:tcPr>
            <w:tcW w:w="0" w:type="auto"/>
            <w:tcBorders>
              <w:top w:val="single" w:sz="8" w:space="0" w:color="E87722"/>
            </w:tcBorders>
            <w:shd w:val="clear" w:color="auto" w:fill="FFF1E7"/>
            <w:tcMar>
              <w:top w:w="40" w:type="dxa"/>
              <w:left w:w="20" w:type="dxa"/>
              <w:bottom w:w="40" w:type="dxa"/>
              <w:right w:w="0" w:type="dxa"/>
            </w:tcMar>
            <w:vAlign w:val="bottom"/>
          </w:tcPr>
          <w:p w14:paraId="669C63EF"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669C63F0" w14:textId="77777777" w:rsidR="00066C63" w:rsidRDefault="009656F6">
            <w:pPr>
              <w:jc w:val="right"/>
              <w:textAlignment w:val="bottom"/>
            </w:pPr>
            <w:r>
              <w:rPr>
                <w:rFonts w:ascii="Arial" w:eastAsia="宋体" w:hAnsi="Arial" w:cs="Arial"/>
                <w:color w:val="000000"/>
                <w:sz w:val="17"/>
                <w:szCs w:val="17"/>
              </w:rPr>
              <w:t>1,449 </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63F1" w14:textId="77777777" w:rsidR="00066C63" w:rsidRDefault="00066C63">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69C63F2"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69C63F3" w14:textId="77777777" w:rsidR="00066C63" w:rsidRDefault="009656F6">
            <w:pPr>
              <w:jc w:val="right"/>
              <w:textAlignment w:val="bottom"/>
            </w:pPr>
            <w:r>
              <w:rPr>
                <w:rFonts w:ascii="Arial" w:eastAsia="宋体" w:hAnsi="Arial" w:cs="Arial"/>
                <w:color w:val="000000"/>
                <w:sz w:val="17"/>
                <w:szCs w:val="17"/>
              </w:rPr>
              <w:t>847 </w:t>
            </w:r>
          </w:p>
        </w:tc>
        <w:tc>
          <w:tcPr>
            <w:tcW w:w="0" w:type="auto"/>
            <w:tcBorders>
              <w:top w:val="single" w:sz="8" w:space="0" w:color="E87722"/>
            </w:tcBorders>
            <w:shd w:val="clear" w:color="auto" w:fill="auto"/>
            <w:tcMar>
              <w:top w:w="40" w:type="dxa"/>
              <w:left w:w="0" w:type="dxa"/>
              <w:bottom w:w="40" w:type="dxa"/>
              <w:right w:w="20" w:type="dxa"/>
            </w:tcMar>
            <w:vAlign w:val="bottom"/>
          </w:tcPr>
          <w:p w14:paraId="669C63F4" w14:textId="77777777" w:rsidR="00066C63" w:rsidRDefault="00066C63">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63F5" w14:textId="77777777" w:rsidR="00066C63" w:rsidRDefault="00066C63">
            <w:pPr>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669C63F6"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669C63F7" w14:textId="77777777" w:rsidR="00066C63" w:rsidRDefault="009656F6">
            <w:pPr>
              <w:jc w:val="right"/>
              <w:textAlignment w:val="bottom"/>
            </w:pPr>
            <w:r>
              <w:rPr>
                <w:rFonts w:ascii="Arial" w:eastAsia="宋体" w:hAnsi="Arial" w:cs="Arial"/>
                <w:color w:val="000000"/>
                <w:sz w:val="17"/>
                <w:szCs w:val="17"/>
              </w:rPr>
              <w:t>4,218 </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63F8" w14:textId="77777777" w:rsidR="00066C63" w:rsidRDefault="00066C63">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69C63F9"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69C63FA" w14:textId="77777777" w:rsidR="00066C63" w:rsidRDefault="009656F6">
            <w:pPr>
              <w:jc w:val="right"/>
              <w:textAlignment w:val="bottom"/>
            </w:pPr>
            <w:r>
              <w:rPr>
                <w:rFonts w:ascii="Arial" w:eastAsia="宋体" w:hAnsi="Arial" w:cs="Arial"/>
                <w:color w:val="000000"/>
                <w:sz w:val="17"/>
                <w:szCs w:val="17"/>
              </w:rPr>
              <w:t>3,329 </w:t>
            </w:r>
          </w:p>
        </w:tc>
        <w:tc>
          <w:tcPr>
            <w:tcW w:w="0" w:type="auto"/>
            <w:tcBorders>
              <w:top w:val="single" w:sz="8" w:space="0" w:color="E87722"/>
            </w:tcBorders>
            <w:shd w:val="clear" w:color="auto" w:fill="auto"/>
            <w:tcMar>
              <w:top w:w="40" w:type="dxa"/>
              <w:left w:w="0" w:type="dxa"/>
              <w:bottom w:w="40" w:type="dxa"/>
              <w:right w:w="20" w:type="dxa"/>
            </w:tcMar>
            <w:vAlign w:val="bottom"/>
          </w:tcPr>
          <w:p w14:paraId="669C63FB" w14:textId="77777777" w:rsidR="00066C63" w:rsidRDefault="00066C63">
            <w:pPr>
              <w:jc w:val="right"/>
              <w:rPr>
                <w:rFonts w:ascii="宋体"/>
              </w:rPr>
            </w:pPr>
          </w:p>
        </w:tc>
      </w:tr>
      <w:tr w:rsidR="00066C63" w14:paraId="669C6403"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63FD" w14:textId="77777777" w:rsidR="00066C63" w:rsidRDefault="009656F6">
            <w:pPr>
              <w:textAlignment w:val="bottom"/>
            </w:pPr>
            <w:r>
              <w:rPr>
                <w:rFonts w:ascii="Arial" w:eastAsia="宋体" w:hAnsi="Arial" w:cs="Arial"/>
                <w:color w:val="000000"/>
                <w:sz w:val="17"/>
                <w:szCs w:val="17"/>
              </w:rPr>
              <w:t>Determination of shares:</w:t>
            </w:r>
          </w:p>
        </w:tc>
        <w:tc>
          <w:tcPr>
            <w:tcW w:w="0" w:type="auto"/>
            <w:gridSpan w:val="3"/>
            <w:tcBorders>
              <w:top w:val="single" w:sz="8" w:space="0" w:color="808080"/>
            </w:tcBorders>
            <w:shd w:val="clear" w:color="auto" w:fill="FFF1E7"/>
            <w:tcMar>
              <w:top w:w="0" w:type="dxa"/>
              <w:left w:w="20" w:type="dxa"/>
              <w:bottom w:w="0" w:type="dxa"/>
              <w:right w:w="20" w:type="dxa"/>
            </w:tcMar>
          </w:tcPr>
          <w:p w14:paraId="669C63FE" w14:textId="77777777" w:rsidR="00066C63" w:rsidRDefault="00066C63">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63FF" w14:textId="77777777" w:rsidR="00066C63" w:rsidRDefault="00066C63">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6400" w14:textId="77777777" w:rsidR="00066C63" w:rsidRDefault="00066C63">
            <w:pPr>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669C6401" w14:textId="77777777" w:rsidR="00066C63" w:rsidRDefault="00066C63">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6402" w14:textId="77777777" w:rsidR="00066C63" w:rsidRDefault="00066C63">
            <w:pPr>
              <w:rPr>
                <w:rFonts w:ascii="宋体"/>
              </w:rPr>
            </w:pPr>
          </w:p>
        </w:tc>
      </w:tr>
      <w:tr w:rsidR="00066C63" w14:paraId="669C640E"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6404" w14:textId="77777777" w:rsidR="00066C63" w:rsidRDefault="009656F6">
            <w:pPr>
              <w:textAlignment w:val="bottom"/>
            </w:pPr>
            <w:r>
              <w:rPr>
                <w:rFonts w:ascii="Arial" w:eastAsia="宋体" w:hAnsi="Arial" w:cs="Arial"/>
                <w:color w:val="000000"/>
                <w:sz w:val="17"/>
                <w:szCs w:val="17"/>
              </w:rPr>
              <w:t>Weighted average common shares outstanding</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405" w14:textId="77777777" w:rsidR="00066C63" w:rsidRDefault="009656F6">
            <w:pPr>
              <w:jc w:val="right"/>
              <w:textAlignment w:val="bottom"/>
            </w:pPr>
            <w:r>
              <w:rPr>
                <w:rFonts w:ascii="Arial" w:eastAsia="宋体" w:hAnsi="Arial" w:cs="Arial"/>
                <w:color w:val="000000"/>
                <w:sz w:val="17"/>
                <w:szCs w:val="17"/>
              </w:rPr>
              <w:t>1,578.0 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406"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407" w14:textId="77777777" w:rsidR="00066C63" w:rsidRDefault="009656F6">
            <w:pPr>
              <w:jc w:val="right"/>
              <w:textAlignment w:val="bottom"/>
            </w:pPr>
            <w:r>
              <w:rPr>
                <w:rFonts w:ascii="Arial" w:eastAsia="宋体" w:hAnsi="Arial" w:cs="Arial"/>
                <w:color w:val="000000"/>
                <w:sz w:val="17"/>
                <w:szCs w:val="17"/>
              </w:rPr>
              <w:t>1,556.3 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408" w14:textId="77777777" w:rsidR="00066C63" w:rsidRDefault="00066C63">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6409" w14:textId="77777777" w:rsidR="00066C63" w:rsidRDefault="00066C63">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40A" w14:textId="77777777" w:rsidR="00066C63" w:rsidRDefault="009656F6">
            <w:pPr>
              <w:jc w:val="right"/>
              <w:textAlignment w:val="bottom"/>
            </w:pPr>
            <w:r>
              <w:rPr>
                <w:rFonts w:ascii="Arial" w:eastAsia="宋体" w:hAnsi="Arial" w:cs="Arial"/>
                <w:color w:val="000000"/>
                <w:sz w:val="17"/>
                <w:szCs w:val="17"/>
              </w:rPr>
              <w:t>1,570.9 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40B"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40C" w14:textId="77777777" w:rsidR="00066C63" w:rsidRDefault="009656F6">
            <w:pPr>
              <w:jc w:val="right"/>
              <w:textAlignment w:val="bottom"/>
            </w:pPr>
            <w:r>
              <w:rPr>
                <w:rFonts w:ascii="Arial" w:eastAsia="宋体" w:hAnsi="Arial" w:cs="Arial"/>
                <w:color w:val="000000"/>
                <w:sz w:val="17"/>
                <w:szCs w:val="17"/>
              </w:rPr>
              <w:t>1,559.8 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40D" w14:textId="77777777" w:rsidR="00066C63" w:rsidRDefault="00066C63">
            <w:pPr>
              <w:jc w:val="right"/>
              <w:rPr>
                <w:rFonts w:ascii="宋体"/>
              </w:rPr>
            </w:pPr>
          </w:p>
        </w:tc>
      </w:tr>
      <w:tr w:rsidR="00066C63" w14:paraId="669C6419"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640F" w14:textId="77777777" w:rsidR="00066C63" w:rsidRDefault="009656F6">
            <w:pPr>
              <w:textAlignment w:val="bottom"/>
            </w:pPr>
            <w:r>
              <w:rPr>
                <w:rFonts w:ascii="Arial" w:eastAsia="宋体" w:hAnsi="Arial" w:cs="Arial"/>
                <w:color w:val="000000"/>
                <w:sz w:val="17"/>
                <w:szCs w:val="17"/>
              </w:rPr>
              <w:t>Assumed conversion of dilutive stock options and awards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410" w14:textId="77777777" w:rsidR="00066C63" w:rsidRDefault="009656F6">
            <w:pPr>
              <w:jc w:val="right"/>
              <w:textAlignment w:val="bottom"/>
            </w:pPr>
            <w:r>
              <w:rPr>
                <w:rFonts w:ascii="Arial" w:eastAsia="宋体" w:hAnsi="Arial" w:cs="Arial"/>
                <w:color w:val="000000"/>
                <w:sz w:val="17"/>
                <w:szCs w:val="17"/>
              </w:rPr>
              <w:t>38.9 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411"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412" w14:textId="77777777" w:rsidR="00066C63" w:rsidRDefault="009656F6">
            <w:pPr>
              <w:jc w:val="right"/>
              <w:textAlignment w:val="bottom"/>
            </w:pPr>
            <w:r>
              <w:rPr>
                <w:rFonts w:ascii="Arial" w:eastAsia="宋体" w:hAnsi="Arial" w:cs="Arial"/>
                <w:color w:val="000000"/>
                <w:sz w:val="17"/>
                <w:szCs w:val="17"/>
              </w:rPr>
              <w:t>35.3 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413" w14:textId="77777777" w:rsidR="00066C63" w:rsidRDefault="00066C63">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6414" w14:textId="77777777" w:rsidR="00066C63" w:rsidRDefault="00066C63">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415" w14:textId="77777777" w:rsidR="00066C63" w:rsidRDefault="009656F6">
            <w:pPr>
              <w:jc w:val="right"/>
              <w:textAlignment w:val="bottom"/>
            </w:pPr>
            <w:r>
              <w:rPr>
                <w:rFonts w:ascii="Arial" w:eastAsia="宋体" w:hAnsi="Arial" w:cs="Arial"/>
                <w:color w:val="000000"/>
                <w:sz w:val="17"/>
                <w:szCs w:val="17"/>
              </w:rPr>
              <w:t>36.4 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416"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417" w14:textId="77777777" w:rsidR="00066C63" w:rsidRDefault="009656F6">
            <w:pPr>
              <w:jc w:val="right"/>
              <w:textAlignment w:val="bottom"/>
            </w:pPr>
            <w:r>
              <w:rPr>
                <w:rFonts w:ascii="Arial" w:eastAsia="宋体" w:hAnsi="Arial" w:cs="Arial"/>
                <w:color w:val="000000"/>
                <w:sz w:val="17"/>
                <w:szCs w:val="17"/>
              </w:rPr>
              <w:t>34.8 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418" w14:textId="77777777" w:rsidR="00066C63" w:rsidRDefault="00066C63">
            <w:pPr>
              <w:jc w:val="right"/>
              <w:rPr>
                <w:rFonts w:ascii="宋体"/>
              </w:rPr>
            </w:pPr>
          </w:p>
        </w:tc>
      </w:tr>
      <w:tr w:rsidR="00066C63" w14:paraId="669C6424"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41A" w14:textId="77777777" w:rsidR="00066C63" w:rsidRDefault="009656F6">
            <w:pPr>
              <w:textAlignment w:val="bottom"/>
            </w:pPr>
            <w:r>
              <w:rPr>
                <w:rFonts w:ascii="Arial" w:eastAsia="宋体" w:hAnsi="Arial" w:cs="Arial"/>
                <w:b/>
                <w:bCs/>
                <w:color w:val="000000"/>
                <w:sz w:val="17"/>
                <w:szCs w:val="17"/>
              </w:rPr>
              <w:t>DILUTED WEIGHTED AVERAGE COMMON SHARES OUTSTANDING</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669C641B" w14:textId="77777777" w:rsidR="00066C63" w:rsidRDefault="009656F6">
            <w:pPr>
              <w:jc w:val="right"/>
              <w:textAlignment w:val="bottom"/>
            </w:pPr>
            <w:r>
              <w:rPr>
                <w:rFonts w:ascii="Arial" w:eastAsia="宋体" w:hAnsi="Arial" w:cs="Arial"/>
                <w:b/>
                <w:bCs/>
                <w:color w:val="000000"/>
                <w:sz w:val="17"/>
                <w:szCs w:val="17"/>
              </w:rPr>
              <w:t>1,616.9</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641C" w14:textId="77777777" w:rsidR="00066C63" w:rsidRDefault="00066C63">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641D" w14:textId="77777777" w:rsidR="00066C63" w:rsidRDefault="009656F6">
            <w:pPr>
              <w:jc w:val="right"/>
              <w:textAlignment w:val="bottom"/>
            </w:pPr>
            <w:r>
              <w:rPr>
                <w:rFonts w:ascii="Arial" w:eastAsia="宋体" w:hAnsi="Arial" w:cs="Arial"/>
                <w:b/>
                <w:bCs/>
                <w:color w:val="000000"/>
                <w:sz w:val="17"/>
                <w:szCs w:val="17"/>
              </w:rPr>
              <w:t>1,591.6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641E" w14:textId="77777777" w:rsidR="00066C63" w:rsidRDefault="00066C63">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641F" w14:textId="77777777" w:rsidR="00066C63" w:rsidRDefault="00066C63">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669C6420" w14:textId="77777777" w:rsidR="00066C63" w:rsidRDefault="009656F6">
            <w:pPr>
              <w:jc w:val="right"/>
              <w:textAlignment w:val="bottom"/>
            </w:pPr>
            <w:r>
              <w:rPr>
                <w:rFonts w:ascii="Arial" w:eastAsia="宋体" w:hAnsi="Arial" w:cs="Arial"/>
                <w:b/>
                <w:bCs/>
                <w:color w:val="000000"/>
                <w:sz w:val="17"/>
                <w:szCs w:val="17"/>
              </w:rPr>
              <w:t>1,607.3</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6421" w14:textId="77777777" w:rsidR="00066C63" w:rsidRDefault="00066C63">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6422" w14:textId="77777777" w:rsidR="00066C63" w:rsidRDefault="009656F6">
            <w:pPr>
              <w:jc w:val="right"/>
              <w:textAlignment w:val="bottom"/>
            </w:pPr>
            <w:r>
              <w:rPr>
                <w:rFonts w:ascii="Arial" w:eastAsia="宋体" w:hAnsi="Arial" w:cs="Arial"/>
                <w:b/>
                <w:bCs/>
                <w:color w:val="000000"/>
                <w:sz w:val="17"/>
                <w:szCs w:val="17"/>
              </w:rPr>
              <w:t>1,594.6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6423" w14:textId="77777777" w:rsidR="00066C63" w:rsidRDefault="00066C63">
            <w:pPr>
              <w:jc w:val="right"/>
              <w:rPr>
                <w:rFonts w:ascii="宋体"/>
              </w:rPr>
            </w:pPr>
          </w:p>
        </w:tc>
      </w:tr>
      <w:tr w:rsidR="00066C63" w14:paraId="669C642B"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425" w14:textId="77777777" w:rsidR="00066C63" w:rsidRDefault="009656F6">
            <w:pPr>
              <w:textAlignment w:val="bottom"/>
            </w:pPr>
            <w:r>
              <w:rPr>
                <w:rFonts w:ascii="Arial" w:eastAsia="宋体" w:hAnsi="Arial" w:cs="Arial"/>
                <w:color w:val="000000"/>
                <w:sz w:val="17"/>
                <w:szCs w:val="17"/>
              </w:rPr>
              <w:t>Earnings per common share:</w:t>
            </w:r>
          </w:p>
        </w:tc>
        <w:tc>
          <w:tcPr>
            <w:tcW w:w="0" w:type="auto"/>
            <w:gridSpan w:val="3"/>
            <w:tcBorders>
              <w:top w:val="single" w:sz="8" w:space="0" w:color="E87722"/>
            </w:tcBorders>
            <w:shd w:val="clear" w:color="auto" w:fill="FFF1E7"/>
            <w:tcMar>
              <w:top w:w="0" w:type="dxa"/>
              <w:left w:w="20" w:type="dxa"/>
              <w:bottom w:w="0" w:type="dxa"/>
              <w:right w:w="20" w:type="dxa"/>
            </w:tcMar>
          </w:tcPr>
          <w:p w14:paraId="669C6426"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6427"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6428" w14:textId="77777777" w:rsidR="00066C63" w:rsidRDefault="00066C63">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669C6429"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642A" w14:textId="77777777" w:rsidR="00066C63" w:rsidRDefault="00066C63">
            <w:pPr>
              <w:rPr>
                <w:rFonts w:ascii="宋体"/>
              </w:rPr>
            </w:pPr>
          </w:p>
        </w:tc>
      </w:tr>
      <w:tr w:rsidR="00066C63" w14:paraId="669C643A"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642C" w14:textId="77777777" w:rsidR="00066C63" w:rsidRDefault="009656F6">
            <w:pPr>
              <w:textAlignment w:val="bottom"/>
            </w:pPr>
            <w:r>
              <w:rPr>
                <w:rFonts w:ascii="Arial" w:eastAsia="宋体" w:hAnsi="Arial" w:cs="Arial"/>
                <w:color w:val="000000"/>
                <w:sz w:val="17"/>
                <w:szCs w:val="17"/>
              </w:rPr>
              <w:t>Basic</w:t>
            </w:r>
          </w:p>
        </w:tc>
        <w:tc>
          <w:tcPr>
            <w:tcW w:w="0" w:type="auto"/>
            <w:tcBorders>
              <w:top w:val="single" w:sz="8" w:space="0" w:color="808080"/>
            </w:tcBorders>
            <w:shd w:val="clear" w:color="auto" w:fill="FFF1E7"/>
            <w:tcMar>
              <w:top w:w="40" w:type="dxa"/>
              <w:left w:w="20" w:type="dxa"/>
              <w:bottom w:w="40" w:type="dxa"/>
              <w:right w:w="0" w:type="dxa"/>
            </w:tcMar>
            <w:vAlign w:val="bottom"/>
          </w:tcPr>
          <w:p w14:paraId="669C642D"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669C642E" w14:textId="77777777" w:rsidR="00066C63" w:rsidRDefault="009656F6">
            <w:pPr>
              <w:jc w:val="right"/>
              <w:textAlignment w:val="bottom"/>
            </w:pPr>
            <w:r>
              <w:rPr>
                <w:rFonts w:ascii="Arial" w:eastAsia="宋体" w:hAnsi="Arial" w:cs="Arial"/>
                <w:color w:val="000000"/>
                <w:sz w:val="17"/>
                <w:szCs w:val="17"/>
              </w:rPr>
              <w:t>0.92 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42F" w14:textId="77777777" w:rsidR="00066C63" w:rsidRDefault="00066C63">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669C6430"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669C6431" w14:textId="77777777" w:rsidR="00066C63" w:rsidRDefault="009656F6">
            <w:pPr>
              <w:jc w:val="right"/>
              <w:textAlignment w:val="bottom"/>
            </w:pPr>
            <w:r>
              <w:rPr>
                <w:rFonts w:ascii="Arial" w:eastAsia="宋体" w:hAnsi="Arial" w:cs="Arial"/>
                <w:color w:val="000000"/>
                <w:sz w:val="17"/>
                <w:szCs w:val="17"/>
              </w:rPr>
              <w:t>0.54 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432" w14:textId="77777777" w:rsidR="00066C63" w:rsidRDefault="00066C63">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6433" w14:textId="77777777" w:rsidR="00066C63" w:rsidRDefault="00066C63">
            <w:pPr>
              <w:rPr>
                <w:rFonts w:ascii="宋体"/>
              </w:rPr>
            </w:pPr>
          </w:p>
        </w:tc>
        <w:tc>
          <w:tcPr>
            <w:tcW w:w="0" w:type="auto"/>
            <w:tcBorders>
              <w:top w:val="single" w:sz="8" w:space="0" w:color="808080"/>
            </w:tcBorders>
            <w:shd w:val="clear" w:color="auto" w:fill="FFF1E7"/>
            <w:tcMar>
              <w:top w:w="40" w:type="dxa"/>
              <w:left w:w="20" w:type="dxa"/>
              <w:bottom w:w="40" w:type="dxa"/>
              <w:right w:w="0" w:type="dxa"/>
            </w:tcMar>
            <w:vAlign w:val="bottom"/>
          </w:tcPr>
          <w:p w14:paraId="669C6434"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669C6435" w14:textId="77777777" w:rsidR="00066C63" w:rsidRDefault="009656F6">
            <w:pPr>
              <w:jc w:val="right"/>
              <w:textAlignment w:val="bottom"/>
            </w:pPr>
            <w:r>
              <w:rPr>
                <w:rFonts w:ascii="Arial" w:eastAsia="宋体" w:hAnsi="Arial" w:cs="Arial"/>
                <w:color w:val="000000"/>
                <w:sz w:val="17"/>
                <w:szCs w:val="17"/>
              </w:rPr>
              <w:t>2.68 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436" w14:textId="77777777" w:rsidR="00066C63" w:rsidRDefault="00066C63">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669C6437"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669C6438" w14:textId="77777777" w:rsidR="00066C63" w:rsidRDefault="009656F6">
            <w:pPr>
              <w:jc w:val="right"/>
              <w:textAlignment w:val="bottom"/>
            </w:pPr>
            <w:r>
              <w:rPr>
                <w:rFonts w:ascii="Arial" w:eastAsia="宋体" w:hAnsi="Arial" w:cs="Arial"/>
                <w:color w:val="000000"/>
                <w:sz w:val="17"/>
                <w:szCs w:val="17"/>
              </w:rPr>
              <w:t>2.13 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439" w14:textId="77777777" w:rsidR="00066C63" w:rsidRDefault="00066C63">
            <w:pPr>
              <w:jc w:val="right"/>
              <w:rPr>
                <w:rFonts w:ascii="宋体"/>
              </w:rPr>
            </w:pPr>
          </w:p>
        </w:tc>
      </w:tr>
      <w:tr w:rsidR="00066C63" w14:paraId="669C6449" w14:textId="77777777">
        <w:tc>
          <w:tcPr>
            <w:tcW w:w="0" w:type="auto"/>
            <w:gridSpan w:val="3"/>
            <w:tcBorders>
              <w:top w:val="single" w:sz="8" w:space="0" w:color="808080"/>
              <w:bottom w:val="single" w:sz="8" w:space="0" w:color="E87722"/>
            </w:tcBorders>
            <w:shd w:val="clear" w:color="auto" w:fill="auto"/>
            <w:tcMar>
              <w:top w:w="40" w:type="dxa"/>
              <w:left w:w="155" w:type="dxa"/>
              <w:bottom w:w="40" w:type="dxa"/>
              <w:right w:w="20" w:type="dxa"/>
            </w:tcMar>
            <w:vAlign w:val="bottom"/>
          </w:tcPr>
          <w:p w14:paraId="669C643B" w14:textId="77777777" w:rsidR="00066C63" w:rsidRDefault="009656F6">
            <w:pPr>
              <w:textAlignment w:val="bottom"/>
            </w:pPr>
            <w:r>
              <w:rPr>
                <w:rFonts w:ascii="Arial" w:eastAsia="宋体" w:hAnsi="Arial" w:cs="Arial"/>
                <w:color w:val="000000"/>
                <w:sz w:val="17"/>
                <w:szCs w:val="17"/>
              </w:rPr>
              <w:t>Diluted</w:t>
            </w:r>
          </w:p>
        </w:tc>
        <w:tc>
          <w:tcPr>
            <w:tcW w:w="0" w:type="auto"/>
            <w:tcBorders>
              <w:top w:val="single" w:sz="8" w:space="0" w:color="808080"/>
              <w:bottom w:val="single" w:sz="8" w:space="0" w:color="E87722"/>
            </w:tcBorders>
            <w:shd w:val="clear" w:color="auto" w:fill="FFF1E7"/>
            <w:tcMar>
              <w:top w:w="40" w:type="dxa"/>
              <w:left w:w="20" w:type="dxa"/>
              <w:bottom w:w="40" w:type="dxa"/>
              <w:right w:w="0" w:type="dxa"/>
            </w:tcMar>
            <w:vAlign w:val="bottom"/>
          </w:tcPr>
          <w:p w14:paraId="669C643C"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bottom w:val="single" w:sz="8" w:space="0" w:color="E87722"/>
            </w:tcBorders>
            <w:shd w:val="clear" w:color="auto" w:fill="FFF1E7"/>
            <w:tcMar>
              <w:top w:w="40" w:type="dxa"/>
              <w:left w:w="0" w:type="dxa"/>
              <w:bottom w:w="40" w:type="dxa"/>
              <w:right w:w="0" w:type="dxa"/>
            </w:tcMar>
            <w:vAlign w:val="bottom"/>
          </w:tcPr>
          <w:p w14:paraId="669C643D" w14:textId="77777777" w:rsidR="00066C63" w:rsidRDefault="009656F6">
            <w:pPr>
              <w:jc w:val="right"/>
              <w:textAlignment w:val="bottom"/>
            </w:pPr>
            <w:r>
              <w:rPr>
                <w:rFonts w:ascii="Arial" w:eastAsia="宋体" w:hAnsi="Arial" w:cs="Arial"/>
                <w:color w:val="000000"/>
                <w:sz w:val="17"/>
                <w:szCs w:val="17"/>
              </w:rPr>
              <w:t>0.90 </w:t>
            </w:r>
          </w:p>
        </w:tc>
        <w:tc>
          <w:tcPr>
            <w:tcW w:w="0" w:type="auto"/>
            <w:tcBorders>
              <w:top w:val="single" w:sz="8" w:space="0" w:color="808080"/>
              <w:bottom w:val="single" w:sz="8" w:space="0" w:color="E87722"/>
            </w:tcBorders>
            <w:shd w:val="clear" w:color="auto" w:fill="FFF1E7"/>
            <w:tcMar>
              <w:top w:w="40" w:type="dxa"/>
              <w:left w:w="0" w:type="dxa"/>
              <w:bottom w:w="40" w:type="dxa"/>
              <w:right w:w="20" w:type="dxa"/>
            </w:tcMar>
            <w:vAlign w:val="bottom"/>
          </w:tcPr>
          <w:p w14:paraId="669C643E" w14:textId="77777777" w:rsidR="00066C63" w:rsidRDefault="00066C63">
            <w:pPr>
              <w:jc w:val="right"/>
              <w:rPr>
                <w:rFonts w:ascii="宋体"/>
              </w:rPr>
            </w:pPr>
          </w:p>
        </w:tc>
        <w:tc>
          <w:tcPr>
            <w:tcW w:w="0" w:type="auto"/>
            <w:tcBorders>
              <w:top w:val="single" w:sz="8" w:space="0" w:color="808080"/>
              <w:bottom w:val="single" w:sz="8" w:space="0" w:color="E87722"/>
            </w:tcBorders>
            <w:shd w:val="clear" w:color="auto" w:fill="auto"/>
            <w:tcMar>
              <w:top w:w="40" w:type="dxa"/>
              <w:left w:w="20" w:type="dxa"/>
              <w:bottom w:w="40" w:type="dxa"/>
              <w:right w:w="0" w:type="dxa"/>
            </w:tcMar>
            <w:vAlign w:val="bottom"/>
          </w:tcPr>
          <w:p w14:paraId="669C643F"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bottom w:val="single" w:sz="8" w:space="0" w:color="E87722"/>
            </w:tcBorders>
            <w:shd w:val="clear" w:color="auto" w:fill="auto"/>
            <w:tcMar>
              <w:top w:w="40" w:type="dxa"/>
              <w:left w:w="0" w:type="dxa"/>
              <w:bottom w:w="40" w:type="dxa"/>
              <w:right w:w="0" w:type="dxa"/>
            </w:tcMar>
            <w:vAlign w:val="bottom"/>
          </w:tcPr>
          <w:p w14:paraId="669C6440" w14:textId="77777777" w:rsidR="00066C63" w:rsidRDefault="009656F6">
            <w:pPr>
              <w:jc w:val="right"/>
              <w:textAlignment w:val="bottom"/>
            </w:pPr>
            <w:r>
              <w:rPr>
                <w:rFonts w:ascii="Arial" w:eastAsia="宋体" w:hAnsi="Arial" w:cs="Arial"/>
                <w:color w:val="000000"/>
                <w:sz w:val="17"/>
                <w:szCs w:val="17"/>
              </w:rPr>
              <w:t>0.53 </w:t>
            </w:r>
          </w:p>
        </w:tc>
        <w:tc>
          <w:tcPr>
            <w:tcW w:w="0" w:type="auto"/>
            <w:tcBorders>
              <w:top w:val="single" w:sz="8" w:space="0" w:color="808080"/>
              <w:bottom w:val="single" w:sz="8" w:space="0" w:color="E87722"/>
            </w:tcBorders>
            <w:shd w:val="clear" w:color="auto" w:fill="auto"/>
            <w:tcMar>
              <w:top w:w="40" w:type="dxa"/>
              <w:left w:w="0" w:type="dxa"/>
              <w:bottom w:w="40" w:type="dxa"/>
              <w:right w:w="20" w:type="dxa"/>
            </w:tcMar>
            <w:vAlign w:val="bottom"/>
          </w:tcPr>
          <w:p w14:paraId="669C6441" w14:textId="77777777" w:rsidR="00066C63" w:rsidRDefault="00066C63">
            <w:pPr>
              <w:jc w:val="right"/>
              <w:rPr>
                <w:rFonts w:ascii="宋体"/>
              </w:rPr>
            </w:pPr>
          </w:p>
        </w:tc>
        <w:tc>
          <w:tcPr>
            <w:tcW w:w="0" w:type="auto"/>
            <w:gridSpan w:val="3"/>
            <w:tcBorders>
              <w:top w:val="single" w:sz="8" w:space="0" w:color="808080"/>
              <w:bottom w:val="single" w:sz="8" w:space="0" w:color="E87722"/>
            </w:tcBorders>
            <w:shd w:val="clear" w:color="auto" w:fill="auto"/>
            <w:tcMar>
              <w:top w:w="0" w:type="dxa"/>
              <w:left w:w="20" w:type="dxa"/>
              <w:bottom w:w="0" w:type="dxa"/>
              <w:right w:w="20" w:type="dxa"/>
            </w:tcMar>
          </w:tcPr>
          <w:p w14:paraId="669C6442" w14:textId="77777777" w:rsidR="00066C63" w:rsidRDefault="00066C63">
            <w:pPr>
              <w:rPr>
                <w:rFonts w:ascii="宋体"/>
              </w:rPr>
            </w:pPr>
          </w:p>
        </w:tc>
        <w:tc>
          <w:tcPr>
            <w:tcW w:w="0" w:type="auto"/>
            <w:tcBorders>
              <w:top w:val="single" w:sz="8" w:space="0" w:color="808080"/>
              <w:bottom w:val="single" w:sz="8" w:space="0" w:color="E87722"/>
            </w:tcBorders>
            <w:shd w:val="clear" w:color="auto" w:fill="FFF1E7"/>
            <w:tcMar>
              <w:top w:w="40" w:type="dxa"/>
              <w:left w:w="20" w:type="dxa"/>
              <w:bottom w:w="40" w:type="dxa"/>
              <w:right w:w="0" w:type="dxa"/>
            </w:tcMar>
            <w:vAlign w:val="bottom"/>
          </w:tcPr>
          <w:p w14:paraId="669C6443"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bottom w:val="single" w:sz="8" w:space="0" w:color="E87722"/>
            </w:tcBorders>
            <w:shd w:val="clear" w:color="auto" w:fill="FFF1E7"/>
            <w:tcMar>
              <w:top w:w="40" w:type="dxa"/>
              <w:left w:w="0" w:type="dxa"/>
              <w:bottom w:w="40" w:type="dxa"/>
              <w:right w:w="0" w:type="dxa"/>
            </w:tcMar>
            <w:vAlign w:val="bottom"/>
          </w:tcPr>
          <w:p w14:paraId="669C6444" w14:textId="77777777" w:rsidR="00066C63" w:rsidRDefault="009656F6">
            <w:pPr>
              <w:jc w:val="right"/>
              <w:textAlignment w:val="bottom"/>
            </w:pPr>
            <w:r>
              <w:rPr>
                <w:rFonts w:ascii="Arial" w:eastAsia="宋体" w:hAnsi="Arial" w:cs="Arial"/>
                <w:color w:val="000000"/>
                <w:sz w:val="17"/>
                <w:szCs w:val="17"/>
              </w:rPr>
              <w:t>2.62 </w:t>
            </w:r>
          </w:p>
        </w:tc>
        <w:tc>
          <w:tcPr>
            <w:tcW w:w="0" w:type="auto"/>
            <w:tcBorders>
              <w:top w:val="single" w:sz="8" w:space="0" w:color="808080"/>
              <w:bottom w:val="single" w:sz="8" w:space="0" w:color="E87722"/>
            </w:tcBorders>
            <w:shd w:val="clear" w:color="auto" w:fill="FFF1E7"/>
            <w:tcMar>
              <w:top w:w="40" w:type="dxa"/>
              <w:left w:w="0" w:type="dxa"/>
              <w:bottom w:w="40" w:type="dxa"/>
              <w:right w:w="20" w:type="dxa"/>
            </w:tcMar>
            <w:vAlign w:val="bottom"/>
          </w:tcPr>
          <w:p w14:paraId="669C6445" w14:textId="77777777" w:rsidR="00066C63" w:rsidRDefault="00066C63">
            <w:pPr>
              <w:jc w:val="right"/>
              <w:rPr>
                <w:rFonts w:ascii="宋体"/>
              </w:rPr>
            </w:pPr>
          </w:p>
        </w:tc>
        <w:tc>
          <w:tcPr>
            <w:tcW w:w="0" w:type="auto"/>
            <w:tcBorders>
              <w:top w:val="single" w:sz="8" w:space="0" w:color="808080"/>
              <w:bottom w:val="single" w:sz="8" w:space="0" w:color="E87722"/>
            </w:tcBorders>
            <w:shd w:val="clear" w:color="auto" w:fill="auto"/>
            <w:tcMar>
              <w:top w:w="40" w:type="dxa"/>
              <w:left w:w="20" w:type="dxa"/>
              <w:bottom w:w="40" w:type="dxa"/>
              <w:right w:w="0" w:type="dxa"/>
            </w:tcMar>
            <w:vAlign w:val="bottom"/>
          </w:tcPr>
          <w:p w14:paraId="669C6446"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bottom w:val="single" w:sz="8" w:space="0" w:color="E87722"/>
            </w:tcBorders>
            <w:shd w:val="clear" w:color="auto" w:fill="auto"/>
            <w:tcMar>
              <w:top w:w="40" w:type="dxa"/>
              <w:left w:w="0" w:type="dxa"/>
              <w:bottom w:w="40" w:type="dxa"/>
              <w:right w:w="0" w:type="dxa"/>
            </w:tcMar>
            <w:vAlign w:val="bottom"/>
          </w:tcPr>
          <w:p w14:paraId="669C6447" w14:textId="77777777" w:rsidR="00066C63" w:rsidRDefault="009656F6">
            <w:pPr>
              <w:jc w:val="right"/>
              <w:textAlignment w:val="bottom"/>
            </w:pPr>
            <w:r>
              <w:rPr>
                <w:rFonts w:ascii="Arial" w:eastAsia="宋体" w:hAnsi="Arial" w:cs="Arial"/>
                <w:color w:val="000000"/>
                <w:sz w:val="17"/>
                <w:szCs w:val="17"/>
              </w:rPr>
              <w:t>2.09 </w:t>
            </w:r>
          </w:p>
        </w:tc>
        <w:tc>
          <w:tcPr>
            <w:tcW w:w="0" w:type="auto"/>
            <w:tcBorders>
              <w:top w:val="single" w:sz="8" w:space="0" w:color="808080"/>
              <w:bottom w:val="single" w:sz="8" w:space="0" w:color="E87722"/>
            </w:tcBorders>
            <w:shd w:val="clear" w:color="auto" w:fill="auto"/>
            <w:tcMar>
              <w:top w:w="40" w:type="dxa"/>
              <w:left w:w="0" w:type="dxa"/>
              <w:bottom w:w="40" w:type="dxa"/>
              <w:right w:w="20" w:type="dxa"/>
            </w:tcMar>
            <w:vAlign w:val="bottom"/>
          </w:tcPr>
          <w:p w14:paraId="669C6448" w14:textId="77777777" w:rsidR="00066C63" w:rsidRDefault="00066C63">
            <w:pPr>
              <w:jc w:val="right"/>
              <w:rPr>
                <w:rFonts w:ascii="宋体"/>
              </w:rPr>
            </w:pPr>
          </w:p>
        </w:tc>
      </w:tr>
    </w:tbl>
    <w:p w14:paraId="669C644A" w14:textId="77777777" w:rsidR="00066C63" w:rsidRDefault="009656F6">
      <w:pPr>
        <w:spacing w:before="120" w:after="120"/>
      </w:pPr>
      <w:r>
        <w:rPr>
          <w:rFonts w:ascii="Arial" w:eastAsia="宋体" w:hAnsi="Arial" w:cs="Arial"/>
          <w:color w:val="E87722"/>
          <w:sz w:val="17"/>
          <w:szCs w:val="17"/>
        </w:rPr>
        <w:t>12</w:t>
      </w:r>
      <w:r>
        <w:rPr>
          <w:rFonts w:ascii="sans-serif" w:eastAsia="sans-serif" w:hAnsi="sans-serif" w:cs="sans-serif"/>
          <w:color w:val="000000"/>
          <w:sz w:val="17"/>
          <w:szCs w:val="17"/>
        </w:rPr>
        <w:t xml:space="preserve"> </w:t>
      </w:r>
    </w:p>
    <w:p w14:paraId="669C644B" w14:textId="77777777" w:rsidR="00066C63" w:rsidRDefault="009656F6">
      <w:r>
        <w:pict w14:anchorId="669C7E3C">
          <v:rect id="_x0000_i1038" style="width:415.3pt;height:1.5pt" o:hralign="center" o:hrstd="t" o:hr="t" fillcolor="#a0a0a0" stroked="f"/>
        </w:pict>
      </w:r>
    </w:p>
    <w:p w14:paraId="669C644C" w14:textId="77777777" w:rsidR="00066C63" w:rsidRDefault="00066C63"/>
    <w:p w14:paraId="669C644D" w14:textId="77777777" w:rsidR="00066C63" w:rsidRDefault="009656F6">
      <w:hyperlink r:id="rId83" w:anchor="i1e99cb26debe49fe8b698d0f0eb1273a_7" w:history="1">
        <w:r>
          <w:rPr>
            <w:rStyle w:val="a5"/>
            <w:rFonts w:ascii="sans-serif" w:eastAsia="sans-serif" w:hAnsi="sans-serif" w:cs="sans-serif"/>
            <w:sz w:val="17"/>
            <w:szCs w:val="17"/>
          </w:rPr>
          <w:t>Table of Contents</w:t>
        </w:r>
      </w:hyperlink>
    </w:p>
    <w:p w14:paraId="669C644E" w14:textId="77777777" w:rsidR="00066C63" w:rsidRDefault="00066C63"/>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066C63" w14:paraId="669C6452" w14:textId="77777777">
        <w:tc>
          <w:tcPr>
            <w:tcW w:w="50" w:type="pct"/>
            <w:shd w:val="clear" w:color="auto" w:fill="auto"/>
          </w:tcPr>
          <w:p w14:paraId="669C644F" w14:textId="77777777" w:rsidR="00066C63" w:rsidRDefault="00066C63">
            <w:pPr>
              <w:rPr>
                <w:rFonts w:ascii="宋体"/>
              </w:rPr>
            </w:pPr>
          </w:p>
        </w:tc>
        <w:tc>
          <w:tcPr>
            <w:tcW w:w="4945" w:type="pct"/>
            <w:shd w:val="clear" w:color="auto" w:fill="auto"/>
          </w:tcPr>
          <w:p w14:paraId="669C6450" w14:textId="77777777" w:rsidR="00066C63" w:rsidRDefault="00066C63">
            <w:pPr>
              <w:rPr>
                <w:rFonts w:ascii="宋体"/>
              </w:rPr>
            </w:pPr>
          </w:p>
        </w:tc>
        <w:tc>
          <w:tcPr>
            <w:tcW w:w="5" w:type="pct"/>
            <w:shd w:val="clear" w:color="auto" w:fill="auto"/>
          </w:tcPr>
          <w:p w14:paraId="669C6451" w14:textId="77777777" w:rsidR="00066C63" w:rsidRDefault="00066C63">
            <w:pPr>
              <w:rPr>
                <w:rFonts w:ascii="宋体"/>
              </w:rPr>
            </w:pPr>
          </w:p>
        </w:tc>
      </w:tr>
      <w:tr w:rsidR="00066C63" w14:paraId="669C6454" w14:textId="77777777">
        <w:tc>
          <w:tcPr>
            <w:tcW w:w="0" w:type="auto"/>
            <w:gridSpan w:val="3"/>
            <w:shd w:val="clear" w:color="auto" w:fill="auto"/>
            <w:tcMar>
              <w:top w:w="40" w:type="dxa"/>
              <w:left w:w="20" w:type="dxa"/>
              <w:bottom w:w="40" w:type="dxa"/>
              <w:right w:w="20" w:type="dxa"/>
            </w:tcMar>
            <w:vAlign w:val="bottom"/>
          </w:tcPr>
          <w:p w14:paraId="669C6453" w14:textId="77777777" w:rsidR="00066C63" w:rsidRDefault="009656F6">
            <w:pPr>
              <w:textAlignment w:val="bottom"/>
            </w:pPr>
            <w:r>
              <w:rPr>
                <w:rFonts w:ascii="sans-serif" w:eastAsia="sans-serif" w:hAnsi="sans-serif" w:cs="sans-serif"/>
                <w:b/>
                <w:bCs/>
                <w:color w:val="E87722"/>
                <w:sz w:val="36"/>
                <w:szCs w:val="36"/>
              </w:rPr>
              <w:t>NOTE 9 — RISK MANAGEMENT AND DERIVATIVES</w:t>
            </w:r>
          </w:p>
        </w:tc>
      </w:tr>
    </w:tbl>
    <w:p w14:paraId="669C6455" w14:textId="77777777" w:rsidR="00066C63" w:rsidRDefault="009656F6">
      <w:pPr>
        <w:spacing w:before="120" w:after="120"/>
      </w:pPr>
      <w:r>
        <w:rPr>
          <w:rFonts w:ascii="Arial" w:eastAsia="宋体" w:hAnsi="Arial" w:cs="Arial"/>
          <w:color w:val="000000"/>
          <w:sz w:val="17"/>
          <w:szCs w:val="17"/>
        </w:rPr>
        <w:t xml:space="preserve">The Company is exposed to global </w:t>
      </w:r>
      <w:r>
        <w:rPr>
          <w:rFonts w:ascii="Arial" w:eastAsia="宋体" w:hAnsi="Arial" w:cs="Arial"/>
          <w:color w:val="000000"/>
          <w:sz w:val="17"/>
          <w:szCs w:val="17"/>
        </w:rPr>
        <w:t>market risks, including the effect of changes in foreign currency exchange rates and interest rates, and uses derivatives to manage financial exposures that occur in the normal course of business. As of and for the nine months ended February 28, 2021, ther</w:t>
      </w:r>
      <w:r>
        <w:rPr>
          <w:rFonts w:ascii="Arial" w:eastAsia="宋体" w:hAnsi="Arial" w:cs="Arial"/>
          <w:color w:val="000000"/>
          <w:sz w:val="17"/>
          <w:szCs w:val="17"/>
        </w:rPr>
        <w:t>e have been no material changes to the Company's hedging program or strategy from what was disclosed within the Annual Report on Form 10-K. For additional information about the Company's derivatives and hedging policies refer to Note 1 — Summary of Signifi</w:t>
      </w:r>
      <w:r>
        <w:rPr>
          <w:rFonts w:ascii="Arial" w:eastAsia="宋体" w:hAnsi="Arial" w:cs="Arial"/>
          <w:color w:val="000000"/>
          <w:sz w:val="17"/>
          <w:szCs w:val="17"/>
        </w:rPr>
        <w:t>cant Accounting Policies and Note 14 — Risk Management and Derivatives of the Annual Report on Form 10-K for the fiscal year ended May 31, 2020.</w:t>
      </w:r>
    </w:p>
    <w:p w14:paraId="669C6456" w14:textId="77777777" w:rsidR="00066C63" w:rsidRDefault="009656F6">
      <w:pPr>
        <w:spacing w:before="120" w:after="120"/>
      </w:pPr>
      <w:r>
        <w:rPr>
          <w:rFonts w:ascii="Arial" w:eastAsia="宋体" w:hAnsi="Arial" w:cs="Arial"/>
          <w:color w:val="000000"/>
          <w:sz w:val="17"/>
          <w:szCs w:val="17"/>
        </w:rPr>
        <w:t>The majority of derivatives outstanding as of February 28, 2021 are designated as foreign currency cash flow he</w:t>
      </w:r>
      <w:r>
        <w:rPr>
          <w:rFonts w:ascii="Arial" w:eastAsia="宋体" w:hAnsi="Arial" w:cs="Arial"/>
          <w:color w:val="000000"/>
          <w:sz w:val="17"/>
          <w:szCs w:val="17"/>
        </w:rPr>
        <w:t>dges, primarily for Euro/U.S. Dollar, British Pound/Euro, Chinese Yuan/U.S. Dollar, and Japanese Yen/U.S. Dollar currency pairs. All derivatives are recognized on the Unaudited Condensed Consolidated Balance Sheets at fair value and classified based on the</w:t>
      </w:r>
      <w:r>
        <w:rPr>
          <w:rFonts w:ascii="Arial" w:eastAsia="宋体" w:hAnsi="Arial" w:cs="Arial"/>
          <w:color w:val="000000"/>
          <w:sz w:val="17"/>
          <w:szCs w:val="17"/>
        </w:rPr>
        <w:t xml:space="preserve"> instrument's maturity date.</w:t>
      </w:r>
    </w:p>
    <w:p w14:paraId="669C6457" w14:textId="77777777" w:rsidR="00066C63" w:rsidRDefault="009656F6">
      <w:pPr>
        <w:spacing w:before="120"/>
      </w:pPr>
      <w:r>
        <w:rPr>
          <w:rFonts w:ascii="Arial" w:eastAsia="宋体" w:hAnsi="Arial" w:cs="Arial"/>
          <w:color w:val="000000"/>
          <w:sz w:val="17"/>
          <w:szCs w:val="17"/>
        </w:rPr>
        <w:t>The following tables present the fair values of derivative instruments included within the Unaudited Condensed Consolidated Balance Sheets:</w:t>
      </w:r>
    </w:p>
    <w:tbl>
      <w:tblPr>
        <w:tblW w:w="4915" w:type="pct"/>
        <w:tblCellMar>
          <w:top w:w="15" w:type="dxa"/>
          <w:left w:w="15" w:type="dxa"/>
          <w:bottom w:w="15" w:type="dxa"/>
          <w:right w:w="15" w:type="dxa"/>
        </w:tblCellMar>
        <w:tblLook w:val="04A0" w:firstRow="1" w:lastRow="0" w:firstColumn="1" w:lastColumn="0" w:noHBand="0" w:noVBand="1"/>
      </w:tblPr>
      <w:tblGrid>
        <w:gridCol w:w="48"/>
        <w:gridCol w:w="3594"/>
        <w:gridCol w:w="36"/>
        <w:gridCol w:w="53"/>
        <w:gridCol w:w="1994"/>
        <w:gridCol w:w="37"/>
        <w:gridCol w:w="116"/>
        <w:gridCol w:w="1021"/>
        <w:gridCol w:w="36"/>
        <w:gridCol w:w="36"/>
        <w:gridCol w:w="36"/>
        <w:gridCol w:w="36"/>
        <w:gridCol w:w="115"/>
        <w:gridCol w:w="1000"/>
        <w:gridCol w:w="36"/>
      </w:tblGrid>
      <w:tr w:rsidR="00066C63" w14:paraId="669C6467" w14:textId="77777777">
        <w:tc>
          <w:tcPr>
            <w:tcW w:w="50" w:type="pct"/>
            <w:shd w:val="clear" w:color="auto" w:fill="auto"/>
          </w:tcPr>
          <w:p w14:paraId="669C6458" w14:textId="77777777" w:rsidR="00066C63" w:rsidRDefault="00066C63">
            <w:pPr>
              <w:rPr>
                <w:rFonts w:ascii="宋体"/>
              </w:rPr>
            </w:pPr>
          </w:p>
        </w:tc>
        <w:tc>
          <w:tcPr>
            <w:tcW w:w="2213" w:type="pct"/>
            <w:shd w:val="clear" w:color="auto" w:fill="auto"/>
          </w:tcPr>
          <w:p w14:paraId="669C6459" w14:textId="77777777" w:rsidR="00066C63" w:rsidRDefault="00066C63">
            <w:pPr>
              <w:rPr>
                <w:rFonts w:ascii="宋体"/>
              </w:rPr>
            </w:pPr>
          </w:p>
        </w:tc>
        <w:tc>
          <w:tcPr>
            <w:tcW w:w="5" w:type="pct"/>
            <w:shd w:val="clear" w:color="auto" w:fill="auto"/>
          </w:tcPr>
          <w:p w14:paraId="669C645A" w14:textId="77777777" w:rsidR="00066C63" w:rsidRDefault="00066C63">
            <w:pPr>
              <w:rPr>
                <w:rFonts w:ascii="宋体"/>
              </w:rPr>
            </w:pPr>
          </w:p>
        </w:tc>
        <w:tc>
          <w:tcPr>
            <w:tcW w:w="50" w:type="pct"/>
            <w:shd w:val="clear" w:color="auto" w:fill="auto"/>
          </w:tcPr>
          <w:p w14:paraId="669C645B" w14:textId="77777777" w:rsidR="00066C63" w:rsidRDefault="00066C63">
            <w:pPr>
              <w:rPr>
                <w:rFonts w:ascii="宋体"/>
              </w:rPr>
            </w:pPr>
          </w:p>
        </w:tc>
        <w:tc>
          <w:tcPr>
            <w:tcW w:w="1240" w:type="pct"/>
            <w:shd w:val="clear" w:color="auto" w:fill="auto"/>
          </w:tcPr>
          <w:p w14:paraId="669C645C" w14:textId="77777777" w:rsidR="00066C63" w:rsidRDefault="00066C63">
            <w:pPr>
              <w:rPr>
                <w:rFonts w:ascii="宋体"/>
              </w:rPr>
            </w:pPr>
          </w:p>
        </w:tc>
        <w:tc>
          <w:tcPr>
            <w:tcW w:w="5" w:type="pct"/>
            <w:shd w:val="clear" w:color="auto" w:fill="auto"/>
          </w:tcPr>
          <w:p w14:paraId="669C645D" w14:textId="77777777" w:rsidR="00066C63" w:rsidRDefault="00066C63">
            <w:pPr>
              <w:rPr>
                <w:rFonts w:ascii="宋体"/>
              </w:rPr>
            </w:pPr>
          </w:p>
        </w:tc>
        <w:tc>
          <w:tcPr>
            <w:tcW w:w="50" w:type="pct"/>
            <w:shd w:val="clear" w:color="auto" w:fill="auto"/>
          </w:tcPr>
          <w:p w14:paraId="669C645E" w14:textId="77777777" w:rsidR="00066C63" w:rsidRDefault="00066C63">
            <w:pPr>
              <w:rPr>
                <w:rFonts w:ascii="宋体"/>
              </w:rPr>
            </w:pPr>
          </w:p>
        </w:tc>
        <w:tc>
          <w:tcPr>
            <w:tcW w:w="643" w:type="pct"/>
            <w:shd w:val="clear" w:color="auto" w:fill="auto"/>
          </w:tcPr>
          <w:p w14:paraId="669C645F" w14:textId="77777777" w:rsidR="00066C63" w:rsidRDefault="00066C63">
            <w:pPr>
              <w:rPr>
                <w:rFonts w:ascii="宋体"/>
              </w:rPr>
            </w:pPr>
          </w:p>
        </w:tc>
        <w:tc>
          <w:tcPr>
            <w:tcW w:w="5" w:type="pct"/>
            <w:shd w:val="clear" w:color="auto" w:fill="auto"/>
          </w:tcPr>
          <w:p w14:paraId="669C6460" w14:textId="77777777" w:rsidR="00066C63" w:rsidRDefault="00066C63">
            <w:pPr>
              <w:rPr>
                <w:rFonts w:ascii="宋体"/>
              </w:rPr>
            </w:pPr>
          </w:p>
        </w:tc>
        <w:tc>
          <w:tcPr>
            <w:tcW w:w="5" w:type="pct"/>
            <w:shd w:val="clear" w:color="auto" w:fill="auto"/>
          </w:tcPr>
          <w:p w14:paraId="669C6461" w14:textId="77777777" w:rsidR="00066C63" w:rsidRDefault="00066C63">
            <w:pPr>
              <w:rPr>
                <w:rFonts w:ascii="宋体"/>
              </w:rPr>
            </w:pPr>
          </w:p>
        </w:tc>
        <w:tc>
          <w:tcPr>
            <w:tcW w:w="29" w:type="pct"/>
            <w:shd w:val="clear" w:color="auto" w:fill="auto"/>
          </w:tcPr>
          <w:p w14:paraId="669C6462" w14:textId="77777777" w:rsidR="00066C63" w:rsidRDefault="00066C63">
            <w:pPr>
              <w:rPr>
                <w:rFonts w:ascii="宋体"/>
              </w:rPr>
            </w:pPr>
          </w:p>
        </w:tc>
        <w:tc>
          <w:tcPr>
            <w:tcW w:w="5" w:type="pct"/>
            <w:shd w:val="clear" w:color="auto" w:fill="auto"/>
          </w:tcPr>
          <w:p w14:paraId="669C6463" w14:textId="77777777" w:rsidR="00066C63" w:rsidRDefault="00066C63">
            <w:pPr>
              <w:rPr>
                <w:rFonts w:ascii="宋体"/>
              </w:rPr>
            </w:pPr>
          </w:p>
        </w:tc>
        <w:tc>
          <w:tcPr>
            <w:tcW w:w="50" w:type="pct"/>
            <w:shd w:val="clear" w:color="auto" w:fill="auto"/>
          </w:tcPr>
          <w:p w14:paraId="669C6464" w14:textId="77777777" w:rsidR="00066C63" w:rsidRDefault="00066C63">
            <w:pPr>
              <w:rPr>
                <w:rFonts w:ascii="宋体"/>
              </w:rPr>
            </w:pPr>
          </w:p>
        </w:tc>
        <w:tc>
          <w:tcPr>
            <w:tcW w:w="643" w:type="pct"/>
            <w:shd w:val="clear" w:color="auto" w:fill="auto"/>
          </w:tcPr>
          <w:p w14:paraId="669C6465" w14:textId="77777777" w:rsidR="00066C63" w:rsidRDefault="00066C63">
            <w:pPr>
              <w:rPr>
                <w:rFonts w:ascii="宋体"/>
              </w:rPr>
            </w:pPr>
          </w:p>
        </w:tc>
        <w:tc>
          <w:tcPr>
            <w:tcW w:w="5" w:type="pct"/>
            <w:shd w:val="clear" w:color="auto" w:fill="auto"/>
          </w:tcPr>
          <w:p w14:paraId="669C6466" w14:textId="77777777" w:rsidR="00066C63" w:rsidRDefault="00066C63">
            <w:pPr>
              <w:rPr>
                <w:rFonts w:ascii="宋体"/>
              </w:rPr>
            </w:pPr>
          </w:p>
        </w:tc>
      </w:tr>
      <w:tr w:rsidR="00066C63" w14:paraId="669C646A" w14:textId="77777777">
        <w:tc>
          <w:tcPr>
            <w:tcW w:w="0" w:type="auto"/>
            <w:gridSpan w:val="3"/>
            <w:shd w:val="clear" w:color="auto" w:fill="auto"/>
            <w:tcMar>
              <w:top w:w="40" w:type="dxa"/>
              <w:left w:w="20" w:type="dxa"/>
              <w:bottom w:w="40" w:type="dxa"/>
              <w:right w:w="20" w:type="dxa"/>
            </w:tcMar>
            <w:vAlign w:val="bottom"/>
          </w:tcPr>
          <w:p w14:paraId="669C6468" w14:textId="77777777" w:rsidR="00066C63" w:rsidRDefault="009656F6">
            <w:pPr>
              <w:textAlignment w:val="bottom"/>
            </w:pPr>
            <w:r>
              <w:rPr>
                <w:rFonts w:ascii="Arial" w:eastAsia="宋体" w:hAnsi="Arial" w:cs="Arial"/>
                <w:color w:val="000000"/>
                <w:sz w:val="17"/>
                <w:szCs w:val="17"/>
              </w:rPr>
              <w:t> </w:t>
            </w:r>
          </w:p>
        </w:tc>
        <w:tc>
          <w:tcPr>
            <w:tcW w:w="0" w:type="auto"/>
            <w:gridSpan w:val="12"/>
            <w:shd w:val="clear" w:color="auto" w:fill="auto"/>
            <w:tcMar>
              <w:top w:w="40" w:type="dxa"/>
              <w:left w:w="20" w:type="dxa"/>
              <w:bottom w:w="40" w:type="dxa"/>
              <w:right w:w="20" w:type="dxa"/>
            </w:tcMar>
            <w:vAlign w:val="bottom"/>
          </w:tcPr>
          <w:p w14:paraId="669C6469" w14:textId="77777777" w:rsidR="00066C63" w:rsidRDefault="009656F6">
            <w:pPr>
              <w:jc w:val="center"/>
              <w:textAlignment w:val="bottom"/>
            </w:pPr>
            <w:r>
              <w:rPr>
                <w:rFonts w:ascii="sans-serif" w:eastAsia="sans-serif" w:hAnsi="sans-serif" w:cs="sans-serif"/>
                <w:b/>
                <w:bCs/>
                <w:color w:val="000000"/>
                <w:sz w:val="17"/>
                <w:szCs w:val="17"/>
              </w:rPr>
              <w:t>DERIVATIVE ASSETS</w:t>
            </w:r>
          </w:p>
        </w:tc>
      </w:tr>
      <w:tr w:rsidR="00066C63" w14:paraId="669C6470" w14:textId="77777777">
        <w:trPr>
          <w:trHeight w:val="240"/>
        </w:trPr>
        <w:tc>
          <w:tcPr>
            <w:tcW w:w="0" w:type="auto"/>
            <w:gridSpan w:val="3"/>
            <w:shd w:val="clear" w:color="auto" w:fill="auto"/>
            <w:tcMar>
              <w:top w:w="0" w:type="dxa"/>
              <w:left w:w="20" w:type="dxa"/>
              <w:bottom w:w="0" w:type="dxa"/>
              <w:right w:w="20" w:type="dxa"/>
            </w:tcMar>
          </w:tcPr>
          <w:p w14:paraId="669C646B" w14:textId="77777777" w:rsidR="00066C63" w:rsidRDefault="00066C63">
            <w:pPr>
              <w:rPr>
                <w:rFonts w:ascii="宋体"/>
              </w:rPr>
            </w:pPr>
          </w:p>
        </w:tc>
        <w:tc>
          <w:tcPr>
            <w:tcW w:w="0" w:type="auto"/>
            <w:gridSpan w:val="3"/>
            <w:vMerge w:val="restart"/>
            <w:tcBorders>
              <w:top w:val="single" w:sz="8" w:space="0" w:color="E87722"/>
            </w:tcBorders>
            <w:shd w:val="clear" w:color="auto" w:fill="auto"/>
            <w:tcMar>
              <w:top w:w="40" w:type="dxa"/>
              <w:left w:w="20" w:type="dxa"/>
              <w:bottom w:w="40" w:type="dxa"/>
              <w:right w:w="20" w:type="dxa"/>
            </w:tcMar>
            <w:vAlign w:val="bottom"/>
          </w:tcPr>
          <w:p w14:paraId="669C646C" w14:textId="77777777" w:rsidR="00066C63" w:rsidRDefault="009656F6">
            <w:pPr>
              <w:jc w:val="right"/>
              <w:textAlignment w:val="bottom"/>
            </w:pPr>
            <w:r>
              <w:rPr>
                <w:rFonts w:ascii="sans-serif" w:eastAsia="sans-serif" w:hAnsi="sans-serif" w:cs="sans-serif"/>
                <w:b/>
                <w:bCs/>
                <w:color w:val="000000"/>
                <w:sz w:val="17"/>
                <w:szCs w:val="17"/>
              </w:rPr>
              <w:t>BALANCE SHEET LOCATION</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46D" w14:textId="77777777" w:rsidR="00066C63" w:rsidRDefault="009656F6">
            <w:pPr>
              <w:jc w:val="center"/>
              <w:textAlignment w:val="bottom"/>
            </w:pPr>
            <w:r>
              <w:rPr>
                <w:rFonts w:ascii="sans-serif" w:eastAsia="sans-serif" w:hAnsi="sans-serif" w:cs="sans-serif"/>
                <w:b/>
                <w:bCs/>
                <w:color w:val="000000"/>
                <w:sz w:val="17"/>
                <w:szCs w:val="17"/>
              </w:rPr>
              <w:t>FEBRUARY 28,</w:t>
            </w:r>
          </w:p>
        </w:tc>
        <w:tc>
          <w:tcPr>
            <w:tcW w:w="0" w:type="auto"/>
            <w:gridSpan w:val="3"/>
            <w:tcBorders>
              <w:top w:val="single" w:sz="8" w:space="0" w:color="E87722"/>
            </w:tcBorders>
            <w:shd w:val="clear" w:color="auto" w:fill="auto"/>
            <w:tcMar>
              <w:top w:w="0" w:type="dxa"/>
              <w:left w:w="20" w:type="dxa"/>
              <w:bottom w:w="0" w:type="dxa"/>
              <w:right w:w="20" w:type="dxa"/>
            </w:tcMar>
          </w:tcPr>
          <w:p w14:paraId="669C646E" w14:textId="77777777" w:rsidR="00066C63" w:rsidRDefault="00066C63">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46F" w14:textId="77777777" w:rsidR="00066C63" w:rsidRDefault="009656F6">
            <w:pPr>
              <w:jc w:val="center"/>
              <w:textAlignment w:val="bottom"/>
            </w:pPr>
            <w:r>
              <w:rPr>
                <w:rFonts w:ascii="sans-serif" w:eastAsia="sans-serif" w:hAnsi="sans-serif" w:cs="sans-serif"/>
                <w:b/>
                <w:bCs/>
                <w:color w:val="000000"/>
                <w:sz w:val="17"/>
                <w:szCs w:val="17"/>
              </w:rPr>
              <w:t>MAY 31,</w:t>
            </w:r>
          </w:p>
        </w:tc>
      </w:tr>
      <w:tr w:rsidR="00066C63" w14:paraId="669C6476" w14:textId="77777777">
        <w:trPr>
          <w:trHeight w:val="240"/>
        </w:trPr>
        <w:tc>
          <w:tcPr>
            <w:tcW w:w="0" w:type="auto"/>
            <w:gridSpan w:val="3"/>
            <w:shd w:val="clear" w:color="auto" w:fill="auto"/>
            <w:tcMar>
              <w:top w:w="40" w:type="dxa"/>
              <w:left w:w="20" w:type="dxa"/>
              <w:bottom w:w="40" w:type="dxa"/>
              <w:right w:w="20" w:type="dxa"/>
            </w:tcMar>
            <w:vAlign w:val="bottom"/>
          </w:tcPr>
          <w:p w14:paraId="669C6471" w14:textId="77777777" w:rsidR="00066C63" w:rsidRDefault="009656F6">
            <w:pPr>
              <w:textAlignment w:val="bottom"/>
            </w:pPr>
            <w:r>
              <w:rPr>
                <w:rFonts w:ascii="Arial Narrow" w:eastAsia="Arial Narrow" w:hAnsi="Arial Narrow" w:cs="Arial Narrow"/>
                <w:i/>
                <w:iCs/>
                <w:color w:val="000000"/>
                <w:sz w:val="17"/>
                <w:szCs w:val="17"/>
              </w:rPr>
              <w:t>(Dollars in millions)</w:t>
            </w:r>
          </w:p>
        </w:tc>
        <w:tc>
          <w:tcPr>
            <w:tcW w:w="0" w:type="auto"/>
            <w:gridSpan w:val="3"/>
            <w:vMerge/>
            <w:tcBorders>
              <w:top w:val="single" w:sz="8" w:space="0" w:color="E87722"/>
            </w:tcBorders>
            <w:shd w:val="clear" w:color="auto" w:fill="auto"/>
            <w:tcMar>
              <w:top w:w="40" w:type="dxa"/>
              <w:left w:w="20" w:type="dxa"/>
              <w:bottom w:w="40" w:type="dxa"/>
              <w:right w:w="20" w:type="dxa"/>
            </w:tcMar>
            <w:vAlign w:val="bottom"/>
          </w:tcPr>
          <w:p w14:paraId="669C6472" w14:textId="77777777" w:rsidR="00066C63" w:rsidRDefault="00066C63">
            <w:pPr>
              <w:jc w:val="right"/>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473" w14:textId="77777777" w:rsidR="00066C63" w:rsidRDefault="009656F6">
            <w:pPr>
              <w:jc w:val="center"/>
              <w:textAlignment w:val="bottom"/>
            </w:pPr>
            <w:r>
              <w:rPr>
                <w:rFonts w:ascii="sans-serif" w:eastAsia="sans-serif" w:hAnsi="sans-serif" w:cs="sans-serif"/>
                <w:b/>
                <w:bCs/>
                <w:color w:val="000000"/>
                <w:sz w:val="17"/>
                <w:szCs w:val="17"/>
              </w:rPr>
              <w:t>2021</w:t>
            </w:r>
          </w:p>
        </w:tc>
        <w:tc>
          <w:tcPr>
            <w:tcW w:w="0" w:type="auto"/>
            <w:gridSpan w:val="3"/>
            <w:shd w:val="clear" w:color="auto" w:fill="auto"/>
            <w:tcMar>
              <w:top w:w="0" w:type="dxa"/>
              <w:left w:w="20" w:type="dxa"/>
              <w:bottom w:w="0" w:type="dxa"/>
              <w:right w:w="20" w:type="dxa"/>
            </w:tcMar>
          </w:tcPr>
          <w:p w14:paraId="669C6474" w14:textId="77777777" w:rsidR="00066C63" w:rsidRDefault="00066C63">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475" w14:textId="77777777" w:rsidR="00066C63" w:rsidRDefault="009656F6">
            <w:pPr>
              <w:jc w:val="center"/>
              <w:textAlignment w:val="bottom"/>
            </w:pPr>
            <w:r>
              <w:rPr>
                <w:rFonts w:ascii="sans-serif" w:eastAsia="sans-serif" w:hAnsi="sans-serif" w:cs="sans-serif"/>
                <w:b/>
                <w:bCs/>
                <w:color w:val="000000"/>
                <w:sz w:val="17"/>
                <w:szCs w:val="17"/>
              </w:rPr>
              <w:t>2020</w:t>
            </w:r>
          </w:p>
        </w:tc>
      </w:tr>
      <w:tr w:rsidR="00066C63" w14:paraId="669C647C"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477" w14:textId="77777777" w:rsidR="00066C63" w:rsidRDefault="009656F6">
            <w:pPr>
              <w:textAlignment w:val="bottom"/>
            </w:pPr>
            <w:r>
              <w:rPr>
                <w:rFonts w:ascii="Arial" w:eastAsia="宋体" w:hAnsi="Arial" w:cs="Arial"/>
                <w:color w:val="000000"/>
                <w:sz w:val="17"/>
                <w:szCs w:val="17"/>
              </w:rPr>
              <w:t>Derivatives formally designated as hedging instruments:</w:t>
            </w:r>
          </w:p>
        </w:tc>
        <w:tc>
          <w:tcPr>
            <w:tcW w:w="0" w:type="auto"/>
            <w:gridSpan w:val="3"/>
            <w:tcBorders>
              <w:top w:val="single" w:sz="8" w:space="0" w:color="E87722"/>
            </w:tcBorders>
            <w:shd w:val="clear" w:color="auto" w:fill="auto"/>
            <w:tcMar>
              <w:top w:w="0" w:type="dxa"/>
              <w:left w:w="20" w:type="dxa"/>
              <w:bottom w:w="0" w:type="dxa"/>
              <w:right w:w="20" w:type="dxa"/>
            </w:tcMar>
          </w:tcPr>
          <w:p w14:paraId="669C6478" w14:textId="77777777" w:rsidR="00066C63" w:rsidRDefault="00066C63">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669C6479"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647A"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647B" w14:textId="77777777" w:rsidR="00066C63" w:rsidRDefault="00066C63">
            <w:pPr>
              <w:rPr>
                <w:rFonts w:ascii="宋体"/>
              </w:rPr>
            </w:pPr>
          </w:p>
        </w:tc>
      </w:tr>
      <w:tr w:rsidR="00066C63" w14:paraId="669C6486"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647D" w14:textId="77777777" w:rsidR="00066C63" w:rsidRDefault="009656F6">
            <w:pPr>
              <w:textAlignment w:val="bottom"/>
            </w:pPr>
            <w:r>
              <w:rPr>
                <w:rFonts w:ascii="Arial" w:eastAsia="宋体" w:hAnsi="Arial" w:cs="Arial"/>
                <w:color w:val="000000"/>
                <w:sz w:val="17"/>
                <w:szCs w:val="17"/>
              </w:rPr>
              <w:t>Foreign exchange forwards and options</w:t>
            </w: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647E" w14:textId="77777777" w:rsidR="00066C63" w:rsidRDefault="009656F6">
            <w:pPr>
              <w:jc w:val="right"/>
              <w:textAlignment w:val="bottom"/>
            </w:pPr>
            <w:r>
              <w:rPr>
                <w:rFonts w:ascii="Arial" w:eastAsia="宋体" w:hAnsi="Arial" w:cs="Arial"/>
                <w:color w:val="000000"/>
                <w:sz w:val="17"/>
                <w:szCs w:val="17"/>
              </w:rPr>
              <w:t>Prepaid expenses and other current assets</w:t>
            </w:r>
          </w:p>
        </w:tc>
        <w:tc>
          <w:tcPr>
            <w:tcW w:w="0" w:type="auto"/>
            <w:tcBorders>
              <w:top w:val="single" w:sz="8" w:space="0" w:color="808080"/>
            </w:tcBorders>
            <w:shd w:val="clear" w:color="auto" w:fill="FFF1E7"/>
            <w:tcMar>
              <w:top w:w="40" w:type="dxa"/>
              <w:left w:w="20" w:type="dxa"/>
              <w:bottom w:w="40" w:type="dxa"/>
              <w:right w:w="0" w:type="dxa"/>
            </w:tcMar>
            <w:vAlign w:val="bottom"/>
          </w:tcPr>
          <w:p w14:paraId="669C647F"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669C6480" w14:textId="77777777" w:rsidR="00066C63" w:rsidRDefault="009656F6">
            <w:pPr>
              <w:jc w:val="right"/>
              <w:textAlignment w:val="bottom"/>
            </w:pPr>
            <w:r>
              <w:rPr>
                <w:rFonts w:ascii="Arial" w:eastAsia="宋体" w:hAnsi="Arial" w:cs="Arial"/>
                <w:color w:val="000000"/>
                <w:sz w:val="17"/>
                <w:szCs w:val="17"/>
              </w:rPr>
              <w:t>26 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481" w14:textId="77777777" w:rsidR="00066C63" w:rsidRDefault="00066C63">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6482" w14:textId="77777777" w:rsidR="00066C63" w:rsidRDefault="00066C63">
            <w:pPr>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669C6483"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669C6484" w14:textId="77777777" w:rsidR="00066C63" w:rsidRDefault="009656F6">
            <w:pPr>
              <w:jc w:val="right"/>
              <w:textAlignment w:val="bottom"/>
            </w:pPr>
            <w:r>
              <w:rPr>
                <w:rFonts w:ascii="Arial" w:eastAsia="宋体" w:hAnsi="Arial" w:cs="Arial"/>
                <w:color w:val="000000"/>
                <w:sz w:val="17"/>
                <w:szCs w:val="17"/>
              </w:rPr>
              <w:t>43 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485" w14:textId="77777777" w:rsidR="00066C63" w:rsidRDefault="00066C63">
            <w:pPr>
              <w:jc w:val="right"/>
              <w:rPr>
                <w:rFonts w:ascii="宋体"/>
              </w:rPr>
            </w:pPr>
          </w:p>
        </w:tc>
      </w:tr>
      <w:tr w:rsidR="00066C63" w14:paraId="669C648E"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6487" w14:textId="77777777" w:rsidR="00066C63" w:rsidRDefault="009656F6">
            <w:pPr>
              <w:textAlignment w:val="bottom"/>
            </w:pPr>
            <w:r>
              <w:rPr>
                <w:rFonts w:ascii="Arial" w:eastAsia="宋体" w:hAnsi="Arial" w:cs="Arial"/>
                <w:color w:val="000000"/>
                <w:sz w:val="17"/>
                <w:szCs w:val="17"/>
              </w:rPr>
              <w:t>Foreign exchange forwards and options</w:t>
            </w: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6488" w14:textId="77777777" w:rsidR="00066C63" w:rsidRDefault="009656F6">
            <w:pPr>
              <w:jc w:val="right"/>
              <w:textAlignment w:val="bottom"/>
            </w:pPr>
            <w:r>
              <w:rPr>
                <w:rFonts w:ascii="Arial" w:eastAsia="宋体" w:hAnsi="Arial" w:cs="Arial"/>
                <w:color w:val="000000"/>
                <w:sz w:val="17"/>
                <w:szCs w:val="17"/>
              </w:rPr>
              <w:t xml:space="preserve">Deferred income taxes </w:t>
            </w:r>
            <w:r>
              <w:rPr>
                <w:rFonts w:ascii="Arial" w:eastAsia="宋体" w:hAnsi="Arial" w:cs="Arial"/>
                <w:color w:val="000000"/>
                <w:sz w:val="17"/>
                <w:szCs w:val="17"/>
              </w:rPr>
              <w:t>and other assets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489" w14:textId="77777777" w:rsidR="00066C63" w:rsidRDefault="009656F6">
            <w:pPr>
              <w:jc w:val="right"/>
              <w:textAlignment w:val="bottom"/>
            </w:pPr>
            <w:r>
              <w:rPr>
                <w:rFonts w:ascii="Arial" w:eastAsia="宋体" w:hAnsi="Arial" w:cs="Arial"/>
                <w:color w:val="000000"/>
                <w:sz w:val="17"/>
                <w:szCs w:val="17"/>
              </w:rPr>
              <w:t>18 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48A" w14:textId="77777777" w:rsidR="00066C63" w:rsidRDefault="00066C63">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648B" w14:textId="77777777" w:rsidR="00066C63" w:rsidRDefault="00066C63">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48C" w14:textId="77777777" w:rsidR="00066C63" w:rsidRDefault="009656F6">
            <w:pPr>
              <w:jc w:val="right"/>
              <w:textAlignment w:val="bottom"/>
            </w:pPr>
            <w:r>
              <w:rPr>
                <w:rFonts w:ascii="Arial" w:eastAsia="宋体" w:hAnsi="Arial" w:cs="Arial"/>
                <w:color w:val="000000"/>
                <w:sz w:val="17"/>
                <w:szCs w:val="17"/>
              </w:rPr>
              <w:t>1 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48D" w14:textId="77777777" w:rsidR="00066C63" w:rsidRDefault="00066C63">
            <w:pPr>
              <w:jc w:val="right"/>
              <w:rPr>
                <w:rFonts w:ascii="宋体"/>
              </w:rPr>
            </w:pPr>
          </w:p>
        </w:tc>
      </w:tr>
      <w:tr w:rsidR="00066C63" w14:paraId="669C6496"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48F" w14:textId="77777777" w:rsidR="00066C63" w:rsidRDefault="009656F6">
            <w:pPr>
              <w:textAlignment w:val="bottom"/>
            </w:pPr>
            <w:r>
              <w:rPr>
                <w:rFonts w:ascii="Arial" w:eastAsia="宋体" w:hAnsi="Arial" w:cs="Arial"/>
                <w:color w:val="000000"/>
                <w:sz w:val="17"/>
                <w:szCs w:val="17"/>
              </w:rPr>
              <w:t>Total derivatives formally designated as hedging instruments</w:t>
            </w:r>
          </w:p>
        </w:tc>
        <w:tc>
          <w:tcPr>
            <w:tcW w:w="0" w:type="auto"/>
            <w:gridSpan w:val="3"/>
            <w:tcBorders>
              <w:top w:val="single" w:sz="8" w:space="0" w:color="E87722"/>
            </w:tcBorders>
            <w:shd w:val="clear" w:color="auto" w:fill="auto"/>
            <w:tcMar>
              <w:top w:w="0" w:type="dxa"/>
              <w:left w:w="20" w:type="dxa"/>
              <w:bottom w:w="0" w:type="dxa"/>
              <w:right w:w="20" w:type="dxa"/>
            </w:tcMar>
          </w:tcPr>
          <w:p w14:paraId="669C6490" w14:textId="77777777" w:rsidR="00066C63" w:rsidRDefault="00066C63">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669C6491" w14:textId="77777777" w:rsidR="00066C63" w:rsidRDefault="009656F6">
            <w:pPr>
              <w:jc w:val="right"/>
              <w:textAlignment w:val="bottom"/>
            </w:pPr>
            <w:r>
              <w:rPr>
                <w:rFonts w:ascii="Arial" w:eastAsia="宋体" w:hAnsi="Arial" w:cs="Arial"/>
                <w:color w:val="000000"/>
                <w:sz w:val="17"/>
                <w:szCs w:val="17"/>
              </w:rPr>
              <w:t>44 </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6492" w14:textId="77777777" w:rsidR="00066C63" w:rsidRDefault="00066C63">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6493" w14:textId="77777777" w:rsidR="00066C63" w:rsidRDefault="00066C63">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6494" w14:textId="77777777" w:rsidR="00066C63" w:rsidRDefault="009656F6">
            <w:pPr>
              <w:jc w:val="right"/>
              <w:textAlignment w:val="bottom"/>
            </w:pPr>
            <w:r>
              <w:rPr>
                <w:rFonts w:ascii="Arial" w:eastAsia="宋体" w:hAnsi="Arial" w:cs="Arial"/>
                <w:color w:val="000000"/>
                <w:sz w:val="17"/>
                <w:szCs w:val="17"/>
              </w:rPr>
              <w:t>44 </w:t>
            </w:r>
          </w:p>
        </w:tc>
        <w:tc>
          <w:tcPr>
            <w:tcW w:w="0" w:type="auto"/>
            <w:tcBorders>
              <w:top w:val="single" w:sz="8" w:space="0" w:color="E87722"/>
            </w:tcBorders>
            <w:shd w:val="clear" w:color="auto" w:fill="auto"/>
            <w:tcMar>
              <w:top w:w="40" w:type="dxa"/>
              <w:left w:w="0" w:type="dxa"/>
              <w:bottom w:w="40" w:type="dxa"/>
              <w:right w:w="20" w:type="dxa"/>
            </w:tcMar>
            <w:vAlign w:val="bottom"/>
          </w:tcPr>
          <w:p w14:paraId="669C6495" w14:textId="77777777" w:rsidR="00066C63" w:rsidRDefault="00066C63">
            <w:pPr>
              <w:jc w:val="right"/>
              <w:rPr>
                <w:rFonts w:ascii="宋体"/>
              </w:rPr>
            </w:pPr>
          </w:p>
        </w:tc>
      </w:tr>
      <w:tr w:rsidR="00066C63" w14:paraId="669C649C"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497" w14:textId="77777777" w:rsidR="00066C63" w:rsidRDefault="009656F6">
            <w:pPr>
              <w:textAlignment w:val="bottom"/>
            </w:pPr>
            <w:r>
              <w:rPr>
                <w:rFonts w:ascii="Arial" w:eastAsia="宋体" w:hAnsi="Arial" w:cs="Arial"/>
                <w:color w:val="000000"/>
                <w:sz w:val="17"/>
                <w:szCs w:val="17"/>
              </w:rPr>
              <w:t>Derivatives not designated as hedging instruments:</w:t>
            </w:r>
          </w:p>
        </w:tc>
        <w:tc>
          <w:tcPr>
            <w:tcW w:w="0" w:type="auto"/>
            <w:gridSpan w:val="3"/>
            <w:tcBorders>
              <w:top w:val="single" w:sz="8" w:space="0" w:color="E87722"/>
            </w:tcBorders>
            <w:shd w:val="clear" w:color="auto" w:fill="auto"/>
            <w:tcMar>
              <w:top w:w="0" w:type="dxa"/>
              <w:left w:w="20" w:type="dxa"/>
              <w:bottom w:w="0" w:type="dxa"/>
              <w:right w:w="20" w:type="dxa"/>
            </w:tcMar>
          </w:tcPr>
          <w:p w14:paraId="669C6498" w14:textId="77777777" w:rsidR="00066C63" w:rsidRDefault="00066C63">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669C6499"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649A"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649B" w14:textId="77777777" w:rsidR="00066C63" w:rsidRDefault="00066C63">
            <w:pPr>
              <w:rPr>
                <w:rFonts w:ascii="宋体"/>
              </w:rPr>
            </w:pPr>
          </w:p>
        </w:tc>
      </w:tr>
      <w:tr w:rsidR="00066C63" w14:paraId="669C64A4"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649D" w14:textId="77777777" w:rsidR="00066C63" w:rsidRDefault="009656F6">
            <w:pPr>
              <w:textAlignment w:val="bottom"/>
            </w:pPr>
            <w:r>
              <w:rPr>
                <w:rFonts w:ascii="Arial" w:eastAsia="宋体" w:hAnsi="Arial" w:cs="Arial"/>
                <w:color w:val="000000"/>
                <w:sz w:val="17"/>
                <w:szCs w:val="17"/>
              </w:rPr>
              <w:t>Foreign exchange forwards and options</w:t>
            </w: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649E" w14:textId="77777777" w:rsidR="00066C63" w:rsidRDefault="009656F6">
            <w:pPr>
              <w:jc w:val="right"/>
              <w:textAlignment w:val="bottom"/>
            </w:pPr>
            <w:r>
              <w:rPr>
                <w:rFonts w:ascii="Arial" w:eastAsia="宋体" w:hAnsi="Arial" w:cs="Arial"/>
                <w:color w:val="000000"/>
                <w:sz w:val="17"/>
                <w:szCs w:val="17"/>
              </w:rPr>
              <w:t>Prepaid expenses and other current assets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49F" w14:textId="77777777" w:rsidR="00066C63" w:rsidRDefault="009656F6">
            <w:pPr>
              <w:jc w:val="right"/>
              <w:textAlignment w:val="bottom"/>
            </w:pPr>
            <w:r>
              <w:rPr>
                <w:rFonts w:ascii="Arial" w:eastAsia="宋体" w:hAnsi="Arial" w:cs="Arial"/>
                <w:color w:val="000000"/>
                <w:sz w:val="17"/>
                <w:szCs w:val="17"/>
              </w:rPr>
              <w:t>36 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4A0" w14:textId="77777777" w:rsidR="00066C63" w:rsidRDefault="00066C63">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64A1" w14:textId="77777777" w:rsidR="00066C63" w:rsidRDefault="00066C63">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4A2" w14:textId="77777777" w:rsidR="00066C63" w:rsidRDefault="009656F6">
            <w:pPr>
              <w:jc w:val="right"/>
              <w:textAlignment w:val="bottom"/>
            </w:pPr>
            <w:r>
              <w:rPr>
                <w:rFonts w:ascii="Arial" w:eastAsia="宋体" w:hAnsi="Arial" w:cs="Arial"/>
                <w:color w:val="000000"/>
                <w:sz w:val="17"/>
                <w:szCs w:val="17"/>
              </w:rPr>
              <w:t>48 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4A3" w14:textId="77777777" w:rsidR="00066C63" w:rsidRDefault="00066C63">
            <w:pPr>
              <w:jc w:val="right"/>
              <w:rPr>
                <w:rFonts w:ascii="宋体"/>
              </w:rPr>
            </w:pPr>
          </w:p>
        </w:tc>
      </w:tr>
      <w:tr w:rsidR="00066C63" w14:paraId="669C64AC"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64A5" w14:textId="77777777" w:rsidR="00066C63" w:rsidRDefault="009656F6">
            <w:pPr>
              <w:textAlignment w:val="bottom"/>
            </w:pPr>
            <w:r>
              <w:rPr>
                <w:rFonts w:ascii="Arial" w:eastAsia="宋体" w:hAnsi="Arial" w:cs="Arial"/>
                <w:color w:val="000000"/>
                <w:sz w:val="17"/>
                <w:szCs w:val="17"/>
              </w:rPr>
              <w:t>Embedded derivatives</w:t>
            </w: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64A6" w14:textId="77777777" w:rsidR="00066C63" w:rsidRDefault="009656F6">
            <w:pPr>
              <w:jc w:val="right"/>
              <w:textAlignment w:val="bottom"/>
            </w:pPr>
            <w:r>
              <w:rPr>
                <w:rFonts w:ascii="Arial" w:eastAsia="宋体" w:hAnsi="Arial" w:cs="Arial"/>
                <w:color w:val="000000"/>
                <w:sz w:val="17"/>
                <w:szCs w:val="17"/>
              </w:rPr>
              <w:t>Prepaid expenses and other current assets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4A7" w14:textId="77777777" w:rsidR="00066C63" w:rsidRDefault="009656F6">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4A8" w14:textId="77777777" w:rsidR="00066C63" w:rsidRDefault="00066C63">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64A9" w14:textId="77777777" w:rsidR="00066C63" w:rsidRDefault="00066C63">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4AA" w14:textId="77777777" w:rsidR="00066C63" w:rsidRDefault="009656F6">
            <w:pPr>
              <w:jc w:val="right"/>
              <w:textAlignment w:val="bottom"/>
            </w:pPr>
            <w:r>
              <w:rPr>
                <w:rFonts w:ascii="Arial" w:eastAsia="宋体" w:hAnsi="Arial" w:cs="Arial"/>
                <w:color w:val="000000"/>
                <w:sz w:val="17"/>
                <w:szCs w:val="17"/>
              </w:rPr>
              <w:t>1 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4AB" w14:textId="77777777" w:rsidR="00066C63" w:rsidRDefault="00066C63">
            <w:pPr>
              <w:jc w:val="right"/>
              <w:rPr>
                <w:rFonts w:ascii="宋体"/>
              </w:rPr>
            </w:pPr>
          </w:p>
        </w:tc>
      </w:tr>
      <w:tr w:rsidR="00066C63" w14:paraId="669C64B4"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64AD" w14:textId="77777777" w:rsidR="00066C63" w:rsidRDefault="009656F6">
            <w:pPr>
              <w:textAlignment w:val="bottom"/>
            </w:pPr>
            <w:r>
              <w:rPr>
                <w:rFonts w:ascii="Arial" w:eastAsia="宋体" w:hAnsi="Arial" w:cs="Arial"/>
                <w:color w:val="000000"/>
                <w:sz w:val="17"/>
                <w:szCs w:val="17"/>
              </w:rPr>
              <w:t>Foreign exchange forwards and options</w:t>
            </w: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64AE" w14:textId="77777777" w:rsidR="00066C63" w:rsidRDefault="009656F6">
            <w:pPr>
              <w:jc w:val="right"/>
              <w:textAlignment w:val="bottom"/>
            </w:pPr>
            <w:r>
              <w:rPr>
                <w:rFonts w:ascii="Arial" w:eastAsia="宋体" w:hAnsi="Arial" w:cs="Arial"/>
                <w:color w:val="000000"/>
                <w:sz w:val="17"/>
                <w:szCs w:val="17"/>
              </w:rPr>
              <w:t>Deferred income taxes and other assets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4AF" w14:textId="77777777" w:rsidR="00066C63" w:rsidRDefault="009656F6">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4B0" w14:textId="77777777" w:rsidR="00066C63" w:rsidRDefault="00066C63">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64B1" w14:textId="77777777" w:rsidR="00066C63" w:rsidRDefault="00066C63">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4B2" w14:textId="77777777" w:rsidR="00066C63" w:rsidRDefault="009656F6">
            <w:pPr>
              <w:jc w:val="right"/>
              <w:textAlignment w:val="bottom"/>
            </w:pPr>
            <w:r>
              <w:rPr>
                <w:rFonts w:ascii="Arial" w:eastAsia="宋体" w:hAnsi="Arial" w:cs="Arial"/>
                <w:color w:val="000000"/>
                <w:sz w:val="17"/>
                <w:szCs w:val="17"/>
              </w:rPr>
              <w:t>2 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4B3" w14:textId="77777777" w:rsidR="00066C63" w:rsidRDefault="00066C63">
            <w:pPr>
              <w:jc w:val="right"/>
              <w:rPr>
                <w:rFonts w:ascii="宋体"/>
              </w:rPr>
            </w:pPr>
          </w:p>
        </w:tc>
      </w:tr>
      <w:tr w:rsidR="00066C63" w14:paraId="669C64BA" w14:textId="77777777">
        <w:trPr>
          <w:hidden/>
        </w:trPr>
        <w:tc>
          <w:tcPr>
            <w:tcW w:w="0" w:type="auto"/>
            <w:gridSpan w:val="3"/>
            <w:shd w:val="clear" w:color="auto" w:fill="auto"/>
          </w:tcPr>
          <w:p w14:paraId="669C64B5" w14:textId="77777777" w:rsidR="00066C63" w:rsidRDefault="00066C63">
            <w:pPr>
              <w:rPr>
                <w:rFonts w:ascii="宋体"/>
                <w:vanish/>
              </w:rPr>
            </w:pPr>
          </w:p>
        </w:tc>
        <w:tc>
          <w:tcPr>
            <w:tcW w:w="0" w:type="auto"/>
            <w:gridSpan w:val="3"/>
            <w:shd w:val="clear" w:color="auto" w:fill="auto"/>
          </w:tcPr>
          <w:p w14:paraId="669C64B6" w14:textId="77777777" w:rsidR="00066C63" w:rsidRDefault="00066C63">
            <w:pPr>
              <w:rPr>
                <w:rFonts w:ascii="宋体"/>
                <w:vanish/>
              </w:rPr>
            </w:pPr>
          </w:p>
        </w:tc>
        <w:tc>
          <w:tcPr>
            <w:tcW w:w="0" w:type="auto"/>
            <w:gridSpan w:val="3"/>
            <w:shd w:val="clear" w:color="auto" w:fill="auto"/>
          </w:tcPr>
          <w:p w14:paraId="669C64B7" w14:textId="77777777" w:rsidR="00066C63" w:rsidRDefault="00066C63">
            <w:pPr>
              <w:rPr>
                <w:rFonts w:ascii="宋体"/>
                <w:vanish/>
              </w:rPr>
            </w:pPr>
          </w:p>
        </w:tc>
        <w:tc>
          <w:tcPr>
            <w:tcW w:w="0" w:type="auto"/>
            <w:gridSpan w:val="3"/>
            <w:shd w:val="clear" w:color="auto" w:fill="auto"/>
          </w:tcPr>
          <w:p w14:paraId="669C64B8" w14:textId="77777777" w:rsidR="00066C63" w:rsidRDefault="00066C63">
            <w:pPr>
              <w:rPr>
                <w:rFonts w:ascii="宋体"/>
                <w:vanish/>
              </w:rPr>
            </w:pPr>
          </w:p>
        </w:tc>
        <w:tc>
          <w:tcPr>
            <w:tcW w:w="0" w:type="auto"/>
            <w:gridSpan w:val="3"/>
            <w:shd w:val="clear" w:color="auto" w:fill="auto"/>
          </w:tcPr>
          <w:p w14:paraId="669C64B9" w14:textId="77777777" w:rsidR="00066C63" w:rsidRDefault="00066C63">
            <w:pPr>
              <w:rPr>
                <w:rFonts w:ascii="宋体"/>
                <w:vanish/>
              </w:rPr>
            </w:pPr>
          </w:p>
        </w:tc>
      </w:tr>
      <w:tr w:rsidR="00066C63" w14:paraId="669C64C2"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4BB" w14:textId="77777777" w:rsidR="00066C63" w:rsidRDefault="009656F6">
            <w:pPr>
              <w:textAlignment w:val="bottom"/>
            </w:pPr>
            <w:r>
              <w:rPr>
                <w:rFonts w:ascii="Arial" w:eastAsia="宋体" w:hAnsi="Arial" w:cs="Arial"/>
                <w:color w:val="000000"/>
                <w:sz w:val="17"/>
                <w:szCs w:val="17"/>
              </w:rPr>
              <w:t>Total derivatives not designated as hedging instruments</w:t>
            </w:r>
          </w:p>
        </w:tc>
        <w:tc>
          <w:tcPr>
            <w:tcW w:w="0" w:type="auto"/>
            <w:gridSpan w:val="3"/>
            <w:tcBorders>
              <w:top w:val="single" w:sz="8" w:space="0" w:color="E87722"/>
            </w:tcBorders>
            <w:shd w:val="clear" w:color="auto" w:fill="auto"/>
            <w:tcMar>
              <w:top w:w="0" w:type="dxa"/>
              <w:left w:w="20" w:type="dxa"/>
              <w:bottom w:w="0" w:type="dxa"/>
              <w:right w:w="20" w:type="dxa"/>
            </w:tcMar>
          </w:tcPr>
          <w:p w14:paraId="669C64BC" w14:textId="77777777" w:rsidR="00066C63" w:rsidRDefault="00066C63">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669C64BD" w14:textId="77777777" w:rsidR="00066C63" w:rsidRDefault="009656F6">
            <w:pPr>
              <w:jc w:val="right"/>
              <w:textAlignment w:val="bottom"/>
            </w:pPr>
            <w:r>
              <w:rPr>
                <w:rFonts w:ascii="Arial" w:eastAsia="宋体" w:hAnsi="Arial" w:cs="Arial"/>
                <w:color w:val="000000"/>
                <w:sz w:val="17"/>
                <w:szCs w:val="17"/>
              </w:rPr>
              <w:t>36 </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64BE" w14:textId="77777777" w:rsidR="00066C63" w:rsidRDefault="00066C63">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64BF" w14:textId="77777777" w:rsidR="00066C63" w:rsidRDefault="00066C63">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64C0" w14:textId="77777777" w:rsidR="00066C63" w:rsidRDefault="009656F6">
            <w:pPr>
              <w:jc w:val="right"/>
              <w:textAlignment w:val="bottom"/>
            </w:pPr>
            <w:r>
              <w:rPr>
                <w:rFonts w:ascii="Arial" w:eastAsia="宋体" w:hAnsi="Arial" w:cs="Arial"/>
                <w:color w:val="000000"/>
                <w:sz w:val="17"/>
                <w:szCs w:val="17"/>
              </w:rPr>
              <w:t>51 </w:t>
            </w:r>
          </w:p>
        </w:tc>
        <w:tc>
          <w:tcPr>
            <w:tcW w:w="0" w:type="auto"/>
            <w:tcBorders>
              <w:top w:val="single" w:sz="8" w:space="0" w:color="E87722"/>
            </w:tcBorders>
            <w:shd w:val="clear" w:color="auto" w:fill="auto"/>
            <w:tcMar>
              <w:top w:w="40" w:type="dxa"/>
              <w:left w:w="0" w:type="dxa"/>
              <w:bottom w:w="40" w:type="dxa"/>
              <w:right w:w="20" w:type="dxa"/>
            </w:tcMar>
            <w:vAlign w:val="bottom"/>
          </w:tcPr>
          <w:p w14:paraId="669C64C1" w14:textId="77777777" w:rsidR="00066C63" w:rsidRDefault="00066C63">
            <w:pPr>
              <w:jc w:val="right"/>
              <w:rPr>
                <w:rFonts w:ascii="宋体"/>
              </w:rPr>
            </w:pPr>
          </w:p>
        </w:tc>
      </w:tr>
      <w:tr w:rsidR="00066C63" w14:paraId="669C64CC"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4C3" w14:textId="77777777" w:rsidR="00066C63" w:rsidRDefault="009656F6">
            <w:pPr>
              <w:textAlignment w:val="bottom"/>
            </w:pPr>
            <w:r>
              <w:rPr>
                <w:rFonts w:ascii="Arial" w:eastAsia="宋体" w:hAnsi="Arial" w:cs="Arial"/>
                <w:b/>
                <w:bCs/>
                <w:color w:val="000000"/>
                <w:sz w:val="17"/>
                <w:szCs w:val="17"/>
              </w:rPr>
              <w:t xml:space="preserve">TOTAL </w:t>
            </w:r>
            <w:r>
              <w:rPr>
                <w:rFonts w:ascii="Arial" w:eastAsia="宋体" w:hAnsi="Arial" w:cs="Arial"/>
                <w:b/>
                <w:bCs/>
                <w:color w:val="000000"/>
                <w:sz w:val="17"/>
                <w:szCs w:val="17"/>
              </w:rPr>
              <w:t>DERIVATIVE ASSETS</w:t>
            </w:r>
          </w:p>
        </w:tc>
        <w:tc>
          <w:tcPr>
            <w:tcW w:w="0" w:type="auto"/>
            <w:gridSpan w:val="3"/>
            <w:tcBorders>
              <w:top w:val="single" w:sz="8" w:space="0" w:color="E87722"/>
            </w:tcBorders>
            <w:shd w:val="clear" w:color="auto" w:fill="auto"/>
            <w:tcMar>
              <w:top w:w="0" w:type="dxa"/>
              <w:left w:w="20" w:type="dxa"/>
              <w:bottom w:w="0" w:type="dxa"/>
              <w:right w:w="20" w:type="dxa"/>
            </w:tcMar>
          </w:tcPr>
          <w:p w14:paraId="669C64C4" w14:textId="77777777" w:rsidR="00066C63" w:rsidRDefault="00066C63">
            <w:pPr>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669C64C5"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669C64C6" w14:textId="77777777" w:rsidR="00066C63" w:rsidRDefault="009656F6">
            <w:pPr>
              <w:jc w:val="right"/>
              <w:textAlignment w:val="bottom"/>
            </w:pPr>
            <w:r>
              <w:rPr>
                <w:rFonts w:ascii="Arial" w:eastAsia="宋体" w:hAnsi="Arial" w:cs="Arial"/>
                <w:b/>
                <w:bCs/>
                <w:color w:val="000000"/>
                <w:sz w:val="17"/>
                <w:szCs w:val="17"/>
              </w:rPr>
              <w:t>80</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64C7" w14:textId="77777777" w:rsidR="00066C63" w:rsidRDefault="00066C63">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64C8" w14:textId="77777777" w:rsidR="00066C63" w:rsidRDefault="00066C63">
            <w:pPr>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69C64C9"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69C64CA" w14:textId="77777777" w:rsidR="00066C63" w:rsidRDefault="009656F6">
            <w:pPr>
              <w:jc w:val="right"/>
              <w:textAlignment w:val="bottom"/>
            </w:pPr>
            <w:r>
              <w:rPr>
                <w:rFonts w:ascii="Arial" w:eastAsia="宋体" w:hAnsi="Arial" w:cs="Arial"/>
                <w:b/>
                <w:bCs/>
                <w:color w:val="000000"/>
                <w:sz w:val="17"/>
                <w:szCs w:val="17"/>
              </w:rPr>
              <w:t>95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64CB" w14:textId="77777777" w:rsidR="00066C63" w:rsidRDefault="00066C63">
            <w:pPr>
              <w:jc w:val="right"/>
              <w:rPr>
                <w:rFonts w:ascii="宋体"/>
              </w:rPr>
            </w:pPr>
          </w:p>
        </w:tc>
      </w:tr>
      <w:tr w:rsidR="00066C63" w14:paraId="669C64D2" w14:textId="77777777">
        <w:trPr>
          <w:trHeight w:val="240"/>
        </w:trPr>
        <w:tc>
          <w:tcPr>
            <w:tcW w:w="0" w:type="auto"/>
            <w:gridSpan w:val="3"/>
            <w:tcBorders>
              <w:top w:val="single" w:sz="8" w:space="0" w:color="E87722"/>
            </w:tcBorders>
            <w:shd w:val="clear" w:color="auto" w:fill="auto"/>
            <w:tcMar>
              <w:top w:w="0" w:type="dxa"/>
              <w:left w:w="20" w:type="dxa"/>
              <w:bottom w:w="0" w:type="dxa"/>
              <w:right w:w="20" w:type="dxa"/>
            </w:tcMar>
          </w:tcPr>
          <w:p w14:paraId="669C64CD"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64CE"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64CF"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64D0"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64D1" w14:textId="77777777" w:rsidR="00066C63" w:rsidRDefault="00066C63">
            <w:pPr>
              <w:rPr>
                <w:rFonts w:ascii="宋体"/>
              </w:rPr>
            </w:pPr>
          </w:p>
        </w:tc>
      </w:tr>
      <w:tr w:rsidR="00066C63" w14:paraId="669C64D5" w14:textId="77777777">
        <w:tc>
          <w:tcPr>
            <w:tcW w:w="0" w:type="auto"/>
            <w:gridSpan w:val="3"/>
            <w:shd w:val="clear" w:color="auto" w:fill="auto"/>
            <w:tcMar>
              <w:top w:w="0" w:type="dxa"/>
              <w:left w:w="20" w:type="dxa"/>
              <w:bottom w:w="0" w:type="dxa"/>
              <w:right w:w="20" w:type="dxa"/>
            </w:tcMar>
          </w:tcPr>
          <w:p w14:paraId="669C64D3" w14:textId="77777777" w:rsidR="00066C63" w:rsidRDefault="00066C63">
            <w:pPr>
              <w:rPr>
                <w:rFonts w:ascii="宋体"/>
              </w:rPr>
            </w:pPr>
          </w:p>
        </w:tc>
        <w:tc>
          <w:tcPr>
            <w:tcW w:w="0" w:type="auto"/>
            <w:gridSpan w:val="12"/>
            <w:shd w:val="clear" w:color="auto" w:fill="auto"/>
            <w:tcMar>
              <w:top w:w="40" w:type="dxa"/>
              <w:left w:w="20" w:type="dxa"/>
              <w:bottom w:w="40" w:type="dxa"/>
              <w:right w:w="20" w:type="dxa"/>
            </w:tcMar>
            <w:vAlign w:val="bottom"/>
          </w:tcPr>
          <w:p w14:paraId="669C64D4" w14:textId="77777777" w:rsidR="00066C63" w:rsidRDefault="009656F6">
            <w:pPr>
              <w:jc w:val="center"/>
              <w:textAlignment w:val="bottom"/>
            </w:pPr>
            <w:r>
              <w:rPr>
                <w:rFonts w:ascii="sans-serif" w:eastAsia="sans-serif" w:hAnsi="sans-serif" w:cs="sans-serif"/>
                <w:b/>
                <w:bCs/>
                <w:color w:val="000000"/>
                <w:sz w:val="17"/>
                <w:szCs w:val="17"/>
              </w:rPr>
              <w:t>DERIVATIVE LIABILITIES</w:t>
            </w:r>
          </w:p>
        </w:tc>
      </w:tr>
      <w:tr w:rsidR="00066C63" w14:paraId="669C64DB" w14:textId="77777777">
        <w:trPr>
          <w:trHeight w:val="240"/>
        </w:trPr>
        <w:tc>
          <w:tcPr>
            <w:tcW w:w="0" w:type="auto"/>
            <w:gridSpan w:val="3"/>
            <w:shd w:val="clear" w:color="auto" w:fill="auto"/>
            <w:tcMar>
              <w:top w:w="0" w:type="dxa"/>
              <w:left w:w="20" w:type="dxa"/>
              <w:bottom w:w="0" w:type="dxa"/>
              <w:right w:w="20" w:type="dxa"/>
            </w:tcMar>
          </w:tcPr>
          <w:p w14:paraId="669C64D6" w14:textId="77777777" w:rsidR="00066C63" w:rsidRDefault="00066C63">
            <w:pPr>
              <w:rPr>
                <w:rFonts w:ascii="宋体"/>
              </w:rPr>
            </w:pPr>
          </w:p>
        </w:tc>
        <w:tc>
          <w:tcPr>
            <w:tcW w:w="0" w:type="auto"/>
            <w:gridSpan w:val="3"/>
            <w:vMerge w:val="restart"/>
            <w:tcBorders>
              <w:top w:val="single" w:sz="8" w:space="0" w:color="E87722"/>
            </w:tcBorders>
            <w:shd w:val="clear" w:color="auto" w:fill="auto"/>
            <w:tcMar>
              <w:top w:w="40" w:type="dxa"/>
              <w:left w:w="20" w:type="dxa"/>
              <w:bottom w:w="40" w:type="dxa"/>
              <w:right w:w="20" w:type="dxa"/>
            </w:tcMar>
            <w:vAlign w:val="bottom"/>
          </w:tcPr>
          <w:p w14:paraId="669C64D7" w14:textId="77777777" w:rsidR="00066C63" w:rsidRDefault="009656F6">
            <w:pPr>
              <w:jc w:val="right"/>
              <w:textAlignment w:val="bottom"/>
            </w:pPr>
            <w:r>
              <w:rPr>
                <w:rFonts w:ascii="sans-serif" w:eastAsia="sans-serif" w:hAnsi="sans-serif" w:cs="sans-serif"/>
                <w:b/>
                <w:bCs/>
                <w:color w:val="000000"/>
                <w:sz w:val="17"/>
                <w:szCs w:val="17"/>
              </w:rPr>
              <w:t>BALANCE SHEET LOCATION</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4D8" w14:textId="77777777" w:rsidR="00066C63" w:rsidRDefault="009656F6">
            <w:pPr>
              <w:jc w:val="center"/>
              <w:textAlignment w:val="bottom"/>
            </w:pPr>
            <w:r>
              <w:rPr>
                <w:rFonts w:ascii="sans-serif" w:eastAsia="sans-serif" w:hAnsi="sans-serif" w:cs="sans-serif"/>
                <w:b/>
                <w:bCs/>
                <w:color w:val="000000"/>
                <w:sz w:val="17"/>
                <w:szCs w:val="17"/>
              </w:rPr>
              <w:t>FEBRUARY 28,</w:t>
            </w:r>
          </w:p>
        </w:tc>
        <w:tc>
          <w:tcPr>
            <w:tcW w:w="0" w:type="auto"/>
            <w:gridSpan w:val="3"/>
            <w:tcBorders>
              <w:top w:val="single" w:sz="8" w:space="0" w:color="E87722"/>
            </w:tcBorders>
            <w:shd w:val="clear" w:color="auto" w:fill="auto"/>
            <w:tcMar>
              <w:top w:w="0" w:type="dxa"/>
              <w:left w:w="20" w:type="dxa"/>
              <w:bottom w:w="0" w:type="dxa"/>
              <w:right w:w="20" w:type="dxa"/>
            </w:tcMar>
          </w:tcPr>
          <w:p w14:paraId="669C64D9" w14:textId="77777777" w:rsidR="00066C63" w:rsidRDefault="00066C63">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4DA" w14:textId="77777777" w:rsidR="00066C63" w:rsidRDefault="009656F6">
            <w:pPr>
              <w:jc w:val="center"/>
              <w:textAlignment w:val="bottom"/>
            </w:pPr>
            <w:r>
              <w:rPr>
                <w:rFonts w:ascii="sans-serif" w:eastAsia="sans-serif" w:hAnsi="sans-serif" w:cs="sans-serif"/>
                <w:b/>
                <w:bCs/>
                <w:color w:val="000000"/>
                <w:sz w:val="17"/>
                <w:szCs w:val="17"/>
              </w:rPr>
              <w:t>MAY 31,</w:t>
            </w:r>
          </w:p>
        </w:tc>
      </w:tr>
      <w:tr w:rsidR="00066C63" w14:paraId="669C64E1" w14:textId="77777777">
        <w:trPr>
          <w:trHeight w:val="240"/>
        </w:trPr>
        <w:tc>
          <w:tcPr>
            <w:tcW w:w="0" w:type="auto"/>
            <w:gridSpan w:val="3"/>
            <w:shd w:val="clear" w:color="auto" w:fill="auto"/>
            <w:tcMar>
              <w:top w:w="40" w:type="dxa"/>
              <w:left w:w="20" w:type="dxa"/>
              <w:bottom w:w="40" w:type="dxa"/>
              <w:right w:w="20" w:type="dxa"/>
            </w:tcMar>
            <w:vAlign w:val="bottom"/>
          </w:tcPr>
          <w:p w14:paraId="669C64DC" w14:textId="77777777" w:rsidR="00066C63" w:rsidRDefault="009656F6">
            <w:pPr>
              <w:textAlignment w:val="bottom"/>
            </w:pPr>
            <w:r>
              <w:rPr>
                <w:rFonts w:ascii="Arial Narrow" w:eastAsia="Arial Narrow" w:hAnsi="Arial Narrow" w:cs="Arial Narrow"/>
                <w:i/>
                <w:iCs/>
                <w:color w:val="000000"/>
                <w:sz w:val="17"/>
                <w:szCs w:val="17"/>
              </w:rPr>
              <w:t>(Dollars in millions)</w:t>
            </w:r>
          </w:p>
        </w:tc>
        <w:tc>
          <w:tcPr>
            <w:tcW w:w="0" w:type="auto"/>
            <w:gridSpan w:val="3"/>
            <w:vMerge/>
            <w:tcBorders>
              <w:top w:val="single" w:sz="8" w:space="0" w:color="E87722"/>
            </w:tcBorders>
            <w:shd w:val="clear" w:color="auto" w:fill="auto"/>
            <w:tcMar>
              <w:top w:w="40" w:type="dxa"/>
              <w:left w:w="20" w:type="dxa"/>
              <w:bottom w:w="40" w:type="dxa"/>
              <w:right w:w="20" w:type="dxa"/>
            </w:tcMar>
            <w:vAlign w:val="bottom"/>
          </w:tcPr>
          <w:p w14:paraId="669C64DD" w14:textId="77777777" w:rsidR="00066C63" w:rsidRDefault="00066C63">
            <w:pPr>
              <w:jc w:val="right"/>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4DE" w14:textId="77777777" w:rsidR="00066C63" w:rsidRDefault="009656F6">
            <w:pPr>
              <w:jc w:val="center"/>
              <w:textAlignment w:val="bottom"/>
            </w:pPr>
            <w:r>
              <w:rPr>
                <w:rFonts w:ascii="sans-serif" w:eastAsia="sans-serif" w:hAnsi="sans-serif" w:cs="sans-serif"/>
                <w:b/>
                <w:bCs/>
                <w:color w:val="000000"/>
                <w:sz w:val="17"/>
                <w:szCs w:val="17"/>
              </w:rPr>
              <w:t>2021</w:t>
            </w:r>
          </w:p>
        </w:tc>
        <w:tc>
          <w:tcPr>
            <w:tcW w:w="0" w:type="auto"/>
            <w:gridSpan w:val="3"/>
            <w:shd w:val="clear" w:color="auto" w:fill="auto"/>
            <w:tcMar>
              <w:top w:w="0" w:type="dxa"/>
              <w:left w:w="20" w:type="dxa"/>
              <w:bottom w:w="0" w:type="dxa"/>
              <w:right w:w="20" w:type="dxa"/>
            </w:tcMar>
          </w:tcPr>
          <w:p w14:paraId="669C64DF" w14:textId="77777777" w:rsidR="00066C63" w:rsidRDefault="00066C63">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4E0" w14:textId="77777777" w:rsidR="00066C63" w:rsidRDefault="009656F6">
            <w:pPr>
              <w:jc w:val="center"/>
              <w:textAlignment w:val="bottom"/>
            </w:pPr>
            <w:r>
              <w:rPr>
                <w:rFonts w:ascii="sans-serif" w:eastAsia="sans-serif" w:hAnsi="sans-serif" w:cs="sans-serif"/>
                <w:b/>
                <w:bCs/>
                <w:color w:val="000000"/>
                <w:sz w:val="17"/>
                <w:szCs w:val="17"/>
              </w:rPr>
              <w:t>2020</w:t>
            </w:r>
          </w:p>
        </w:tc>
      </w:tr>
      <w:tr w:rsidR="00066C63" w14:paraId="669C64E7"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4E2" w14:textId="77777777" w:rsidR="00066C63" w:rsidRDefault="009656F6">
            <w:pPr>
              <w:textAlignment w:val="bottom"/>
            </w:pPr>
            <w:r>
              <w:rPr>
                <w:rFonts w:ascii="Arial" w:eastAsia="宋体" w:hAnsi="Arial" w:cs="Arial"/>
                <w:color w:val="000000"/>
                <w:sz w:val="17"/>
                <w:szCs w:val="17"/>
              </w:rPr>
              <w:t>Derivatives formally designated as hedging instruments:</w:t>
            </w:r>
          </w:p>
        </w:tc>
        <w:tc>
          <w:tcPr>
            <w:tcW w:w="0" w:type="auto"/>
            <w:gridSpan w:val="3"/>
            <w:tcBorders>
              <w:top w:val="single" w:sz="8" w:space="0" w:color="E87722"/>
            </w:tcBorders>
            <w:shd w:val="clear" w:color="auto" w:fill="auto"/>
            <w:tcMar>
              <w:top w:w="0" w:type="dxa"/>
              <w:left w:w="20" w:type="dxa"/>
              <w:bottom w:w="0" w:type="dxa"/>
              <w:right w:w="20" w:type="dxa"/>
            </w:tcMar>
          </w:tcPr>
          <w:p w14:paraId="669C64E3" w14:textId="77777777" w:rsidR="00066C63" w:rsidRDefault="00066C63">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669C64E4"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64E5"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64E6" w14:textId="77777777" w:rsidR="00066C63" w:rsidRDefault="00066C63">
            <w:pPr>
              <w:rPr>
                <w:rFonts w:ascii="宋体"/>
              </w:rPr>
            </w:pPr>
          </w:p>
        </w:tc>
      </w:tr>
      <w:tr w:rsidR="00066C63" w14:paraId="669C64F1"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64E8" w14:textId="77777777" w:rsidR="00066C63" w:rsidRDefault="009656F6">
            <w:pPr>
              <w:textAlignment w:val="bottom"/>
            </w:pPr>
            <w:r>
              <w:rPr>
                <w:rFonts w:ascii="Arial" w:eastAsia="宋体" w:hAnsi="Arial" w:cs="Arial"/>
                <w:color w:val="000000"/>
                <w:sz w:val="17"/>
                <w:szCs w:val="17"/>
              </w:rPr>
              <w:t>Foreign exchange forwards and options</w:t>
            </w: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64E9" w14:textId="77777777" w:rsidR="00066C63" w:rsidRDefault="009656F6">
            <w:pPr>
              <w:jc w:val="right"/>
              <w:textAlignment w:val="bottom"/>
            </w:pPr>
            <w:r>
              <w:rPr>
                <w:rFonts w:ascii="Arial" w:eastAsia="宋体" w:hAnsi="Arial" w:cs="Arial"/>
                <w:color w:val="000000"/>
                <w:sz w:val="17"/>
                <w:szCs w:val="17"/>
              </w:rPr>
              <w:t>Accrued liabilities</w:t>
            </w:r>
          </w:p>
        </w:tc>
        <w:tc>
          <w:tcPr>
            <w:tcW w:w="0" w:type="auto"/>
            <w:tcBorders>
              <w:top w:val="single" w:sz="8" w:space="0" w:color="808080"/>
            </w:tcBorders>
            <w:shd w:val="clear" w:color="auto" w:fill="FFF1E7"/>
            <w:tcMar>
              <w:top w:w="40" w:type="dxa"/>
              <w:left w:w="20" w:type="dxa"/>
              <w:bottom w:w="40" w:type="dxa"/>
              <w:right w:w="0" w:type="dxa"/>
            </w:tcMar>
            <w:vAlign w:val="bottom"/>
          </w:tcPr>
          <w:p w14:paraId="669C64EA"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669C64EB" w14:textId="77777777" w:rsidR="00066C63" w:rsidRDefault="009656F6">
            <w:pPr>
              <w:jc w:val="right"/>
              <w:textAlignment w:val="bottom"/>
            </w:pPr>
            <w:r>
              <w:rPr>
                <w:rFonts w:ascii="Arial" w:eastAsia="宋体" w:hAnsi="Arial" w:cs="Arial"/>
                <w:color w:val="000000"/>
                <w:sz w:val="17"/>
                <w:szCs w:val="17"/>
              </w:rPr>
              <w:t>458 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4EC" w14:textId="77777777" w:rsidR="00066C63" w:rsidRDefault="00066C63">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64ED" w14:textId="77777777" w:rsidR="00066C63" w:rsidRDefault="00066C63">
            <w:pPr>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669C64EE"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669C64EF" w14:textId="77777777" w:rsidR="00066C63" w:rsidRDefault="009656F6">
            <w:pPr>
              <w:jc w:val="right"/>
              <w:textAlignment w:val="bottom"/>
            </w:pPr>
            <w:r>
              <w:rPr>
                <w:rFonts w:ascii="Arial" w:eastAsia="宋体" w:hAnsi="Arial" w:cs="Arial"/>
                <w:color w:val="000000"/>
                <w:sz w:val="17"/>
                <w:szCs w:val="17"/>
              </w:rPr>
              <w:t>173 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4F0" w14:textId="77777777" w:rsidR="00066C63" w:rsidRDefault="00066C63">
            <w:pPr>
              <w:jc w:val="right"/>
              <w:rPr>
                <w:rFonts w:ascii="宋体"/>
              </w:rPr>
            </w:pPr>
          </w:p>
        </w:tc>
      </w:tr>
      <w:tr w:rsidR="00066C63" w14:paraId="669C64F9"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64F2" w14:textId="77777777" w:rsidR="00066C63" w:rsidRDefault="009656F6">
            <w:pPr>
              <w:textAlignment w:val="bottom"/>
            </w:pPr>
            <w:r>
              <w:rPr>
                <w:rFonts w:ascii="Arial" w:eastAsia="宋体" w:hAnsi="Arial" w:cs="Arial"/>
                <w:color w:val="000000"/>
                <w:sz w:val="17"/>
                <w:szCs w:val="17"/>
              </w:rPr>
              <w:t>Foreign exchange forwards and options</w:t>
            </w: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64F3" w14:textId="77777777" w:rsidR="00066C63" w:rsidRDefault="009656F6">
            <w:pPr>
              <w:jc w:val="right"/>
              <w:textAlignment w:val="bottom"/>
            </w:pPr>
            <w:r>
              <w:rPr>
                <w:rFonts w:ascii="Arial" w:eastAsia="宋体" w:hAnsi="Arial" w:cs="Arial"/>
                <w:color w:val="000000"/>
                <w:sz w:val="17"/>
                <w:szCs w:val="17"/>
              </w:rPr>
              <w:t>Deferred income taxes and other liabilities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4F4" w14:textId="77777777" w:rsidR="00066C63" w:rsidRDefault="009656F6">
            <w:pPr>
              <w:jc w:val="right"/>
              <w:textAlignment w:val="bottom"/>
            </w:pPr>
            <w:r>
              <w:rPr>
                <w:rFonts w:ascii="Arial" w:eastAsia="宋体" w:hAnsi="Arial" w:cs="Arial"/>
                <w:color w:val="000000"/>
                <w:sz w:val="17"/>
                <w:szCs w:val="17"/>
              </w:rPr>
              <w:t>82 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4F5" w14:textId="77777777" w:rsidR="00066C63" w:rsidRDefault="00066C63">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64F6" w14:textId="77777777" w:rsidR="00066C63" w:rsidRDefault="00066C63">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4F7" w14:textId="77777777" w:rsidR="00066C63" w:rsidRDefault="009656F6">
            <w:pPr>
              <w:jc w:val="right"/>
              <w:textAlignment w:val="bottom"/>
            </w:pPr>
            <w:r>
              <w:rPr>
                <w:rFonts w:ascii="Arial" w:eastAsia="宋体" w:hAnsi="Arial" w:cs="Arial"/>
                <w:color w:val="000000"/>
                <w:sz w:val="17"/>
                <w:szCs w:val="17"/>
              </w:rPr>
              <w:t>17 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4F8" w14:textId="77777777" w:rsidR="00066C63" w:rsidRDefault="00066C63">
            <w:pPr>
              <w:jc w:val="right"/>
              <w:rPr>
                <w:rFonts w:ascii="宋体"/>
              </w:rPr>
            </w:pPr>
          </w:p>
        </w:tc>
      </w:tr>
      <w:tr w:rsidR="00066C63" w14:paraId="669C6501"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4FA" w14:textId="77777777" w:rsidR="00066C63" w:rsidRDefault="009656F6">
            <w:pPr>
              <w:textAlignment w:val="bottom"/>
            </w:pPr>
            <w:r>
              <w:rPr>
                <w:rFonts w:ascii="Arial" w:eastAsia="宋体" w:hAnsi="Arial" w:cs="Arial"/>
                <w:color w:val="000000"/>
                <w:sz w:val="17"/>
                <w:szCs w:val="17"/>
              </w:rPr>
              <w:t>Total derivatives formally designated as hedging instruments</w:t>
            </w:r>
          </w:p>
        </w:tc>
        <w:tc>
          <w:tcPr>
            <w:tcW w:w="0" w:type="auto"/>
            <w:gridSpan w:val="3"/>
            <w:tcBorders>
              <w:top w:val="single" w:sz="8" w:space="0" w:color="E87722"/>
            </w:tcBorders>
            <w:shd w:val="clear" w:color="auto" w:fill="auto"/>
            <w:tcMar>
              <w:top w:w="0" w:type="dxa"/>
              <w:left w:w="20" w:type="dxa"/>
              <w:bottom w:w="0" w:type="dxa"/>
              <w:right w:w="20" w:type="dxa"/>
            </w:tcMar>
          </w:tcPr>
          <w:p w14:paraId="669C64FB" w14:textId="77777777" w:rsidR="00066C63" w:rsidRDefault="00066C63">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669C64FC" w14:textId="77777777" w:rsidR="00066C63" w:rsidRDefault="009656F6">
            <w:pPr>
              <w:jc w:val="right"/>
              <w:textAlignment w:val="bottom"/>
            </w:pPr>
            <w:r>
              <w:rPr>
                <w:rFonts w:ascii="Arial" w:eastAsia="宋体" w:hAnsi="Arial" w:cs="Arial"/>
                <w:color w:val="000000"/>
                <w:sz w:val="17"/>
                <w:szCs w:val="17"/>
              </w:rPr>
              <w:t>540 </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64FD" w14:textId="77777777" w:rsidR="00066C63" w:rsidRDefault="00066C63">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64FE" w14:textId="77777777" w:rsidR="00066C63" w:rsidRDefault="00066C63">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64FF" w14:textId="77777777" w:rsidR="00066C63" w:rsidRDefault="009656F6">
            <w:pPr>
              <w:jc w:val="right"/>
              <w:textAlignment w:val="bottom"/>
            </w:pPr>
            <w:r>
              <w:rPr>
                <w:rFonts w:ascii="Arial" w:eastAsia="宋体" w:hAnsi="Arial" w:cs="Arial"/>
                <w:color w:val="000000"/>
                <w:sz w:val="17"/>
                <w:szCs w:val="17"/>
              </w:rPr>
              <w:t>190 </w:t>
            </w:r>
          </w:p>
        </w:tc>
        <w:tc>
          <w:tcPr>
            <w:tcW w:w="0" w:type="auto"/>
            <w:tcBorders>
              <w:top w:val="single" w:sz="8" w:space="0" w:color="E87722"/>
            </w:tcBorders>
            <w:shd w:val="clear" w:color="auto" w:fill="auto"/>
            <w:tcMar>
              <w:top w:w="40" w:type="dxa"/>
              <w:left w:w="0" w:type="dxa"/>
              <w:bottom w:w="40" w:type="dxa"/>
              <w:right w:w="20" w:type="dxa"/>
            </w:tcMar>
            <w:vAlign w:val="bottom"/>
          </w:tcPr>
          <w:p w14:paraId="669C6500" w14:textId="77777777" w:rsidR="00066C63" w:rsidRDefault="00066C63">
            <w:pPr>
              <w:jc w:val="right"/>
              <w:rPr>
                <w:rFonts w:ascii="宋体"/>
              </w:rPr>
            </w:pPr>
          </w:p>
        </w:tc>
      </w:tr>
      <w:tr w:rsidR="00066C63" w14:paraId="669C6507"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502" w14:textId="77777777" w:rsidR="00066C63" w:rsidRDefault="009656F6">
            <w:pPr>
              <w:textAlignment w:val="bottom"/>
            </w:pPr>
            <w:r>
              <w:rPr>
                <w:rFonts w:ascii="Arial" w:eastAsia="宋体" w:hAnsi="Arial" w:cs="Arial"/>
                <w:color w:val="000000"/>
                <w:sz w:val="17"/>
                <w:szCs w:val="17"/>
              </w:rPr>
              <w:t xml:space="preserve">Derivatives not designated as hedging </w:t>
            </w:r>
            <w:r>
              <w:rPr>
                <w:rFonts w:ascii="Arial" w:eastAsia="宋体" w:hAnsi="Arial" w:cs="Arial"/>
                <w:color w:val="000000"/>
                <w:sz w:val="17"/>
                <w:szCs w:val="17"/>
              </w:rPr>
              <w:t>instruments:</w:t>
            </w:r>
          </w:p>
        </w:tc>
        <w:tc>
          <w:tcPr>
            <w:tcW w:w="0" w:type="auto"/>
            <w:gridSpan w:val="3"/>
            <w:tcBorders>
              <w:top w:val="single" w:sz="8" w:space="0" w:color="E87722"/>
            </w:tcBorders>
            <w:shd w:val="clear" w:color="auto" w:fill="auto"/>
            <w:tcMar>
              <w:top w:w="0" w:type="dxa"/>
              <w:left w:w="20" w:type="dxa"/>
              <w:bottom w:w="0" w:type="dxa"/>
              <w:right w:w="20" w:type="dxa"/>
            </w:tcMar>
          </w:tcPr>
          <w:p w14:paraId="669C6503" w14:textId="77777777" w:rsidR="00066C63" w:rsidRDefault="00066C63">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669C6504"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6505"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6506" w14:textId="77777777" w:rsidR="00066C63" w:rsidRDefault="00066C63">
            <w:pPr>
              <w:rPr>
                <w:rFonts w:ascii="宋体"/>
              </w:rPr>
            </w:pPr>
          </w:p>
        </w:tc>
      </w:tr>
      <w:tr w:rsidR="00066C63" w14:paraId="669C650F"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6508" w14:textId="77777777" w:rsidR="00066C63" w:rsidRDefault="009656F6">
            <w:pPr>
              <w:textAlignment w:val="bottom"/>
            </w:pPr>
            <w:r>
              <w:rPr>
                <w:rFonts w:ascii="Arial" w:eastAsia="宋体" w:hAnsi="Arial" w:cs="Arial"/>
                <w:color w:val="000000"/>
                <w:sz w:val="17"/>
                <w:szCs w:val="17"/>
              </w:rPr>
              <w:t>Foreign exchange forwards and options</w:t>
            </w: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6509" w14:textId="77777777" w:rsidR="00066C63" w:rsidRDefault="009656F6">
            <w:pPr>
              <w:jc w:val="right"/>
              <w:textAlignment w:val="bottom"/>
            </w:pPr>
            <w:r>
              <w:rPr>
                <w:rFonts w:ascii="Arial" w:eastAsia="宋体" w:hAnsi="Arial" w:cs="Arial"/>
                <w:color w:val="000000"/>
                <w:sz w:val="17"/>
                <w:szCs w:val="17"/>
              </w:rPr>
              <w:t>Accrued liabilities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50A" w14:textId="77777777" w:rsidR="00066C63" w:rsidRDefault="009656F6">
            <w:pPr>
              <w:jc w:val="right"/>
              <w:textAlignment w:val="bottom"/>
            </w:pPr>
            <w:r>
              <w:rPr>
                <w:rFonts w:ascii="Arial" w:eastAsia="宋体" w:hAnsi="Arial" w:cs="Arial"/>
                <w:color w:val="000000"/>
                <w:sz w:val="17"/>
                <w:szCs w:val="17"/>
              </w:rPr>
              <w:t>4 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50B" w14:textId="77777777" w:rsidR="00066C63" w:rsidRDefault="00066C63">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650C" w14:textId="77777777" w:rsidR="00066C63" w:rsidRDefault="00066C63">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50D" w14:textId="77777777" w:rsidR="00066C63" w:rsidRDefault="009656F6">
            <w:pPr>
              <w:jc w:val="right"/>
              <w:textAlignment w:val="bottom"/>
            </w:pPr>
            <w:r>
              <w:rPr>
                <w:rFonts w:ascii="Arial" w:eastAsia="宋体" w:hAnsi="Arial" w:cs="Arial"/>
                <w:color w:val="000000"/>
                <w:sz w:val="17"/>
                <w:szCs w:val="17"/>
              </w:rPr>
              <w:t>15 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50E" w14:textId="77777777" w:rsidR="00066C63" w:rsidRDefault="00066C63">
            <w:pPr>
              <w:jc w:val="right"/>
              <w:rPr>
                <w:rFonts w:ascii="宋体"/>
              </w:rPr>
            </w:pPr>
          </w:p>
        </w:tc>
      </w:tr>
      <w:tr w:rsidR="00066C63" w14:paraId="669C6517"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6510" w14:textId="77777777" w:rsidR="00066C63" w:rsidRDefault="009656F6">
            <w:pPr>
              <w:textAlignment w:val="bottom"/>
            </w:pPr>
            <w:r>
              <w:rPr>
                <w:rFonts w:ascii="Arial" w:eastAsia="宋体" w:hAnsi="Arial" w:cs="Arial"/>
                <w:color w:val="000000"/>
                <w:sz w:val="17"/>
                <w:szCs w:val="17"/>
              </w:rPr>
              <w:t>Embedded derivatives</w:t>
            </w: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6511" w14:textId="77777777" w:rsidR="00066C63" w:rsidRDefault="009656F6">
            <w:pPr>
              <w:jc w:val="right"/>
              <w:textAlignment w:val="bottom"/>
            </w:pPr>
            <w:r>
              <w:rPr>
                <w:rFonts w:ascii="Arial" w:eastAsia="宋体" w:hAnsi="Arial" w:cs="Arial"/>
                <w:color w:val="000000"/>
                <w:sz w:val="17"/>
                <w:szCs w:val="17"/>
              </w:rPr>
              <w:t>Accrued liabilities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512" w14:textId="77777777" w:rsidR="00066C63" w:rsidRDefault="009656F6">
            <w:pPr>
              <w:jc w:val="right"/>
              <w:textAlignment w:val="bottom"/>
            </w:pPr>
            <w:r>
              <w:rPr>
                <w:rFonts w:ascii="Arial" w:eastAsia="宋体" w:hAnsi="Arial" w:cs="Arial"/>
                <w:color w:val="000000"/>
                <w:sz w:val="17"/>
                <w:szCs w:val="17"/>
              </w:rPr>
              <w:t>1 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513" w14:textId="77777777" w:rsidR="00066C63" w:rsidRDefault="00066C63">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6514" w14:textId="77777777" w:rsidR="00066C63" w:rsidRDefault="00066C63">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515" w14:textId="77777777" w:rsidR="00066C63" w:rsidRDefault="009656F6">
            <w:pPr>
              <w:jc w:val="right"/>
              <w:textAlignment w:val="bottom"/>
            </w:pPr>
            <w:r>
              <w:rPr>
                <w:rFonts w:ascii="Arial" w:eastAsia="宋体" w:hAnsi="Arial" w:cs="Arial"/>
                <w:color w:val="000000"/>
                <w:sz w:val="17"/>
                <w:szCs w:val="17"/>
              </w:rPr>
              <w:t>2 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516" w14:textId="77777777" w:rsidR="00066C63" w:rsidRDefault="00066C63">
            <w:pPr>
              <w:jc w:val="right"/>
              <w:rPr>
                <w:rFonts w:ascii="宋体"/>
              </w:rPr>
            </w:pPr>
          </w:p>
        </w:tc>
      </w:tr>
      <w:tr w:rsidR="00066C63" w14:paraId="669C651D" w14:textId="77777777">
        <w:trPr>
          <w:hidden/>
        </w:trPr>
        <w:tc>
          <w:tcPr>
            <w:tcW w:w="0" w:type="auto"/>
            <w:gridSpan w:val="3"/>
            <w:shd w:val="clear" w:color="auto" w:fill="auto"/>
          </w:tcPr>
          <w:p w14:paraId="669C6518" w14:textId="77777777" w:rsidR="00066C63" w:rsidRDefault="00066C63">
            <w:pPr>
              <w:rPr>
                <w:rFonts w:ascii="宋体"/>
                <w:vanish/>
              </w:rPr>
            </w:pPr>
          </w:p>
        </w:tc>
        <w:tc>
          <w:tcPr>
            <w:tcW w:w="0" w:type="auto"/>
            <w:gridSpan w:val="3"/>
            <w:shd w:val="clear" w:color="auto" w:fill="auto"/>
          </w:tcPr>
          <w:p w14:paraId="669C6519" w14:textId="77777777" w:rsidR="00066C63" w:rsidRDefault="00066C63">
            <w:pPr>
              <w:rPr>
                <w:rFonts w:ascii="宋体"/>
                <w:vanish/>
              </w:rPr>
            </w:pPr>
          </w:p>
        </w:tc>
        <w:tc>
          <w:tcPr>
            <w:tcW w:w="0" w:type="auto"/>
            <w:gridSpan w:val="3"/>
            <w:shd w:val="clear" w:color="auto" w:fill="auto"/>
          </w:tcPr>
          <w:p w14:paraId="669C651A" w14:textId="77777777" w:rsidR="00066C63" w:rsidRDefault="00066C63">
            <w:pPr>
              <w:rPr>
                <w:rFonts w:ascii="宋体"/>
                <w:vanish/>
              </w:rPr>
            </w:pPr>
          </w:p>
        </w:tc>
        <w:tc>
          <w:tcPr>
            <w:tcW w:w="0" w:type="auto"/>
            <w:gridSpan w:val="3"/>
            <w:shd w:val="clear" w:color="auto" w:fill="auto"/>
          </w:tcPr>
          <w:p w14:paraId="669C651B" w14:textId="77777777" w:rsidR="00066C63" w:rsidRDefault="00066C63">
            <w:pPr>
              <w:rPr>
                <w:rFonts w:ascii="宋体"/>
                <w:vanish/>
              </w:rPr>
            </w:pPr>
          </w:p>
        </w:tc>
        <w:tc>
          <w:tcPr>
            <w:tcW w:w="0" w:type="auto"/>
            <w:gridSpan w:val="3"/>
            <w:shd w:val="clear" w:color="auto" w:fill="auto"/>
          </w:tcPr>
          <w:p w14:paraId="669C651C" w14:textId="77777777" w:rsidR="00066C63" w:rsidRDefault="00066C63">
            <w:pPr>
              <w:rPr>
                <w:rFonts w:ascii="宋体"/>
                <w:vanish/>
              </w:rPr>
            </w:pPr>
          </w:p>
        </w:tc>
      </w:tr>
      <w:tr w:rsidR="00066C63" w14:paraId="669C6523" w14:textId="77777777">
        <w:trPr>
          <w:hidden/>
        </w:trPr>
        <w:tc>
          <w:tcPr>
            <w:tcW w:w="0" w:type="auto"/>
            <w:gridSpan w:val="3"/>
            <w:shd w:val="clear" w:color="auto" w:fill="auto"/>
          </w:tcPr>
          <w:p w14:paraId="669C651E" w14:textId="77777777" w:rsidR="00066C63" w:rsidRDefault="00066C63">
            <w:pPr>
              <w:rPr>
                <w:rFonts w:ascii="宋体"/>
                <w:vanish/>
              </w:rPr>
            </w:pPr>
          </w:p>
        </w:tc>
        <w:tc>
          <w:tcPr>
            <w:tcW w:w="0" w:type="auto"/>
            <w:gridSpan w:val="3"/>
            <w:shd w:val="clear" w:color="auto" w:fill="auto"/>
          </w:tcPr>
          <w:p w14:paraId="669C651F" w14:textId="77777777" w:rsidR="00066C63" w:rsidRDefault="00066C63">
            <w:pPr>
              <w:rPr>
                <w:rFonts w:ascii="宋体"/>
                <w:vanish/>
              </w:rPr>
            </w:pPr>
          </w:p>
        </w:tc>
        <w:tc>
          <w:tcPr>
            <w:tcW w:w="0" w:type="auto"/>
            <w:gridSpan w:val="3"/>
            <w:shd w:val="clear" w:color="auto" w:fill="auto"/>
          </w:tcPr>
          <w:p w14:paraId="669C6520" w14:textId="77777777" w:rsidR="00066C63" w:rsidRDefault="00066C63">
            <w:pPr>
              <w:rPr>
                <w:rFonts w:ascii="宋体"/>
                <w:vanish/>
              </w:rPr>
            </w:pPr>
          </w:p>
        </w:tc>
        <w:tc>
          <w:tcPr>
            <w:tcW w:w="0" w:type="auto"/>
            <w:gridSpan w:val="3"/>
            <w:shd w:val="clear" w:color="auto" w:fill="auto"/>
          </w:tcPr>
          <w:p w14:paraId="669C6521" w14:textId="77777777" w:rsidR="00066C63" w:rsidRDefault="00066C63">
            <w:pPr>
              <w:rPr>
                <w:rFonts w:ascii="宋体"/>
                <w:vanish/>
              </w:rPr>
            </w:pPr>
          </w:p>
        </w:tc>
        <w:tc>
          <w:tcPr>
            <w:tcW w:w="0" w:type="auto"/>
            <w:gridSpan w:val="3"/>
            <w:shd w:val="clear" w:color="auto" w:fill="auto"/>
          </w:tcPr>
          <w:p w14:paraId="669C6522" w14:textId="77777777" w:rsidR="00066C63" w:rsidRDefault="00066C63">
            <w:pPr>
              <w:rPr>
                <w:rFonts w:ascii="宋体"/>
                <w:vanish/>
              </w:rPr>
            </w:pPr>
          </w:p>
        </w:tc>
      </w:tr>
      <w:tr w:rsidR="00066C63" w14:paraId="669C652B"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524" w14:textId="77777777" w:rsidR="00066C63" w:rsidRDefault="009656F6">
            <w:pPr>
              <w:textAlignment w:val="bottom"/>
            </w:pPr>
            <w:r>
              <w:rPr>
                <w:rFonts w:ascii="Arial" w:eastAsia="宋体" w:hAnsi="Arial" w:cs="Arial"/>
                <w:color w:val="000000"/>
                <w:sz w:val="17"/>
                <w:szCs w:val="17"/>
              </w:rPr>
              <w:t>Total derivatives not designated as hedging instruments</w:t>
            </w:r>
          </w:p>
        </w:tc>
        <w:tc>
          <w:tcPr>
            <w:tcW w:w="0" w:type="auto"/>
            <w:gridSpan w:val="3"/>
            <w:tcBorders>
              <w:top w:val="single" w:sz="8" w:space="0" w:color="E87722"/>
            </w:tcBorders>
            <w:shd w:val="clear" w:color="auto" w:fill="auto"/>
            <w:tcMar>
              <w:top w:w="0" w:type="dxa"/>
              <w:left w:w="20" w:type="dxa"/>
              <w:bottom w:w="0" w:type="dxa"/>
              <w:right w:w="20" w:type="dxa"/>
            </w:tcMar>
          </w:tcPr>
          <w:p w14:paraId="669C6525" w14:textId="77777777" w:rsidR="00066C63" w:rsidRDefault="00066C63">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669C6526" w14:textId="77777777" w:rsidR="00066C63" w:rsidRDefault="009656F6">
            <w:pPr>
              <w:jc w:val="right"/>
              <w:textAlignment w:val="bottom"/>
            </w:pPr>
            <w:r>
              <w:rPr>
                <w:rFonts w:ascii="Arial" w:eastAsia="宋体" w:hAnsi="Arial" w:cs="Arial"/>
                <w:color w:val="000000"/>
                <w:sz w:val="17"/>
                <w:szCs w:val="17"/>
              </w:rPr>
              <w:t>5 </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6527" w14:textId="77777777" w:rsidR="00066C63" w:rsidRDefault="00066C63">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6528" w14:textId="77777777" w:rsidR="00066C63" w:rsidRDefault="00066C63">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6529" w14:textId="77777777" w:rsidR="00066C63" w:rsidRDefault="009656F6">
            <w:pPr>
              <w:jc w:val="right"/>
              <w:textAlignment w:val="bottom"/>
            </w:pPr>
            <w:r>
              <w:rPr>
                <w:rFonts w:ascii="Arial" w:eastAsia="宋体" w:hAnsi="Arial" w:cs="Arial"/>
                <w:color w:val="000000"/>
                <w:sz w:val="17"/>
                <w:szCs w:val="17"/>
              </w:rPr>
              <w:t>17 </w:t>
            </w:r>
          </w:p>
        </w:tc>
        <w:tc>
          <w:tcPr>
            <w:tcW w:w="0" w:type="auto"/>
            <w:tcBorders>
              <w:top w:val="single" w:sz="8" w:space="0" w:color="E87722"/>
            </w:tcBorders>
            <w:shd w:val="clear" w:color="auto" w:fill="auto"/>
            <w:tcMar>
              <w:top w:w="40" w:type="dxa"/>
              <w:left w:w="0" w:type="dxa"/>
              <w:bottom w:w="40" w:type="dxa"/>
              <w:right w:w="20" w:type="dxa"/>
            </w:tcMar>
            <w:vAlign w:val="bottom"/>
          </w:tcPr>
          <w:p w14:paraId="669C652A" w14:textId="77777777" w:rsidR="00066C63" w:rsidRDefault="00066C63">
            <w:pPr>
              <w:jc w:val="right"/>
              <w:rPr>
                <w:rFonts w:ascii="宋体"/>
              </w:rPr>
            </w:pPr>
          </w:p>
        </w:tc>
      </w:tr>
      <w:tr w:rsidR="00066C63" w14:paraId="669C6535"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669C652C" w14:textId="77777777" w:rsidR="00066C63" w:rsidRDefault="009656F6">
            <w:pPr>
              <w:textAlignment w:val="bottom"/>
            </w:pPr>
            <w:r>
              <w:rPr>
                <w:rFonts w:ascii="Arial" w:eastAsia="宋体" w:hAnsi="Arial" w:cs="Arial"/>
                <w:b/>
                <w:bCs/>
                <w:color w:val="000000"/>
                <w:sz w:val="17"/>
                <w:szCs w:val="17"/>
              </w:rPr>
              <w:t xml:space="preserve">TOTAL DERIVATIVE </w:t>
            </w:r>
            <w:r>
              <w:rPr>
                <w:rFonts w:ascii="Arial" w:eastAsia="宋体" w:hAnsi="Arial" w:cs="Arial"/>
                <w:b/>
                <w:bCs/>
                <w:color w:val="000000"/>
                <w:sz w:val="17"/>
                <w:szCs w:val="17"/>
              </w:rPr>
              <w:t>LIABILITIES</w:t>
            </w: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tcPr>
          <w:p w14:paraId="669C652D" w14:textId="77777777" w:rsidR="00066C63" w:rsidRDefault="00066C63">
            <w:pPr>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69C652E"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669C652F" w14:textId="77777777" w:rsidR="00066C63" w:rsidRDefault="009656F6">
            <w:pPr>
              <w:jc w:val="right"/>
              <w:textAlignment w:val="bottom"/>
            </w:pPr>
            <w:r>
              <w:rPr>
                <w:rFonts w:ascii="Arial" w:eastAsia="宋体" w:hAnsi="Arial" w:cs="Arial"/>
                <w:b/>
                <w:bCs/>
                <w:color w:val="000000"/>
                <w:sz w:val="17"/>
                <w:szCs w:val="17"/>
              </w:rPr>
              <w:t>545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69C6530" w14:textId="77777777" w:rsidR="00066C63" w:rsidRDefault="00066C63">
            <w:pPr>
              <w:jc w:val="right"/>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tcPr>
          <w:p w14:paraId="669C6531" w14:textId="77777777" w:rsidR="00066C63" w:rsidRDefault="00066C63">
            <w:pPr>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69C6532"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69C6533" w14:textId="77777777" w:rsidR="00066C63" w:rsidRDefault="009656F6">
            <w:pPr>
              <w:jc w:val="right"/>
              <w:textAlignment w:val="bottom"/>
            </w:pPr>
            <w:r>
              <w:rPr>
                <w:rFonts w:ascii="Arial" w:eastAsia="宋体" w:hAnsi="Arial" w:cs="Arial"/>
                <w:b/>
                <w:bCs/>
                <w:color w:val="000000"/>
                <w:sz w:val="17"/>
                <w:szCs w:val="17"/>
              </w:rPr>
              <w:t>207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69C6534" w14:textId="77777777" w:rsidR="00066C63" w:rsidRDefault="00066C63">
            <w:pPr>
              <w:jc w:val="right"/>
              <w:rPr>
                <w:rFonts w:ascii="宋体"/>
              </w:rPr>
            </w:pPr>
          </w:p>
        </w:tc>
      </w:tr>
    </w:tbl>
    <w:p w14:paraId="669C6536" w14:textId="77777777" w:rsidR="00066C63" w:rsidRDefault="009656F6">
      <w:pPr>
        <w:spacing w:before="120" w:after="120"/>
        <w:jc w:val="right"/>
      </w:pPr>
      <w:r>
        <w:rPr>
          <w:rFonts w:ascii="Arial" w:eastAsia="宋体" w:hAnsi="Arial" w:cs="Arial"/>
          <w:color w:val="E87722"/>
          <w:sz w:val="17"/>
          <w:szCs w:val="17"/>
        </w:rPr>
        <w:t>13</w:t>
      </w:r>
    </w:p>
    <w:p w14:paraId="669C6537" w14:textId="77777777" w:rsidR="00066C63" w:rsidRDefault="009656F6">
      <w:r>
        <w:pict w14:anchorId="669C7E3D">
          <v:rect id="_x0000_i1039" style="width:415.3pt;height:1.5pt" o:hralign="center" o:hrstd="t" o:hr="t" fillcolor="#a0a0a0" stroked="f"/>
        </w:pict>
      </w:r>
    </w:p>
    <w:p w14:paraId="669C6538" w14:textId="77777777" w:rsidR="00066C63" w:rsidRDefault="00066C63"/>
    <w:p w14:paraId="669C6539" w14:textId="77777777" w:rsidR="00066C63" w:rsidRDefault="009656F6">
      <w:hyperlink r:id="rId84" w:anchor="i1e99cb26debe49fe8b698d0f0eb1273a_7" w:history="1">
        <w:r>
          <w:rPr>
            <w:rStyle w:val="a5"/>
            <w:rFonts w:ascii="sans-serif" w:eastAsia="sans-serif" w:hAnsi="sans-serif" w:cs="sans-serif"/>
            <w:sz w:val="17"/>
            <w:szCs w:val="17"/>
          </w:rPr>
          <w:t>Table of Contents</w:t>
        </w:r>
      </w:hyperlink>
    </w:p>
    <w:p w14:paraId="669C653A" w14:textId="77777777" w:rsidR="00066C63" w:rsidRDefault="00066C63"/>
    <w:p w14:paraId="669C653B" w14:textId="77777777" w:rsidR="00066C63" w:rsidRDefault="009656F6">
      <w:pPr>
        <w:spacing w:before="120"/>
      </w:pPr>
      <w:r>
        <w:rPr>
          <w:rFonts w:ascii="Arial" w:eastAsia="宋体" w:hAnsi="Arial" w:cs="Arial"/>
          <w:color w:val="000000"/>
          <w:sz w:val="17"/>
          <w:szCs w:val="17"/>
        </w:rPr>
        <w:t>The following tables present the amounts in the Unaudited Condensed Consolidated Stat</w:t>
      </w:r>
      <w:r>
        <w:rPr>
          <w:rFonts w:ascii="Arial" w:eastAsia="宋体" w:hAnsi="Arial" w:cs="Arial"/>
          <w:color w:val="000000"/>
          <w:sz w:val="17"/>
          <w:szCs w:val="17"/>
        </w:rPr>
        <w:t xml:space="preserve">ements of Income in which the effects of cash flow hedges are recorded and the effects of cash flow hedge activity on these line items: </w:t>
      </w:r>
    </w:p>
    <w:tbl>
      <w:tblPr>
        <w:tblW w:w="4985" w:type="pct"/>
        <w:tblCellMar>
          <w:top w:w="15" w:type="dxa"/>
          <w:left w:w="15" w:type="dxa"/>
          <w:bottom w:w="15" w:type="dxa"/>
          <w:right w:w="15" w:type="dxa"/>
        </w:tblCellMar>
        <w:tblLook w:val="04A0" w:firstRow="1" w:lastRow="0" w:firstColumn="1" w:lastColumn="0" w:noHBand="0" w:noVBand="1"/>
      </w:tblPr>
      <w:tblGrid>
        <w:gridCol w:w="38"/>
        <w:gridCol w:w="3945"/>
        <w:gridCol w:w="37"/>
        <w:gridCol w:w="115"/>
        <w:gridCol w:w="905"/>
        <w:gridCol w:w="36"/>
        <w:gridCol w:w="110"/>
        <w:gridCol w:w="905"/>
        <w:gridCol w:w="36"/>
        <w:gridCol w:w="36"/>
        <w:gridCol w:w="36"/>
        <w:gridCol w:w="36"/>
        <w:gridCol w:w="115"/>
        <w:gridCol w:w="872"/>
        <w:gridCol w:w="36"/>
        <w:gridCol w:w="110"/>
        <w:gridCol w:w="907"/>
        <w:gridCol w:w="36"/>
      </w:tblGrid>
      <w:tr w:rsidR="00066C63" w14:paraId="669C654E" w14:textId="77777777">
        <w:tc>
          <w:tcPr>
            <w:tcW w:w="50" w:type="pct"/>
            <w:shd w:val="clear" w:color="auto" w:fill="auto"/>
          </w:tcPr>
          <w:p w14:paraId="669C653C" w14:textId="77777777" w:rsidR="00066C63" w:rsidRDefault="00066C63">
            <w:pPr>
              <w:rPr>
                <w:rFonts w:ascii="宋体"/>
              </w:rPr>
            </w:pPr>
          </w:p>
        </w:tc>
        <w:tc>
          <w:tcPr>
            <w:tcW w:w="2398" w:type="pct"/>
            <w:shd w:val="clear" w:color="auto" w:fill="auto"/>
          </w:tcPr>
          <w:p w14:paraId="669C653D" w14:textId="77777777" w:rsidR="00066C63" w:rsidRDefault="00066C63">
            <w:pPr>
              <w:rPr>
                <w:rFonts w:ascii="宋体"/>
              </w:rPr>
            </w:pPr>
          </w:p>
        </w:tc>
        <w:tc>
          <w:tcPr>
            <w:tcW w:w="5" w:type="pct"/>
            <w:shd w:val="clear" w:color="auto" w:fill="auto"/>
          </w:tcPr>
          <w:p w14:paraId="669C653E" w14:textId="77777777" w:rsidR="00066C63" w:rsidRDefault="00066C63">
            <w:pPr>
              <w:rPr>
                <w:rFonts w:ascii="宋体"/>
              </w:rPr>
            </w:pPr>
          </w:p>
        </w:tc>
        <w:tc>
          <w:tcPr>
            <w:tcW w:w="50" w:type="pct"/>
            <w:shd w:val="clear" w:color="auto" w:fill="auto"/>
          </w:tcPr>
          <w:p w14:paraId="669C653F" w14:textId="77777777" w:rsidR="00066C63" w:rsidRDefault="00066C63">
            <w:pPr>
              <w:rPr>
                <w:rFonts w:ascii="宋体"/>
              </w:rPr>
            </w:pPr>
          </w:p>
        </w:tc>
        <w:tc>
          <w:tcPr>
            <w:tcW w:w="571" w:type="pct"/>
            <w:shd w:val="clear" w:color="auto" w:fill="auto"/>
          </w:tcPr>
          <w:p w14:paraId="669C6540" w14:textId="77777777" w:rsidR="00066C63" w:rsidRDefault="00066C63">
            <w:pPr>
              <w:rPr>
                <w:rFonts w:ascii="宋体"/>
              </w:rPr>
            </w:pPr>
          </w:p>
        </w:tc>
        <w:tc>
          <w:tcPr>
            <w:tcW w:w="5" w:type="pct"/>
            <w:shd w:val="clear" w:color="auto" w:fill="auto"/>
          </w:tcPr>
          <w:p w14:paraId="669C6541" w14:textId="77777777" w:rsidR="00066C63" w:rsidRDefault="00066C63">
            <w:pPr>
              <w:rPr>
                <w:rFonts w:ascii="宋体"/>
              </w:rPr>
            </w:pPr>
          </w:p>
        </w:tc>
        <w:tc>
          <w:tcPr>
            <w:tcW w:w="50" w:type="pct"/>
            <w:shd w:val="clear" w:color="auto" w:fill="auto"/>
          </w:tcPr>
          <w:p w14:paraId="669C6542" w14:textId="77777777" w:rsidR="00066C63" w:rsidRDefault="00066C63">
            <w:pPr>
              <w:rPr>
                <w:rFonts w:ascii="宋体"/>
              </w:rPr>
            </w:pPr>
          </w:p>
        </w:tc>
        <w:tc>
          <w:tcPr>
            <w:tcW w:w="571" w:type="pct"/>
            <w:shd w:val="clear" w:color="auto" w:fill="auto"/>
          </w:tcPr>
          <w:p w14:paraId="669C6543" w14:textId="77777777" w:rsidR="00066C63" w:rsidRDefault="00066C63">
            <w:pPr>
              <w:rPr>
                <w:rFonts w:ascii="宋体"/>
              </w:rPr>
            </w:pPr>
          </w:p>
        </w:tc>
        <w:tc>
          <w:tcPr>
            <w:tcW w:w="5" w:type="pct"/>
            <w:shd w:val="clear" w:color="auto" w:fill="auto"/>
          </w:tcPr>
          <w:p w14:paraId="669C6544" w14:textId="77777777" w:rsidR="00066C63" w:rsidRDefault="00066C63">
            <w:pPr>
              <w:rPr>
                <w:rFonts w:ascii="宋体"/>
              </w:rPr>
            </w:pPr>
          </w:p>
        </w:tc>
        <w:tc>
          <w:tcPr>
            <w:tcW w:w="5" w:type="pct"/>
            <w:shd w:val="clear" w:color="auto" w:fill="auto"/>
          </w:tcPr>
          <w:p w14:paraId="669C6545" w14:textId="77777777" w:rsidR="00066C63" w:rsidRDefault="00066C63">
            <w:pPr>
              <w:rPr>
                <w:rFonts w:ascii="宋体"/>
              </w:rPr>
            </w:pPr>
          </w:p>
        </w:tc>
        <w:tc>
          <w:tcPr>
            <w:tcW w:w="28" w:type="pct"/>
            <w:shd w:val="clear" w:color="auto" w:fill="auto"/>
          </w:tcPr>
          <w:p w14:paraId="669C6546" w14:textId="77777777" w:rsidR="00066C63" w:rsidRDefault="00066C63">
            <w:pPr>
              <w:rPr>
                <w:rFonts w:ascii="宋体"/>
              </w:rPr>
            </w:pPr>
          </w:p>
        </w:tc>
        <w:tc>
          <w:tcPr>
            <w:tcW w:w="5" w:type="pct"/>
            <w:shd w:val="clear" w:color="auto" w:fill="auto"/>
          </w:tcPr>
          <w:p w14:paraId="669C6547" w14:textId="77777777" w:rsidR="00066C63" w:rsidRDefault="00066C63">
            <w:pPr>
              <w:rPr>
                <w:rFonts w:ascii="宋体"/>
              </w:rPr>
            </w:pPr>
          </w:p>
        </w:tc>
        <w:tc>
          <w:tcPr>
            <w:tcW w:w="50" w:type="pct"/>
            <w:shd w:val="clear" w:color="auto" w:fill="auto"/>
          </w:tcPr>
          <w:p w14:paraId="669C6548" w14:textId="77777777" w:rsidR="00066C63" w:rsidRDefault="00066C63">
            <w:pPr>
              <w:rPr>
                <w:rFonts w:ascii="宋体"/>
              </w:rPr>
            </w:pPr>
          </w:p>
        </w:tc>
        <w:tc>
          <w:tcPr>
            <w:tcW w:w="571" w:type="pct"/>
            <w:shd w:val="clear" w:color="auto" w:fill="auto"/>
          </w:tcPr>
          <w:p w14:paraId="669C6549" w14:textId="77777777" w:rsidR="00066C63" w:rsidRDefault="00066C63">
            <w:pPr>
              <w:rPr>
                <w:rFonts w:ascii="宋体"/>
              </w:rPr>
            </w:pPr>
          </w:p>
        </w:tc>
        <w:tc>
          <w:tcPr>
            <w:tcW w:w="5" w:type="pct"/>
            <w:shd w:val="clear" w:color="auto" w:fill="auto"/>
          </w:tcPr>
          <w:p w14:paraId="669C654A" w14:textId="77777777" w:rsidR="00066C63" w:rsidRDefault="00066C63">
            <w:pPr>
              <w:rPr>
                <w:rFonts w:ascii="宋体"/>
              </w:rPr>
            </w:pPr>
          </w:p>
        </w:tc>
        <w:tc>
          <w:tcPr>
            <w:tcW w:w="50" w:type="pct"/>
            <w:shd w:val="clear" w:color="auto" w:fill="auto"/>
          </w:tcPr>
          <w:p w14:paraId="669C654B" w14:textId="77777777" w:rsidR="00066C63" w:rsidRDefault="00066C63">
            <w:pPr>
              <w:rPr>
                <w:rFonts w:ascii="宋体"/>
              </w:rPr>
            </w:pPr>
          </w:p>
        </w:tc>
        <w:tc>
          <w:tcPr>
            <w:tcW w:w="572" w:type="pct"/>
            <w:shd w:val="clear" w:color="auto" w:fill="auto"/>
          </w:tcPr>
          <w:p w14:paraId="669C654C" w14:textId="77777777" w:rsidR="00066C63" w:rsidRDefault="00066C63">
            <w:pPr>
              <w:rPr>
                <w:rFonts w:ascii="宋体"/>
              </w:rPr>
            </w:pPr>
          </w:p>
        </w:tc>
        <w:tc>
          <w:tcPr>
            <w:tcW w:w="5" w:type="pct"/>
            <w:shd w:val="clear" w:color="auto" w:fill="auto"/>
          </w:tcPr>
          <w:p w14:paraId="669C654D" w14:textId="77777777" w:rsidR="00066C63" w:rsidRDefault="00066C63">
            <w:pPr>
              <w:rPr>
                <w:rFonts w:ascii="宋体"/>
              </w:rPr>
            </w:pPr>
          </w:p>
        </w:tc>
      </w:tr>
      <w:tr w:rsidR="00066C63" w14:paraId="669C6551" w14:textId="77777777">
        <w:tc>
          <w:tcPr>
            <w:tcW w:w="0" w:type="auto"/>
            <w:gridSpan w:val="3"/>
            <w:shd w:val="clear" w:color="auto" w:fill="auto"/>
            <w:tcMar>
              <w:top w:w="0" w:type="dxa"/>
              <w:left w:w="20" w:type="dxa"/>
              <w:bottom w:w="0" w:type="dxa"/>
              <w:right w:w="20" w:type="dxa"/>
            </w:tcMar>
          </w:tcPr>
          <w:p w14:paraId="669C654F" w14:textId="77777777" w:rsidR="00066C63" w:rsidRDefault="00066C63">
            <w:pPr>
              <w:rPr>
                <w:rFonts w:ascii="宋体"/>
              </w:rPr>
            </w:pPr>
          </w:p>
        </w:tc>
        <w:tc>
          <w:tcPr>
            <w:tcW w:w="0" w:type="auto"/>
            <w:gridSpan w:val="15"/>
            <w:tcBorders>
              <w:bottom w:val="single" w:sz="8" w:space="0" w:color="E87722"/>
            </w:tcBorders>
            <w:shd w:val="clear" w:color="auto" w:fill="auto"/>
            <w:tcMar>
              <w:top w:w="40" w:type="dxa"/>
              <w:left w:w="20" w:type="dxa"/>
              <w:bottom w:w="40" w:type="dxa"/>
              <w:right w:w="20" w:type="dxa"/>
            </w:tcMar>
            <w:vAlign w:val="bottom"/>
          </w:tcPr>
          <w:p w14:paraId="669C6550" w14:textId="77777777" w:rsidR="00066C63" w:rsidRDefault="009656F6">
            <w:pPr>
              <w:jc w:val="center"/>
              <w:textAlignment w:val="bottom"/>
            </w:pPr>
            <w:r>
              <w:rPr>
                <w:rFonts w:ascii="sans-serif" w:eastAsia="sans-serif" w:hAnsi="sans-serif" w:cs="sans-serif"/>
                <w:b/>
                <w:bCs/>
                <w:color w:val="000000"/>
                <w:sz w:val="17"/>
                <w:szCs w:val="17"/>
              </w:rPr>
              <w:t xml:space="preserve">THREE MONTHS ENDED </w:t>
            </w:r>
          </w:p>
        </w:tc>
      </w:tr>
      <w:tr w:rsidR="00066C63" w14:paraId="669C6556" w14:textId="77777777">
        <w:tc>
          <w:tcPr>
            <w:tcW w:w="0" w:type="auto"/>
            <w:gridSpan w:val="3"/>
            <w:shd w:val="clear" w:color="auto" w:fill="auto"/>
            <w:tcMar>
              <w:top w:w="0" w:type="dxa"/>
              <w:left w:w="20" w:type="dxa"/>
              <w:bottom w:w="0" w:type="dxa"/>
              <w:right w:w="20" w:type="dxa"/>
            </w:tcMar>
          </w:tcPr>
          <w:p w14:paraId="669C6552" w14:textId="77777777" w:rsidR="00066C63" w:rsidRDefault="00066C63">
            <w:pPr>
              <w:rPr>
                <w:rFonts w:ascii="宋体"/>
              </w:rPr>
            </w:pPr>
          </w:p>
        </w:tc>
        <w:tc>
          <w:tcPr>
            <w:tcW w:w="0" w:type="auto"/>
            <w:gridSpan w:val="6"/>
            <w:tcBorders>
              <w:top w:val="single" w:sz="8" w:space="0" w:color="E87722"/>
            </w:tcBorders>
            <w:shd w:val="clear" w:color="auto" w:fill="auto"/>
            <w:tcMar>
              <w:top w:w="40" w:type="dxa"/>
              <w:left w:w="20" w:type="dxa"/>
              <w:bottom w:w="40" w:type="dxa"/>
              <w:right w:w="20" w:type="dxa"/>
            </w:tcMar>
            <w:vAlign w:val="bottom"/>
          </w:tcPr>
          <w:p w14:paraId="669C6553" w14:textId="77777777" w:rsidR="00066C63" w:rsidRDefault="009656F6">
            <w:pPr>
              <w:jc w:val="center"/>
              <w:textAlignment w:val="bottom"/>
            </w:pPr>
            <w:r>
              <w:rPr>
                <w:rFonts w:ascii="sans-serif" w:eastAsia="sans-serif" w:hAnsi="sans-serif" w:cs="sans-serif"/>
                <w:b/>
                <w:bCs/>
                <w:color w:val="000000"/>
                <w:sz w:val="17"/>
                <w:szCs w:val="17"/>
              </w:rPr>
              <w:t>FEBRUARY 28, 2021</w:t>
            </w:r>
          </w:p>
        </w:tc>
        <w:tc>
          <w:tcPr>
            <w:tcW w:w="0" w:type="auto"/>
            <w:gridSpan w:val="3"/>
            <w:tcBorders>
              <w:top w:val="single" w:sz="8" w:space="0" w:color="E87722"/>
            </w:tcBorders>
            <w:shd w:val="clear" w:color="auto" w:fill="auto"/>
            <w:tcMar>
              <w:top w:w="0" w:type="dxa"/>
              <w:left w:w="20" w:type="dxa"/>
              <w:bottom w:w="0" w:type="dxa"/>
              <w:right w:w="20" w:type="dxa"/>
            </w:tcMar>
          </w:tcPr>
          <w:p w14:paraId="669C6554" w14:textId="77777777" w:rsidR="00066C63" w:rsidRDefault="00066C63">
            <w:pPr>
              <w:rPr>
                <w:rFonts w:ascii="宋体"/>
              </w:rPr>
            </w:pPr>
          </w:p>
        </w:tc>
        <w:tc>
          <w:tcPr>
            <w:tcW w:w="0" w:type="auto"/>
            <w:gridSpan w:val="6"/>
            <w:tcBorders>
              <w:top w:val="single" w:sz="8" w:space="0" w:color="E87722"/>
            </w:tcBorders>
            <w:shd w:val="clear" w:color="auto" w:fill="auto"/>
            <w:tcMar>
              <w:top w:w="40" w:type="dxa"/>
              <w:left w:w="20" w:type="dxa"/>
              <w:bottom w:w="40" w:type="dxa"/>
              <w:right w:w="20" w:type="dxa"/>
            </w:tcMar>
            <w:vAlign w:val="bottom"/>
          </w:tcPr>
          <w:p w14:paraId="669C6555" w14:textId="77777777" w:rsidR="00066C63" w:rsidRDefault="009656F6">
            <w:pPr>
              <w:jc w:val="center"/>
              <w:textAlignment w:val="bottom"/>
            </w:pPr>
            <w:r>
              <w:rPr>
                <w:rFonts w:ascii="sans-serif" w:eastAsia="sans-serif" w:hAnsi="sans-serif" w:cs="sans-serif"/>
                <w:b/>
                <w:bCs/>
                <w:color w:val="000000"/>
                <w:sz w:val="17"/>
                <w:szCs w:val="17"/>
              </w:rPr>
              <w:t>FEBRUARY 29, 2020</w:t>
            </w:r>
          </w:p>
        </w:tc>
      </w:tr>
      <w:tr w:rsidR="00066C63" w14:paraId="669C655D" w14:textId="77777777">
        <w:tc>
          <w:tcPr>
            <w:tcW w:w="0" w:type="auto"/>
            <w:gridSpan w:val="3"/>
            <w:shd w:val="clear" w:color="auto" w:fill="auto"/>
            <w:tcMar>
              <w:top w:w="40" w:type="dxa"/>
              <w:left w:w="20" w:type="dxa"/>
              <w:bottom w:w="40" w:type="dxa"/>
              <w:right w:w="20" w:type="dxa"/>
            </w:tcMar>
            <w:vAlign w:val="bottom"/>
          </w:tcPr>
          <w:p w14:paraId="669C6557" w14:textId="77777777" w:rsidR="00066C63" w:rsidRDefault="009656F6">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558" w14:textId="77777777" w:rsidR="00066C63" w:rsidRDefault="009656F6">
            <w:pPr>
              <w:jc w:val="right"/>
              <w:textAlignment w:val="bottom"/>
            </w:pPr>
            <w:r>
              <w:rPr>
                <w:rFonts w:ascii="sans-serif" w:eastAsia="sans-serif" w:hAnsi="sans-serif" w:cs="sans-serif"/>
                <w:b/>
                <w:bCs/>
                <w:color w:val="000000"/>
                <w:sz w:val="17"/>
                <w:szCs w:val="17"/>
              </w:rPr>
              <w:t>TOTAL</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559" w14:textId="77777777" w:rsidR="00066C63" w:rsidRDefault="009656F6">
            <w:pPr>
              <w:jc w:val="right"/>
              <w:textAlignment w:val="bottom"/>
            </w:pPr>
            <w:r>
              <w:rPr>
                <w:rFonts w:ascii="sans-serif" w:eastAsia="sans-serif" w:hAnsi="sans-serif" w:cs="sans-serif"/>
                <w:b/>
                <w:bCs/>
                <w:color w:val="000000"/>
                <w:sz w:val="17"/>
                <w:szCs w:val="17"/>
              </w:rPr>
              <w:t>AMOUNT OF GAIN (LOSS)</w:t>
            </w:r>
            <w:r>
              <w:rPr>
                <w:rFonts w:ascii="sans-serif" w:eastAsia="sans-serif" w:hAnsi="sans-serif" w:cs="sans-serif"/>
                <w:b/>
                <w:bCs/>
                <w:color w:val="000000"/>
                <w:sz w:val="17"/>
                <w:szCs w:val="17"/>
              </w:rPr>
              <w:br/>
              <w:t xml:space="preserve">ON CASH FLOW </w:t>
            </w:r>
            <w:r>
              <w:rPr>
                <w:rFonts w:ascii="sans-serif" w:eastAsia="sans-serif" w:hAnsi="sans-serif" w:cs="sans-serif"/>
                <w:b/>
                <w:bCs/>
                <w:color w:val="000000"/>
                <w:sz w:val="17"/>
                <w:szCs w:val="17"/>
              </w:rPr>
              <w:br/>
              <w:t>HEDGE ACTIVITY</w:t>
            </w:r>
          </w:p>
        </w:tc>
        <w:tc>
          <w:tcPr>
            <w:tcW w:w="0" w:type="auto"/>
            <w:gridSpan w:val="3"/>
            <w:shd w:val="clear" w:color="auto" w:fill="auto"/>
            <w:tcMar>
              <w:top w:w="0" w:type="dxa"/>
              <w:left w:w="20" w:type="dxa"/>
              <w:bottom w:w="0" w:type="dxa"/>
              <w:right w:w="20" w:type="dxa"/>
            </w:tcMar>
          </w:tcPr>
          <w:p w14:paraId="669C655A" w14:textId="77777777" w:rsidR="00066C63" w:rsidRDefault="00066C63">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55B" w14:textId="77777777" w:rsidR="00066C63" w:rsidRDefault="009656F6">
            <w:pPr>
              <w:jc w:val="right"/>
              <w:textAlignment w:val="bottom"/>
            </w:pPr>
            <w:r>
              <w:rPr>
                <w:rFonts w:ascii="sans-serif" w:eastAsia="sans-serif" w:hAnsi="sans-serif" w:cs="sans-serif"/>
                <w:b/>
                <w:bCs/>
                <w:color w:val="000000"/>
                <w:sz w:val="17"/>
                <w:szCs w:val="17"/>
              </w:rPr>
              <w:t>TOTAL</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55C" w14:textId="77777777" w:rsidR="00066C63" w:rsidRDefault="009656F6">
            <w:pPr>
              <w:jc w:val="right"/>
              <w:textAlignment w:val="bottom"/>
            </w:pPr>
            <w:r>
              <w:rPr>
                <w:rFonts w:ascii="sans-serif" w:eastAsia="sans-serif" w:hAnsi="sans-serif" w:cs="sans-serif"/>
                <w:b/>
                <w:bCs/>
                <w:color w:val="000000"/>
                <w:sz w:val="17"/>
                <w:szCs w:val="17"/>
              </w:rPr>
              <w:t>AMOUNT OF GAIN (LOSS)</w:t>
            </w:r>
            <w:r>
              <w:rPr>
                <w:rFonts w:ascii="sans-serif" w:eastAsia="sans-serif" w:hAnsi="sans-serif" w:cs="sans-serif"/>
                <w:b/>
                <w:bCs/>
                <w:color w:val="000000"/>
                <w:sz w:val="17"/>
                <w:szCs w:val="17"/>
              </w:rPr>
              <w:br/>
              <w:t xml:space="preserve">ON CASH FLOW </w:t>
            </w:r>
            <w:r>
              <w:rPr>
                <w:rFonts w:ascii="sans-serif" w:eastAsia="sans-serif" w:hAnsi="sans-serif" w:cs="sans-serif"/>
                <w:b/>
                <w:bCs/>
                <w:color w:val="000000"/>
                <w:sz w:val="17"/>
                <w:szCs w:val="17"/>
              </w:rPr>
              <w:br/>
              <w:t>HEDGE ACTIVITY</w:t>
            </w:r>
          </w:p>
        </w:tc>
      </w:tr>
      <w:tr w:rsidR="00066C63" w14:paraId="669C656C"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55E" w14:textId="77777777" w:rsidR="00066C63" w:rsidRDefault="009656F6">
            <w:pPr>
              <w:textAlignment w:val="bottom"/>
            </w:pPr>
            <w:r>
              <w:rPr>
                <w:rFonts w:ascii="Arial" w:eastAsia="宋体" w:hAnsi="Arial" w:cs="Arial"/>
                <w:color w:val="000000"/>
                <w:sz w:val="17"/>
                <w:szCs w:val="17"/>
              </w:rPr>
              <w:t>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669C655F"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669C6560" w14:textId="77777777" w:rsidR="00066C63" w:rsidRDefault="009656F6">
            <w:pPr>
              <w:jc w:val="right"/>
              <w:textAlignment w:val="bottom"/>
            </w:pPr>
            <w:r>
              <w:rPr>
                <w:rFonts w:ascii="Arial" w:eastAsia="宋体" w:hAnsi="Arial" w:cs="Arial"/>
                <w:color w:val="000000"/>
                <w:sz w:val="17"/>
                <w:szCs w:val="17"/>
              </w:rPr>
              <w:t>10,357 </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6561" w14:textId="77777777" w:rsidR="00066C63" w:rsidRDefault="00066C63">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669C6562" w14:textId="77777777" w:rsidR="00066C63" w:rsidRDefault="009656F6">
            <w:pPr>
              <w:textAlignment w:val="bottom"/>
            </w:pPr>
            <w:r>
              <w:rPr>
                <w:rFonts w:ascii="Arial" w:eastAsia="宋体" w:hAnsi="Arial" w:cs="Arial"/>
                <w:color w:val="000000"/>
                <w:sz w:val="16"/>
                <w:szCs w:val="16"/>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669C6563" w14:textId="77777777" w:rsidR="00066C63" w:rsidRDefault="009656F6">
            <w:pPr>
              <w:jc w:val="right"/>
              <w:textAlignment w:val="bottom"/>
            </w:pPr>
            <w:r>
              <w:rPr>
                <w:rFonts w:ascii="Arial" w:eastAsia="宋体" w:hAnsi="Arial" w:cs="Arial"/>
                <w:color w:val="000000"/>
                <w:sz w:val="16"/>
                <w:szCs w:val="16"/>
              </w:rPr>
              <w:t>16 </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6564" w14:textId="77777777" w:rsidR="00066C63" w:rsidRDefault="00066C63">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6565" w14:textId="77777777" w:rsidR="00066C63" w:rsidRDefault="00066C63">
            <w:pPr>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69C6566"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69C6567" w14:textId="77777777" w:rsidR="00066C63" w:rsidRDefault="009656F6">
            <w:pPr>
              <w:jc w:val="right"/>
              <w:textAlignment w:val="bottom"/>
            </w:pPr>
            <w:r>
              <w:rPr>
                <w:rFonts w:ascii="Arial" w:eastAsia="宋体" w:hAnsi="Arial" w:cs="Arial"/>
                <w:color w:val="000000"/>
                <w:sz w:val="17"/>
                <w:szCs w:val="17"/>
              </w:rPr>
              <w:t>10,104 </w:t>
            </w:r>
          </w:p>
        </w:tc>
        <w:tc>
          <w:tcPr>
            <w:tcW w:w="0" w:type="auto"/>
            <w:tcBorders>
              <w:top w:val="single" w:sz="8" w:space="0" w:color="E87722"/>
            </w:tcBorders>
            <w:shd w:val="clear" w:color="auto" w:fill="auto"/>
            <w:tcMar>
              <w:top w:w="40" w:type="dxa"/>
              <w:left w:w="0" w:type="dxa"/>
              <w:bottom w:w="40" w:type="dxa"/>
              <w:right w:w="20" w:type="dxa"/>
            </w:tcMar>
            <w:vAlign w:val="bottom"/>
          </w:tcPr>
          <w:p w14:paraId="669C6568" w14:textId="77777777" w:rsidR="00066C63" w:rsidRDefault="00066C63">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69C6569" w14:textId="77777777" w:rsidR="00066C63" w:rsidRDefault="009656F6">
            <w:pPr>
              <w:textAlignment w:val="bottom"/>
            </w:pPr>
            <w:r>
              <w:rPr>
                <w:rFonts w:ascii="Arial" w:eastAsia="宋体" w:hAnsi="Arial" w:cs="Arial"/>
                <w:color w:val="000000"/>
                <w:sz w:val="16"/>
                <w:szCs w:val="16"/>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69C656A" w14:textId="77777777" w:rsidR="00066C63" w:rsidRDefault="009656F6">
            <w:pPr>
              <w:jc w:val="right"/>
              <w:textAlignment w:val="bottom"/>
            </w:pPr>
            <w:r>
              <w:rPr>
                <w:rFonts w:ascii="Arial" w:eastAsia="宋体" w:hAnsi="Arial" w:cs="Arial"/>
                <w:color w:val="000000"/>
                <w:sz w:val="16"/>
                <w:szCs w:val="16"/>
              </w:rPr>
              <w:t>(21)</w:t>
            </w:r>
          </w:p>
        </w:tc>
        <w:tc>
          <w:tcPr>
            <w:tcW w:w="0" w:type="auto"/>
            <w:tcBorders>
              <w:top w:val="single" w:sz="8" w:space="0" w:color="E87722"/>
            </w:tcBorders>
            <w:shd w:val="clear" w:color="auto" w:fill="auto"/>
            <w:tcMar>
              <w:top w:w="40" w:type="dxa"/>
              <w:left w:w="0" w:type="dxa"/>
              <w:bottom w:w="40" w:type="dxa"/>
              <w:right w:w="20" w:type="dxa"/>
            </w:tcMar>
            <w:vAlign w:val="bottom"/>
          </w:tcPr>
          <w:p w14:paraId="669C656B" w14:textId="77777777" w:rsidR="00066C63" w:rsidRDefault="00066C63">
            <w:pPr>
              <w:jc w:val="right"/>
              <w:rPr>
                <w:rFonts w:ascii="宋体"/>
              </w:rPr>
            </w:pPr>
          </w:p>
        </w:tc>
      </w:tr>
      <w:tr w:rsidR="00066C63" w14:paraId="669C6577"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656D" w14:textId="77777777" w:rsidR="00066C63" w:rsidRDefault="009656F6">
            <w:pPr>
              <w:textAlignment w:val="bottom"/>
            </w:pPr>
            <w:r>
              <w:rPr>
                <w:rFonts w:ascii="Arial" w:eastAsia="宋体" w:hAnsi="Arial" w:cs="Arial"/>
                <w:color w:val="000000"/>
                <w:sz w:val="17"/>
                <w:szCs w:val="17"/>
              </w:rPr>
              <w:t>Cost of sales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56E" w14:textId="77777777" w:rsidR="00066C63" w:rsidRDefault="009656F6">
            <w:pPr>
              <w:jc w:val="right"/>
              <w:textAlignment w:val="bottom"/>
            </w:pPr>
            <w:r>
              <w:rPr>
                <w:rFonts w:ascii="Arial" w:eastAsia="宋体" w:hAnsi="Arial" w:cs="Arial"/>
                <w:color w:val="000000"/>
                <w:sz w:val="17"/>
                <w:szCs w:val="17"/>
              </w:rPr>
              <w:t>5,638 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56F" w14:textId="77777777" w:rsidR="00066C63" w:rsidRDefault="00066C63">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570" w14:textId="77777777" w:rsidR="00066C63" w:rsidRDefault="009656F6">
            <w:pPr>
              <w:jc w:val="right"/>
              <w:textAlignment w:val="bottom"/>
            </w:pPr>
            <w:r>
              <w:rPr>
                <w:rFonts w:ascii="Arial" w:eastAsia="宋体" w:hAnsi="Arial" w:cs="Arial"/>
                <w:color w:val="000000"/>
                <w:sz w:val="17"/>
                <w:szCs w:val="17"/>
              </w:rPr>
              <w:t>(35)</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571" w14:textId="77777777" w:rsidR="00066C63" w:rsidRDefault="00066C63">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6572" w14:textId="77777777" w:rsidR="00066C63" w:rsidRDefault="00066C63">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573" w14:textId="77777777" w:rsidR="00066C63" w:rsidRDefault="009656F6">
            <w:pPr>
              <w:jc w:val="right"/>
              <w:textAlignment w:val="bottom"/>
            </w:pPr>
            <w:r>
              <w:rPr>
                <w:rFonts w:ascii="Arial" w:eastAsia="宋体" w:hAnsi="Arial" w:cs="Arial"/>
                <w:color w:val="000000"/>
                <w:sz w:val="17"/>
                <w:szCs w:val="17"/>
              </w:rPr>
              <w:t>5,631 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574"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575" w14:textId="77777777" w:rsidR="00066C63" w:rsidRDefault="009656F6">
            <w:pPr>
              <w:jc w:val="right"/>
              <w:textAlignment w:val="bottom"/>
            </w:pPr>
            <w:r>
              <w:rPr>
                <w:rFonts w:ascii="Arial" w:eastAsia="宋体" w:hAnsi="Arial" w:cs="Arial"/>
                <w:color w:val="000000"/>
                <w:sz w:val="17"/>
                <w:szCs w:val="17"/>
              </w:rPr>
              <w:t>110 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576" w14:textId="77777777" w:rsidR="00066C63" w:rsidRDefault="00066C63">
            <w:pPr>
              <w:jc w:val="right"/>
              <w:rPr>
                <w:rFonts w:ascii="宋体"/>
              </w:rPr>
            </w:pPr>
          </w:p>
        </w:tc>
      </w:tr>
      <w:tr w:rsidR="00066C63" w14:paraId="669C6582"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6578" w14:textId="77777777" w:rsidR="00066C63" w:rsidRDefault="009656F6">
            <w:pPr>
              <w:textAlignment w:val="bottom"/>
            </w:pPr>
            <w:r>
              <w:rPr>
                <w:rFonts w:ascii="Arial" w:eastAsia="宋体" w:hAnsi="Arial" w:cs="Arial"/>
                <w:color w:val="000000"/>
                <w:sz w:val="17"/>
                <w:szCs w:val="17"/>
              </w:rPr>
              <w:t>Demand creation expense</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579" w14:textId="77777777" w:rsidR="00066C63" w:rsidRDefault="009656F6">
            <w:pPr>
              <w:jc w:val="right"/>
              <w:textAlignment w:val="bottom"/>
            </w:pPr>
            <w:r>
              <w:rPr>
                <w:rFonts w:ascii="Arial" w:eastAsia="宋体" w:hAnsi="Arial" w:cs="Arial"/>
                <w:color w:val="000000"/>
                <w:sz w:val="17"/>
                <w:szCs w:val="17"/>
              </w:rPr>
              <w:t>711 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57A" w14:textId="77777777" w:rsidR="00066C63" w:rsidRDefault="00066C63">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57B" w14:textId="77777777" w:rsidR="00066C63" w:rsidRDefault="009656F6">
            <w:pPr>
              <w:jc w:val="right"/>
              <w:textAlignment w:val="bottom"/>
            </w:pPr>
            <w:r>
              <w:rPr>
                <w:rFonts w:ascii="Arial" w:eastAsia="宋体" w:hAnsi="Arial" w:cs="Arial"/>
                <w:color w:val="000000"/>
                <w:sz w:val="17"/>
                <w:szCs w:val="17"/>
              </w:rPr>
              <w:t>1 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57C" w14:textId="77777777" w:rsidR="00066C63" w:rsidRDefault="00066C63">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657D" w14:textId="77777777" w:rsidR="00066C63" w:rsidRDefault="00066C63">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57E" w14:textId="77777777" w:rsidR="00066C63" w:rsidRDefault="009656F6">
            <w:pPr>
              <w:jc w:val="right"/>
              <w:textAlignment w:val="bottom"/>
            </w:pPr>
            <w:r>
              <w:rPr>
                <w:rFonts w:ascii="Arial" w:eastAsia="宋体" w:hAnsi="Arial" w:cs="Arial"/>
                <w:color w:val="000000"/>
                <w:sz w:val="17"/>
                <w:szCs w:val="17"/>
              </w:rPr>
              <w:t>870 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57F"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580" w14:textId="77777777" w:rsidR="00066C63" w:rsidRDefault="009656F6">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581" w14:textId="77777777" w:rsidR="00066C63" w:rsidRDefault="00066C63">
            <w:pPr>
              <w:jc w:val="right"/>
              <w:rPr>
                <w:rFonts w:ascii="宋体"/>
              </w:rPr>
            </w:pPr>
          </w:p>
        </w:tc>
      </w:tr>
      <w:tr w:rsidR="00066C63" w14:paraId="669C658D"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6583" w14:textId="77777777" w:rsidR="00066C63" w:rsidRDefault="009656F6">
            <w:pPr>
              <w:textAlignment w:val="bottom"/>
            </w:pPr>
            <w:r>
              <w:rPr>
                <w:rFonts w:ascii="Arial" w:eastAsia="宋体" w:hAnsi="Arial" w:cs="Arial"/>
                <w:color w:val="000000"/>
                <w:sz w:val="17"/>
                <w:szCs w:val="17"/>
              </w:rPr>
              <w:t>Oth</w:t>
            </w:r>
            <w:r>
              <w:rPr>
                <w:rFonts w:ascii="Arial" w:eastAsia="宋体" w:hAnsi="Arial" w:cs="Arial"/>
                <w:color w:val="000000"/>
                <w:sz w:val="17"/>
                <w:szCs w:val="17"/>
              </w:rPr>
              <w:t>er (income) expense, net</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584" w14:textId="77777777" w:rsidR="00066C63" w:rsidRDefault="009656F6">
            <w:pPr>
              <w:jc w:val="right"/>
              <w:textAlignment w:val="bottom"/>
            </w:pPr>
            <w:r>
              <w:rPr>
                <w:rFonts w:ascii="Arial" w:eastAsia="宋体" w:hAnsi="Arial" w:cs="Arial"/>
                <w:color w:val="000000"/>
                <w:sz w:val="17"/>
                <w:szCs w:val="17"/>
              </w:rPr>
              <w:t>(22)</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585" w14:textId="77777777" w:rsidR="00066C63" w:rsidRDefault="00066C63">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586" w14:textId="77777777" w:rsidR="00066C63" w:rsidRDefault="009656F6">
            <w:pPr>
              <w:jc w:val="right"/>
              <w:textAlignment w:val="bottom"/>
            </w:pPr>
            <w:r>
              <w:rPr>
                <w:rFonts w:ascii="Arial" w:eastAsia="宋体" w:hAnsi="Arial" w:cs="Arial"/>
                <w:color w:val="000000"/>
                <w:sz w:val="17"/>
                <w:szCs w:val="17"/>
              </w:rPr>
              <w:t>(26)</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587" w14:textId="77777777" w:rsidR="00066C63" w:rsidRDefault="00066C63">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6588" w14:textId="77777777" w:rsidR="00066C63" w:rsidRDefault="00066C63">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589" w14:textId="77777777" w:rsidR="00066C63" w:rsidRDefault="009656F6">
            <w:pPr>
              <w:jc w:val="right"/>
              <w:textAlignment w:val="bottom"/>
            </w:pPr>
            <w:r>
              <w:rPr>
                <w:rFonts w:ascii="Arial" w:eastAsia="宋体" w:hAnsi="Arial" w:cs="Arial"/>
                <w:color w:val="000000"/>
                <w:sz w:val="17"/>
                <w:szCs w:val="17"/>
              </w:rPr>
              <w:t>297 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58A"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58B" w14:textId="77777777" w:rsidR="00066C63" w:rsidRDefault="009656F6">
            <w:pPr>
              <w:jc w:val="right"/>
              <w:textAlignment w:val="bottom"/>
            </w:pPr>
            <w:r>
              <w:rPr>
                <w:rFonts w:ascii="Arial" w:eastAsia="宋体" w:hAnsi="Arial" w:cs="Arial"/>
                <w:color w:val="000000"/>
                <w:sz w:val="17"/>
                <w:szCs w:val="17"/>
              </w:rPr>
              <w:t>44 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58C" w14:textId="77777777" w:rsidR="00066C63" w:rsidRDefault="00066C63">
            <w:pPr>
              <w:jc w:val="right"/>
              <w:rPr>
                <w:rFonts w:ascii="宋体"/>
              </w:rPr>
            </w:pPr>
          </w:p>
        </w:tc>
      </w:tr>
      <w:tr w:rsidR="00066C63" w14:paraId="669C6598" w14:textId="77777777">
        <w:tc>
          <w:tcPr>
            <w:tcW w:w="0" w:type="auto"/>
            <w:gridSpan w:val="3"/>
            <w:tcBorders>
              <w:top w:val="single" w:sz="8" w:space="0" w:color="808080"/>
              <w:bottom w:val="single" w:sz="8" w:space="0" w:color="E87722"/>
            </w:tcBorders>
            <w:shd w:val="clear" w:color="auto" w:fill="auto"/>
            <w:tcMar>
              <w:top w:w="40" w:type="dxa"/>
              <w:left w:w="20" w:type="dxa"/>
              <w:bottom w:w="40" w:type="dxa"/>
              <w:right w:w="20" w:type="dxa"/>
            </w:tcMar>
            <w:vAlign w:val="bottom"/>
          </w:tcPr>
          <w:p w14:paraId="669C658E" w14:textId="77777777" w:rsidR="00066C63" w:rsidRDefault="009656F6">
            <w:pPr>
              <w:textAlignment w:val="bottom"/>
            </w:pPr>
            <w:r>
              <w:rPr>
                <w:rFonts w:ascii="Arial" w:eastAsia="宋体" w:hAnsi="Arial" w:cs="Arial"/>
                <w:color w:val="000000"/>
                <w:sz w:val="17"/>
                <w:szCs w:val="17"/>
              </w:rPr>
              <w:t>Interest expense (income), net</w:t>
            </w:r>
          </w:p>
        </w:tc>
        <w:tc>
          <w:tcPr>
            <w:tcW w:w="0" w:type="auto"/>
            <w:gridSpan w:val="2"/>
            <w:tcBorders>
              <w:top w:val="single" w:sz="8" w:space="0" w:color="808080"/>
              <w:bottom w:val="single" w:sz="8" w:space="0" w:color="E87722"/>
            </w:tcBorders>
            <w:shd w:val="clear" w:color="auto" w:fill="FFF1E7"/>
            <w:tcMar>
              <w:top w:w="40" w:type="dxa"/>
              <w:left w:w="20" w:type="dxa"/>
              <w:bottom w:w="40" w:type="dxa"/>
              <w:right w:w="0" w:type="dxa"/>
            </w:tcMar>
            <w:vAlign w:val="bottom"/>
          </w:tcPr>
          <w:p w14:paraId="669C658F" w14:textId="77777777" w:rsidR="00066C63" w:rsidRDefault="009656F6">
            <w:pPr>
              <w:jc w:val="right"/>
              <w:textAlignment w:val="bottom"/>
            </w:pPr>
            <w:r>
              <w:rPr>
                <w:rFonts w:ascii="Arial" w:eastAsia="宋体" w:hAnsi="Arial" w:cs="Arial"/>
                <w:color w:val="000000"/>
                <w:sz w:val="17"/>
                <w:szCs w:val="17"/>
              </w:rPr>
              <w:t>64 </w:t>
            </w:r>
          </w:p>
        </w:tc>
        <w:tc>
          <w:tcPr>
            <w:tcW w:w="0" w:type="auto"/>
            <w:tcBorders>
              <w:top w:val="single" w:sz="8" w:space="0" w:color="808080"/>
              <w:bottom w:val="single" w:sz="8" w:space="0" w:color="E87722"/>
            </w:tcBorders>
            <w:shd w:val="clear" w:color="auto" w:fill="FFF1E7"/>
            <w:tcMar>
              <w:top w:w="40" w:type="dxa"/>
              <w:left w:w="0" w:type="dxa"/>
              <w:bottom w:w="40" w:type="dxa"/>
              <w:right w:w="20" w:type="dxa"/>
            </w:tcMar>
            <w:vAlign w:val="bottom"/>
          </w:tcPr>
          <w:p w14:paraId="669C6590" w14:textId="77777777" w:rsidR="00066C63" w:rsidRDefault="00066C63">
            <w:pPr>
              <w:jc w:val="right"/>
              <w:rPr>
                <w:rFonts w:ascii="宋体"/>
              </w:rPr>
            </w:pPr>
          </w:p>
        </w:tc>
        <w:tc>
          <w:tcPr>
            <w:tcW w:w="0" w:type="auto"/>
            <w:gridSpan w:val="2"/>
            <w:tcBorders>
              <w:top w:val="single" w:sz="8" w:space="0" w:color="808080"/>
              <w:bottom w:val="single" w:sz="8" w:space="0" w:color="E87722"/>
            </w:tcBorders>
            <w:shd w:val="clear" w:color="auto" w:fill="FFF1E7"/>
            <w:tcMar>
              <w:top w:w="40" w:type="dxa"/>
              <w:left w:w="20" w:type="dxa"/>
              <w:bottom w:w="40" w:type="dxa"/>
              <w:right w:w="0" w:type="dxa"/>
            </w:tcMar>
            <w:vAlign w:val="bottom"/>
          </w:tcPr>
          <w:p w14:paraId="669C6591" w14:textId="77777777" w:rsidR="00066C63" w:rsidRDefault="009656F6">
            <w:pPr>
              <w:jc w:val="right"/>
              <w:textAlignment w:val="bottom"/>
            </w:pPr>
            <w:r>
              <w:rPr>
                <w:rFonts w:ascii="Arial" w:eastAsia="宋体" w:hAnsi="Arial" w:cs="Arial"/>
                <w:color w:val="000000"/>
                <w:sz w:val="17"/>
                <w:szCs w:val="17"/>
              </w:rPr>
              <w:t>(2)</w:t>
            </w:r>
          </w:p>
        </w:tc>
        <w:tc>
          <w:tcPr>
            <w:tcW w:w="0" w:type="auto"/>
            <w:tcBorders>
              <w:top w:val="single" w:sz="8" w:space="0" w:color="808080"/>
              <w:bottom w:val="single" w:sz="8" w:space="0" w:color="E87722"/>
            </w:tcBorders>
            <w:shd w:val="clear" w:color="auto" w:fill="FFF1E7"/>
            <w:tcMar>
              <w:top w:w="40" w:type="dxa"/>
              <w:left w:w="0" w:type="dxa"/>
              <w:bottom w:w="40" w:type="dxa"/>
              <w:right w:w="20" w:type="dxa"/>
            </w:tcMar>
            <w:vAlign w:val="bottom"/>
          </w:tcPr>
          <w:p w14:paraId="669C6592" w14:textId="77777777" w:rsidR="00066C63" w:rsidRDefault="00066C63">
            <w:pPr>
              <w:jc w:val="right"/>
              <w:rPr>
                <w:rFonts w:ascii="宋体"/>
              </w:rPr>
            </w:pPr>
          </w:p>
        </w:tc>
        <w:tc>
          <w:tcPr>
            <w:tcW w:w="0" w:type="auto"/>
            <w:gridSpan w:val="3"/>
            <w:tcBorders>
              <w:top w:val="single" w:sz="8" w:space="0" w:color="808080"/>
              <w:bottom w:val="single" w:sz="8" w:space="0" w:color="E87722"/>
            </w:tcBorders>
            <w:shd w:val="clear" w:color="auto" w:fill="auto"/>
            <w:tcMar>
              <w:top w:w="0" w:type="dxa"/>
              <w:left w:w="20" w:type="dxa"/>
              <w:bottom w:w="0" w:type="dxa"/>
              <w:right w:w="20" w:type="dxa"/>
            </w:tcMar>
          </w:tcPr>
          <w:p w14:paraId="669C6593" w14:textId="77777777" w:rsidR="00066C63" w:rsidRDefault="00066C63">
            <w:pPr>
              <w:rPr>
                <w:rFonts w:ascii="宋体"/>
              </w:rPr>
            </w:pPr>
          </w:p>
        </w:tc>
        <w:tc>
          <w:tcPr>
            <w:tcW w:w="0" w:type="auto"/>
            <w:gridSpan w:val="2"/>
            <w:tcBorders>
              <w:top w:val="single" w:sz="8" w:space="0" w:color="808080"/>
              <w:bottom w:val="single" w:sz="8" w:space="0" w:color="E87722"/>
            </w:tcBorders>
            <w:shd w:val="clear" w:color="auto" w:fill="auto"/>
            <w:tcMar>
              <w:top w:w="40" w:type="dxa"/>
              <w:left w:w="20" w:type="dxa"/>
              <w:bottom w:w="40" w:type="dxa"/>
              <w:right w:w="0" w:type="dxa"/>
            </w:tcMar>
            <w:vAlign w:val="bottom"/>
          </w:tcPr>
          <w:p w14:paraId="669C6594" w14:textId="77777777" w:rsidR="00066C63" w:rsidRDefault="009656F6">
            <w:pPr>
              <w:jc w:val="right"/>
              <w:textAlignment w:val="bottom"/>
            </w:pPr>
            <w:r>
              <w:rPr>
                <w:rFonts w:ascii="Arial" w:eastAsia="宋体" w:hAnsi="Arial" w:cs="Arial"/>
                <w:color w:val="000000"/>
                <w:sz w:val="17"/>
                <w:szCs w:val="17"/>
              </w:rPr>
              <w:t>12 </w:t>
            </w:r>
          </w:p>
        </w:tc>
        <w:tc>
          <w:tcPr>
            <w:tcW w:w="0" w:type="auto"/>
            <w:tcBorders>
              <w:top w:val="single" w:sz="8" w:space="0" w:color="808080"/>
              <w:bottom w:val="single" w:sz="8" w:space="0" w:color="E87722"/>
            </w:tcBorders>
            <w:shd w:val="clear" w:color="auto" w:fill="auto"/>
            <w:tcMar>
              <w:top w:w="40" w:type="dxa"/>
              <w:left w:w="0" w:type="dxa"/>
              <w:bottom w:w="40" w:type="dxa"/>
              <w:right w:w="20" w:type="dxa"/>
            </w:tcMar>
            <w:vAlign w:val="bottom"/>
          </w:tcPr>
          <w:p w14:paraId="669C6595" w14:textId="77777777" w:rsidR="00066C63" w:rsidRDefault="00066C63">
            <w:pPr>
              <w:jc w:val="right"/>
              <w:rPr>
                <w:rFonts w:ascii="宋体"/>
              </w:rPr>
            </w:pPr>
          </w:p>
        </w:tc>
        <w:tc>
          <w:tcPr>
            <w:tcW w:w="0" w:type="auto"/>
            <w:gridSpan w:val="2"/>
            <w:tcBorders>
              <w:top w:val="single" w:sz="8" w:space="0" w:color="808080"/>
              <w:bottom w:val="single" w:sz="8" w:space="0" w:color="E87722"/>
            </w:tcBorders>
            <w:shd w:val="clear" w:color="auto" w:fill="auto"/>
            <w:tcMar>
              <w:top w:w="40" w:type="dxa"/>
              <w:left w:w="20" w:type="dxa"/>
              <w:bottom w:w="40" w:type="dxa"/>
              <w:right w:w="0" w:type="dxa"/>
            </w:tcMar>
            <w:vAlign w:val="bottom"/>
          </w:tcPr>
          <w:p w14:paraId="669C6596" w14:textId="77777777" w:rsidR="00066C63" w:rsidRDefault="009656F6">
            <w:pPr>
              <w:jc w:val="right"/>
              <w:textAlignment w:val="bottom"/>
            </w:pPr>
            <w:r>
              <w:rPr>
                <w:rFonts w:ascii="Arial" w:eastAsia="宋体" w:hAnsi="Arial" w:cs="Arial"/>
                <w:color w:val="000000"/>
                <w:sz w:val="17"/>
                <w:szCs w:val="17"/>
              </w:rPr>
              <w:t>(2)</w:t>
            </w:r>
          </w:p>
        </w:tc>
        <w:tc>
          <w:tcPr>
            <w:tcW w:w="0" w:type="auto"/>
            <w:tcBorders>
              <w:top w:val="single" w:sz="8" w:space="0" w:color="808080"/>
              <w:bottom w:val="single" w:sz="8" w:space="0" w:color="E87722"/>
            </w:tcBorders>
            <w:shd w:val="clear" w:color="auto" w:fill="auto"/>
            <w:tcMar>
              <w:top w:w="40" w:type="dxa"/>
              <w:left w:w="0" w:type="dxa"/>
              <w:bottom w:w="40" w:type="dxa"/>
              <w:right w:w="20" w:type="dxa"/>
            </w:tcMar>
            <w:vAlign w:val="bottom"/>
          </w:tcPr>
          <w:p w14:paraId="669C6597" w14:textId="77777777" w:rsidR="00066C63" w:rsidRDefault="00066C63">
            <w:pPr>
              <w:jc w:val="right"/>
              <w:rPr>
                <w:rFonts w:ascii="宋体"/>
              </w:rPr>
            </w:pPr>
          </w:p>
        </w:tc>
      </w:tr>
    </w:tbl>
    <w:p w14:paraId="669C6599" w14:textId="77777777" w:rsidR="00066C63" w:rsidRDefault="00066C63">
      <w:pPr>
        <w:rPr>
          <w:vanish/>
        </w:rPr>
      </w:pPr>
    </w:p>
    <w:tbl>
      <w:tblPr>
        <w:tblW w:w="4985" w:type="pct"/>
        <w:tblCellMar>
          <w:top w:w="15" w:type="dxa"/>
          <w:left w:w="15" w:type="dxa"/>
          <w:bottom w:w="15" w:type="dxa"/>
          <w:right w:w="15" w:type="dxa"/>
        </w:tblCellMar>
        <w:tblLook w:val="04A0" w:firstRow="1" w:lastRow="0" w:firstColumn="1" w:lastColumn="0" w:noHBand="0" w:noVBand="1"/>
      </w:tblPr>
      <w:tblGrid>
        <w:gridCol w:w="38"/>
        <w:gridCol w:w="3942"/>
        <w:gridCol w:w="37"/>
        <w:gridCol w:w="115"/>
        <w:gridCol w:w="903"/>
        <w:gridCol w:w="36"/>
        <w:gridCol w:w="116"/>
        <w:gridCol w:w="903"/>
        <w:gridCol w:w="36"/>
        <w:gridCol w:w="36"/>
        <w:gridCol w:w="36"/>
        <w:gridCol w:w="36"/>
        <w:gridCol w:w="115"/>
        <w:gridCol w:w="868"/>
        <w:gridCol w:w="36"/>
        <w:gridCol w:w="116"/>
        <w:gridCol w:w="906"/>
        <w:gridCol w:w="36"/>
      </w:tblGrid>
      <w:tr w:rsidR="00066C63" w14:paraId="669C65AC" w14:textId="77777777">
        <w:tc>
          <w:tcPr>
            <w:tcW w:w="50" w:type="pct"/>
            <w:shd w:val="clear" w:color="auto" w:fill="auto"/>
          </w:tcPr>
          <w:p w14:paraId="669C659A" w14:textId="77777777" w:rsidR="00066C63" w:rsidRDefault="00066C63">
            <w:pPr>
              <w:rPr>
                <w:rFonts w:ascii="宋体"/>
              </w:rPr>
            </w:pPr>
          </w:p>
        </w:tc>
        <w:tc>
          <w:tcPr>
            <w:tcW w:w="2398" w:type="pct"/>
            <w:shd w:val="clear" w:color="auto" w:fill="auto"/>
          </w:tcPr>
          <w:p w14:paraId="669C659B" w14:textId="77777777" w:rsidR="00066C63" w:rsidRDefault="00066C63">
            <w:pPr>
              <w:rPr>
                <w:rFonts w:ascii="宋体"/>
              </w:rPr>
            </w:pPr>
          </w:p>
        </w:tc>
        <w:tc>
          <w:tcPr>
            <w:tcW w:w="5" w:type="pct"/>
            <w:shd w:val="clear" w:color="auto" w:fill="auto"/>
          </w:tcPr>
          <w:p w14:paraId="669C659C" w14:textId="77777777" w:rsidR="00066C63" w:rsidRDefault="00066C63">
            <w:pPr>
              <w:rPr>
                <w:rFonts w:ascii="宋体"/>
              </w:rPr>
            </w:pPr>
          </w:p>
        </w:tc>
        <w:tc>
          <w:tcPr>
            <w:tcW w:w="50" w:type="pct"/>
            <w:shd w:val="clear" w:color="auto" w:fill="auto"/>
          </w:tcPr>
          <w:p w14:paraId="669C659D" w14:textId="77777777" w:rsidR="00066C63" w:rsidRDefault="00066C63">
            <w:pPr>
              <w:rPr>
                <w:rFonts w:ascii="宋体"/>
              </w:rPr>
            </w:pPr>
          </w:p>
        </w:tc>
        <w:tc>
          <w:tcPr>
            <w:tcW w:w="571" w:type="pct"/>
            <w:shd w:val="clear" w:color="auto" w:fill="auto"/>
          </w:tcPr>
          <w:p w14:paraId="669C659E" w14:textId="77777777" w:rsidR="00066C63" w:rsidRDefault="00066C63">
            <w:pPr>
              <w:rPr>
                <w:rFonts w:ascii="宋体"/>
              </w:rPr>
            </w:pPr>
          </w:p>
        </w:tc>
        <w:tc>
          <w:tcPr>
            <w:tcW w:w="5" w:type="pct"/>
            <w:shd w:val="clear" w:color="auto" w:fill="auto"/>
          </w:tcPr>
          <w:p w14:paraId="669C659F" w14:textId="77777777" w:rsidR="00066C63" w:rsidRDefault="00066C63">
            <w:pPr>
              <w:rPr>
                <w:rFonts w:ascii="宋体"/>
              </w:rPr>
            </w:pPr>
          </w:p>
        </w:tc>
        <w:tc>
          <w:tcPr>
            <w:tcW w:w="50" w:type="pct"/>
            <w:shd w:val="clear" w:color="auto" w:fill="auto"/>
          </w:tcPr>
          <w:p w14:paraId="669C65A0" w14:textId="77777777" w:rsidR="00066C63" w:rsidRDefault="00066C63">
            <w:pPr>
              <w:rPr>
                <w:rFonts w:ascii="宋体"/>
              </w:rPr>
            </w:pPr>
          </w:p>
        </w:tc>
        <w:tc>
          <w:tcPr>
            <w:tcW w:w="571" w:type="pct"/>
            <w:shd w:val="clear" w:color="auto" w:fill="auto"/>
          </w:tcPr>
          <w:p w14:paraId="669C65A1" w14:textId="77777777" w:rsidR="00066C63" w:rsidRDefault="00066C63">
            <w:pPr>
              <w:rPr>
                <w:rFonts w:ascii="宋体"/>
              </w:rPr>
            </w:pPr>
          </w:p>
        </w:tc>
        <w:tc>
          <w:tcPr>
            <w:tcW w:w="5" w:type="pct"/>
            <w:shd w:val="clear" w:color="auto" w:fill="auto"/>
          </w:tcPr>
          <w:p w14:paraId="669C65A2" w14:textId="77777777" w:rsidR="00066C63" w:rsidRDefault="00066C63">
            <w:pPr>
              <w:rPr>
                <w:rFonts w:ascii="宋体"/>
              </w:rPr>
            </w:pPr>
          </w:p>
        </w:tc>
        <w:tc>
          <w:tcPr>
            <w:tcW w:w="5" w:type="pct"/>
            <w:shd w:val="clear" w:color="auto" w:fill="auto"/>
          </w:tcPr>
          <w:p w14:paraId="669C65A3" w14:textId="77777777" w:rsidR="00066C63" w:rsidRDefault="00066C63">
            <w:pPr>
              <w:rPr>
                <w:rFonts w:ascii="宋体"/>
              </w:rPr>
            </w:pPr>
          </w:p>
        </w:tc>
        <w:tc>
          <w:tcPr>
            <w:tcW w:w="28" w:type="pct"/>
            <w:shd w:val="clear" w:color="auto" w:fill="auto"/>
          </w:tcPr>
          <w:p w14:paraId="669C65A4" w14:textId="77777777" w:rsidR="00066C63" w:rsidRDefault="00066C63">
            <w:pPr>
              <w:rPr>
                <w:rFonts w:ascii="宋体"/>
              </w:rPr>
            </w:pPr>
          </w:p>
        </w:tc>
        <w:tc>
          <w:tcPr>
            <w:tcW w:w="5" w:type="pct"/>
            <w:shd w:val="clear" w:color="auto" w:fill="auto"/>
          </w:tcPr>
          <w:p w14:paraId="669C65A5" w14:textId="77777777" w:rsidR="00066C63" w:rsidRDefault="00066C63">
            <w:pPr>
              <w:rPr>
                <w:rFonts w:ascii="宋体"/>
              </w:rPr>
            </w:pPr>
          </w:p>
        </w:tc>
        <w:tc>
          <w:tcPr>
            <w:tcW w:w="50" w:type="pct"/>
            <w:shd w:val="clear" w:color="auto" w:fill="auto"/>
          </w:tcPr>
          <w:p w14:paraId="669C65A6" w14:textId="77777777" w:rsidR="00066C63" w:rsidRDefault="00066C63">
            <w:pPr>
              <w:rPr>
                <w:rFonts w:ascii="宋体"/>
              </w:rPr>
            </w:pPr>
          </w:p>
        </w:tc>
        <w:tc>
          <w:tcPr>
            <w:tcW w:w="571" w:type="pct"/>
            <w:shd w:val="clear" w:color="auto" w:fill="auto"/>
          </w:tcPr>
          <w:p w14:paraId="669C65A7" w14:textId="77777777" w:rsidR="00066C63" w:rsidRDefault="00066C63">
            <w:pPr>
              <w:rPr>
                <w:rFonts w:ascii="宋体"/>
              </w:rPr>
            </w:pPr>
          </w:p>
        </w:tc>
        <w:tc>
          <w:tcPr>
            <w:tcW w:w="5" w:type="pct"/>
            <w:shd w:val="clear" w:color="auto" w:fill="auto"/>
          </w:tcPr>
          <w:p w14:paraId="669C65A8" w14:textId="77777777" w:rsidR="00066C63" w:rsidRDefault="00066C63">
            <w:pPr>
              <w:rPr>
                <w:rFonts w:ascii="宋体"/>
              </w:rPr>
            </w:pPr>
          </w:p>
        </w:tc>
        <w:tc>
          <w:tcPr>
            <w:tcW w:w="50" w:type="pct"/>
            <w:shd w:val="clear" w:color="auto" w:fill="auto"/>
          </w:tcPr>
          <w:p w14:paraId="669C65A9" w14:textId="77777777" w:rsidR="00066C63" w:rsidRDefault="00066C63">
            <w:pPr>
              <w:rPr>
                <w:rFonts w:ascii="宋体"/>
              </w:rPr>
            </w:pPr>
          </w:p>
        </w:tc>
        <w:tc>
          <w:tcPr>
            <w:tcW w:w="572" w:type="pct"/>
            <w:shd w:val="clear" w:color="auto" w:fill="auto"/>
          </w:tcPr>
          <w:p w14:paraId="669C65AA" w14:textId="77777777" w:rsidR="00066C63" w:rsidRDefault="00066C63">
            <w:pPr>
              <w:rPr>
                <w:rFonts w:ascii="宋体"/>
              </w:rPr>
            </w:pPr>
          </w:p>
        </w:tc>
        <w:tc>
          <w:tcPr>
            <w:tcW w:w="5" w:type="pct"/>
            <w:shd w:val="clear" w:color="auto" w:fill="auto"/>
          </w:tcPr>
          <w:p w14:paraId="669C65AB" w14:textId="77777777" w:rsidR="00066C63" w:rsidRDefault="00066C63">
            <w:pPr>
              <w:rPr>
                <w:rFonts w:ascii="宋体"/>
              </w:rPr>
            </w:pPr>
          </w:p>
        </w:tc>
      </w:tr>
      <w:tr w:rsidR="00066C63" w14:paraId="669C65AF" w14:textId="77777777">
        <w:tc>
          <w:tcPr>
            <w:tcW w:w="0" w:type="auto"/>
            <w:gridSpan w:val="3"/>
            <w:shd w:val="clear" w:color="auto" w:fill="auto"/>
            <w:tcMar>
              <w:top w:w="0" w:type="dxa"/>
              <w:left w:w="20" w:type="dxa"/>
              <w:bottom w:w="0" w:type="dxa"/>
              <w:right w:w="20" w:type="dxa"/>
            </w:tcMar>
          </w:tcPr>
          <w:p w14:paraId="669C65AD" w14:textId="77777777" w:rsidR="00066C63" w:rsidRDefault="00066C63">
            <w:pPr>
              <w:rPr>
                <w:rFonts w:ascii="宋体"/>
              </w:rPr>
            </w:pPr>
          </w:p>
        </w:tc>
        <w:tc>
          <w:tcPr>
            <w:tcW w:w="0" w:type="auto"/>
            <w:gridSpan w:val="15"/>
            <w:tcBorders>
              <w:bottom w:val="single" w:sz="8" w:space="0" w:color="E87722"/>
            </w:tcBorders>
            <w:shd w:val="clear" w:color="auto" w:fill="auto"/>
            <w:tcMar>
              <w:top w:w="40" w:type="dxa"/>
              <w:left w:w="20" w:type="dxa"/>
              <w:bottom w:w="40" w:type="dxa"/>
              <w:right w:w="20" w:type="dxa"/>
            </w:tcMar>
            <w:vAlign w:val="bottom"/>
          </w:tcPr>
          <w:p w14:paraId="669C65AE" w14:textId="77777777" w:rsidR="00066C63" w:rsidRDefault="009656F6">
            <w:pPr>
              <w:jc w:val="center"/>
              <w:textAlignment w:val="bottom"/>
            </w:pPr>
            <w:r>
              <w:rPr>
                <w:rFonts w:ascii="sans-serif" w:eastAsia="sans-serif" w:hAnsi="sans-serif" w:cs="sans-serif"/>
                <w:b/>
                <w:bCs/>
                <w:color w:val="000000"/>
                <w:sz w:val="17"/>
                <w:szCs w:val="17"/>
              </w:rPr>
              <w:t xml:space="preserve">NINE MONTHS ENDED </w:t>
            </w:r>
          </w:p>
        </w:tc>
      </w:tr>
      <w:tr w:rsidR="00066C63" w14:paraId="669C65B4" w14:textId="77777777">
        <w:tc>
          <w:tcPr>
            <w:tcW w:w="0" w:type="auto"/>
            <w:gridSpan w:val="3"/>
            <w:shd w:val="clear" w:color="auto" w:fill="auto"/>
            <w:tcMar>
              <w:top w:w="0" w:type="dxa"/>
              <w:left w:w="20" w:type="dxa"/>
              <w:bottom w:w="0" w:type="dxa"/>
              <w:right w:w="20" w:type="dxa"/>
            </w:tcMar>
          </w:tcPr>
          <w:p w14:paraId="669C65B0" w14:textId="77777777" w:rsidR="00066C63" w:rsidRDefault="00066C63">
            <w:pPr>
              <w:rPr>
                <w:rFonts w:ascii="宋体"/>
              </w:rPr>
            </w:pPr>
          </w:p>
        </w:tc>
        <w:tc>
          <w:tcPr>
            <w:tcW w:w="0" w:type="auto"/>
            <w:gridSpan w:val="6"/>
            <w:tcBorders>
              <w:top w:val="single" w:sz="8" w:space="0" w:color="E87722"/>
            </w:tcBorders>
            <w:shd w:val="clear" w:color="auto" w:fill="auto"/>
            <w:tcMar>
              <w:top w:w="40" w:type="dxa"/>
              <w:left w:w="20" w:type="dxa"/>
              <w:bottom w:w="40" w:type="dxa"/>
              <w:right w:w="20" w:type="dxa"/>
            </w:tcMar>
            <w:vAlign w:val="bottom"/>
          </w:tcPr>
          <w:p w14:paraId="669C65B1" w14:textId="77777777" w:rsidR="00066C63" w:rsidRDefault="009656F6">
            <w:pPr>
              <w:jc w:val="center"/>
              <w:textAlignment w:val="bottom"/>
            </w:pPr>
            <w:r>
              <w:rPr>
                <w:rFonts w:ascii="sans-serif" w:eastAsia="sans-serif" w:hAnsi="sans-serif" w:cs="sans-serif"/>
                <w:b/>
                <w:bCs/>
                <w:color w:val="000000"/>
                <w:sz w:val="17"/>
                <w:szCs w:val="17"/>
              </w:rPr>
              <w:t>FEBRUARY 28, 2021</w:t>
            </w:r>
          </w:p>
        </w:tc>
        <w:tc>
          <w:tcPr>
            <w:tcW w:w="0" w:type="auto"/>
            <w:gridSpan w:val="3"/>
            <w:tcBorders>
              <w:top w:val="single" w:sz="8" w:space="0" w:color="E87722"/>
            </w:tcBorders>
            <w:shd w:val="clear" w:color="auto" w:fill="auto"/>
            <w:tcMar>
              <w:top w:w="0" w:type="dxa"/>
              <w:left w:w="20" w:type="dxa"/>
              <w:bottom w:w="0" w:type="dxa"/>
              <w:right w:w="20" w:type="dxa"/>
            </w:tcMar>
          </w:tcPr>
          <w:p w14:paraId="669C65B2" w14:textId="77777777" w:rsidR="00066C63" w:rsidRDefault="00066C63">
            <w:pPr>
              <w:rPr>
                <w:rFonts w:ascii="宋体"/>
              </w:rPr>
            </w:pPr>
          </w:p>
        </w:tc>
        <w:tc>
          <w:tcPr>
            <w:tcW w:w="0" w:type="auto"/>
            <w:gridSpan w:val="6"/>
            <w:tcBorders>
              <w:top w:val="single" w:sz="8" w:space="0" w:color="E87722"/>
            </w:tcBorders>
            <w:shd w:val="clear" w:color="auto" w:fill="auto"/>
            <w:tcMar>
              <w:top w:w="40" w:type="dxa"/>
              <w:left w:w="20" w:type="dxa"/>
              <w:bottom w:w="40" w:type="dxa"/>
              <w:right w:w="20" w:type="dxa"/>
            </w:tcMar>
            <w:vAlign w:val="bottom"/>
          </w:tcPr>
          <w:p w14:paraId="669C65B3" w14:textId="77777777" w:rsidR="00066C63" w:rsidRDefault="009656F6">
            <w:pPr>
              <w:jc w:val="center"/>
              <w:textAlignment w:val="bottom"/>
            </w:pPr>
            <w:r>
              <w:rPr>
                <w:rFonts w:ascii="sans-serif" w:eastAsia="sans-serif" w:hAnsi="sans-serif" w:cs="sans-serif"/>
                <w:b/>
                <w:bCs/>
                <w:color w:val="000000"/>
                <w:sz w:val="17"/>
                <w:szCs w:val="17"/>
              </w:rPr>
              <w:t>FEBRUARY 29, 2020</w:t>
            </w:r>
          </w:p>
        </w:tc>
      </w:tr>
      <w:tr w:rsidR="00066C63" w14:paraId="669C65BB" w14:textId="77777777">
        <w:tc>
          <w:tcPr>
            <w:tcW w:w="0" w:type="auto"/>
            <w:gridSpan w:val="3"/>
            <w:shd w:val="clear" w:color="auto" w:fill="auto"/>
            <w:tcMar>
              <w:top w:w="40" w:type="dxa"/>
              <w:left w:w="20" w:type="dxa"/>
              <w:bottom w:w="40" w:type="dxa"/>
              <w:right w:w="20" w:type="dxa"/>
            </w:tcMar>
            <w:vAlign w:val="bottom"/>
          </w:tcPr>
          <w:p w14:paraId="669C65B5" w14:textId="77777777" w:rsidR="00066C63" w:rsidRDefault="009656F6">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5B6" w14:textId="77777777" w:rsidR="00066C63" w:rsidRDefault="009656F6">
            <w:pPr>
              <w:jc w:val="right"/>
              <w:textAlignment w:val="bottom"/>
            </w:pPr>
            <w:r>
              <w:rPr>
                <w:rFonts w:ascii="sans-serif" w:eastAsia="sans-serif" w:hAnsi="sans-serif" w:cs="sans-serif"/>
                <w:b/>
                <w:bCs/>
                <w:color w:val="000000"/>
                <w:sz w:val="17"/>
                <w:szCs w:val="17"/>
              </w:rPr>
              <w:t>TOTAL</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5B7" w14:textId="77777777" w:rsidR="00066C63" w:rsidRDefault="009656F6">
            <w:pPr>
              <w:jc w:val="right"/>
              <w:textAlignment w:val="bottom"/>
            </w:pPr>
            <w:r>
              <w:rPr>
                <w:rFonts w:ascii="sans-serif" w:eastAsia="sans-serif" w:hAnsi="sans-serif" w:cs="sans-serif"/>
                <w:b/>
                <w:bCs/>
                <w:color w:val="000000"/>
                <w:sz w:val="17"/>
                <w:szCs w:val="17"/>
              </w:rPr>
              <w:t>AMOUNT OF GAIN (LOSS)</w:t>
            </w:r>
            <w:r>
              <w:rPr>
                <w:rFonts w:ascii="sans-serif" w:eastAsia="sans-serif" w:hAnsi="sans-serif" w:cs="sans-serif"/>
                <w:b/>
                <w:bCs/>
                <w:color w:val="000000"/>
                <w:sz w:val="17"/>
                <w:szCs w:val="17"/>
              </w:rPr>
              <w:br/>
              <w:t xml:space="preserve">ON CASH FLOW </w:t>
            </w:r>
            <w:r>
              <w:rPr>
                <w:rFonts w:ascii="sans-serif" w:eastAsia="sans-serif" w:hAnsi="sans-serif" w:cs="sans-serif"/>
                <w:b/>
                <w:bCs/>
                <w:color w:val="000000"/>
                <w:sz w:val="17"/>
                <w:szCs w:val="17"/>
              </w:rPr>
              <w:br/>
              <w:t>HEDGE ACTIVITY</w:t>
            </w:r>
          </w:p>
        </w:tc>
        <w:tc>
          <w:tcPr>
            <w:tcW w:w="0" w:type="auto"/>
            <w:gridSpan w:val="3"/>
            <w:shd w:val="clear" w:color="auto" w:fill="auto"/>
            <w:tcMar>
              <w:top w:w="0" w:type="dxa"/>
              <w:left w:w="20" w:type="dxa"/>
              <w:bottom w:w="0" w:type="dxa"/>
              <w:right w:w="20" w:type="dxa"/>
            </w:tcMar>
          </w:tcPr>
          <w:p w14:paraId="669C65B8" w14:textId="77777777" w:rsidR="00066C63" w:rsidRDefault="00066C63">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5B9" w14:textId="77777777" w:rsidR="00066C63" w:rsidRDefault="009656F6">
            <w:pPr>
              <w:jc w:val="right"/>
              <w:textAlignment w:val="bottom"/>
            </w:pPr>
            <w:r>
              <w:rPr>
                <w:rFonts w:ascii="sans-serif" w:eastAsia="sans-serif" w:hAnsi="sans-serif" w:cs="sans-serif"/>
                <w:b/>
                <w:bCs/>
                <w:color w:val="000000"/>
                <w:sz w:val="17"/>
                <w:szCs w:val="17"/>
              </w:rPr>
              <w:t>TOTAL</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5BA" w14:textId="77777777" w:rsidR="00066C63" w:rsidRDefault="009656F6">
            <w:pPr>
              <w:jc w:val="right"/>
              <w:textAlignment w:val="bottom"/>
            </w:pPr>
            <w:r>
              <w:rPr>
                <w:rFonts w:ascii="sans-serif" w:eastAsia="sans-serif" w:hAnsi="sans-serif" w:cs="sans-serif"/>
                <w:b/>
                <w:bCs/>
                <w:color w:val="000000"/>
                <w:sz w:val="17"/>
                <w:szCs w:val="17"/>
              </w:rPr>
              <w:t>AMOUNT OF GAIN (LOSS)</w:t>
            </w:r>
            <w:r>
              <w:rPr>
                <w:rFonts w:ascii="sans-serif" w:eastAsia="sans-serif" w:hAnsi="sans-serif" w:cs="sans-serif"/>
                <w:b/>
                <w:bCs/>
                <w:color w:val="000000"/>
                <w:sz w:val="17"/>
                <w:szCs w:val="17"/>
              </w:rPr>
              <w:br/>
              <w:t xml:space="preserve">ON CASH FLOW </w:t>
            </w:r>
            <w:r>
              <w:rPr>
                <w:rFonts w:ascii="sans-serif" w:eastAsia="sans-serif" w:hAnsi="sans-serif" w:cs="sans-serif"/>
                <w:b/>
                <w:bCs/>
                <w:color w:val="000000"/>
                <w:sz w:val="17"/>
                <w:szCs w:val="17"/>
              </w:rPr>
              <w:br/>
              <w:t>HEDGE ACTIVITY</w:t>
            </w:r>
          </w:p>
        </w:tc>
      </w:tr>
      <w:tr w:rsidR="00066C63" w14:paraId="669C65CA"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5BC" w14:textId="77777777" w:rsidR="00066C63" w:rsidRDefault="009656F6">
            <w:pPr>
              <w:textAlignment w:val="bottom"/>
            </w:pPr>
            <w:r>
              <w:rPr>
                <w:rFonts w:ascii="Arial" w:eastAsia="宋体" w:hAnsi="Arial" w:cs="Arial"/>
                <w:color w:val="000000"/>
                <w:sz w:val="17"/>
                <w:szCs w:val="17"/>
              </w:rPr>
              <w:t>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669C65BD"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669C65BE" w14:textId="77777777" w:rsidR="00066C63" w:rsidRDefault="009656F6">
            <w:pPr>
              <w:jc w:val="right"/>
              <w:textAlignment w:val="bottom"/>
            </w:pPr>
            <w:r>
              <w:rPr>
                <w:rFonts w:ascii="Arial" w:eastAsia="宋体" w:hAnsi="Arial" w:cs="Arial"/>
                <w:color w:val="000000"/>
                <w:sz w:val="17"/>
                <w:szCs w:val="17"/>
              </w:rPr>
              <w:t>32,194 </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65BF" w14:textId="77777777" w:rsidR="00066C63" w:rsidRDefault="00066C63">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669C65C0"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669C65C1" w14:textId="77777777" w:rsidR="00066C63" w:rsidRDefault="009656F6">
            <w:pPr>
              <w:jc w:val="right"/>
              <w:textAlignment w:val="bottom"/>
            </w:pPr>
            <w:r>
              <w:rPr>
                <w:rFonts w:ascii="Arial" w:eastAsia="宋体" w:hAnsi="Arial" w:cs="Arial"/>
                <w:color w:val="000000"/>
                <w:sz w:val="17"/>
                <w:szCs w:val="17"/>
              </w:rPr>
              <w:t>56 </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65C2" w14:textId="77777777" w:rsidR="00066C63" w:rsidRDefault="00066C63">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65C3" w14:textId="77777777" w:rsidR="00066C63" w:rsidRDefault="00066C63">
            <w:pPr>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69C65C4"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69C65C5" w14:textId="77777777" w:rsidR="00066C63" w:rsidRDefault="009656F6">
            <w:pPr>
              <w:jc w:val="right"/>
              <w:textAlignment w:val="bottom"/>
            </w:pPr>
            <w:r>
              <w:rPr>
                <w:rFonts w:ascii="Arial" w:eastAsia="宋体" w:hAnsi="Arial" w:cs="Arial"/>
                <w:color w:val="000000"/>
                <w:sz w:val="17"/>
                <w:szCs w:val="17"/>
              </w:rPr>
              <w:t>31,090 </w:t>
            </w:r>
          </w:p>
        </w:tc>
        <w:tc>
          <w:tcPr>
            <w:tcW w:w="0" w:type="auto"/>
            <w:tcBorders>
              <w:top w:val="single" w:sz="8" w:space="0" w:color="E87722"/>
            </w:tcBorders>
            <w:shd w:val="clear" w:color="auto" w:fill="auto"/>
            <w:tcMar>
              <w:top w:w="40" w:type="dxa"/>
              <w:left w:w="0" w:type="dxa"/>
              <w:bottom w:w="40" w:type="dxa"/>
              <w:right w:w="20" w:type="dxa"/>
            </w:tcMar>
            <w:vAlign w:val="bottom"/>
          </w:tcPr>
          <w:p w14:paraId="669C65C6" w14:textId="77777777" w:rsidR="00066C63" w:rsidRDefault="00066C63">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69C65C7"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69C65C8" w14:textId="77777777" w:rsidR="00066C63" w:rsidRDefault="009656F6">
            <w:pPr>
              <w:jc w:val="right"/>
              <w:textAlignment w:val="bottom"/>
            </w:pPr>
            <w:r>
              <w:rPr>
                <w:rFonts w:ascii="Arial" w:eastAsia="宋体" w:hAnsi="Arial" w:cs="Arial"/>
                <w:color w:val="000000"/>
                <w:sz w:val="17"/>
                <w:szCs w:val="17"/>
              </w:rPr>
              <w:t>(12)</w:t>
            </w:r>
          </w:p>
        </w:tc>
        <w:tc>
          <w:tcPr>
            <w:tcW w:w="0" w:type="auto"/>
            <w:tcBorders>
              <w:top w:val="single" w:sz="8" w:space="0" w:color="E87722"/>
            </w:tcBorders>
            <w:shd w:val="clear" w:color="auto" w:fill="auto"/>
            <w:tcMar>
              <w:top w:w="40" w:type="dxa"/>
              <w:left w:w="0" w:type="dxa"/>
              <w:bottom w:w="40" w:type="dxa"/>
              <w:right w:w="20" w:type="dxa"/>
            </w:tcMar>
            <w:vAlign w:val="bottom"/>
          </w:tcPr>
          <w:p w14:paraId="669C65C9" w14:textId="77777777" w:rsidR="00066C63" w:rsidRDefault="00066C63">
            <w:pPr>
              <w:jc w:val="right"/>
              <w:rPr>
                <w:rFonts w:ascii="宋体"/>
              </w:rPr>
            </w:pPr>
          </w:p>
        </w:tc>
      </w:tr>
      <w:tr w:rsidR="00066C63" w14:paraId="669C65D5"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65CB" w14:textId="77777777" w:rsidR="00066C63" w:rsidRDefault="009656F6">
            <w:pPr>
              <w:textAlignment w:val="bottom"/>
            </w:pPr>
            <w:r>
              <w:rPr>
                <w:rFonts w:ascii="Arial" w:eastAsia="宋体" w:hAnsi="Arial" w:cs="Arial"/>
                <w:color w:val="000000"/>
                <w:sz w:val="17"/>
                <w:szCs w:val="17"/>
              </w:rPr>
              <w:t>Cost of sales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5CC" w14:textId="77777777" w:rsidR="00066C63" w:rsidRDefault="009656F6">
            <w:pPr>
              <w:jc w:val="right"/>
              <w:textAlignment w:val="bottom"/>
            </w:pPr>
            <w:r>
              <w:rPr>
                <w:rFonts w:ascii="Arial" w:eastAsia="宋体" w:hAnsi="Arial" w:cs="Arial"/>
                <w:color w:val="000000"/>
                <w:sz w:val="17"/>
                <w:szCs w:val="17"/>
              </w:rPr>
              <w:t>17,887 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5CD" w14:textId="77777777" w:rsidR="00066C63" w:rsidRDefault="00066C63">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5CE" w14:textId="77777777" w:rsidR="00066C63" w:rsidRDefault="009656F6">
            <w:pPr>
              <w:jc w:val="right"/>
              <w:textAlignment w:val="bottom"/>
            </w:pPr>
            <w:r>
              <w:rPr>
                <w:rFonts w:ascii="Arial" w:eastAsia="宋体" w:hAnsi="Arial" w:cs="Arial"/>
                <w:color w:val="000000"/>
                <w:sz w:val="17"/>
                <w:szCs w:val="17"/>
              </w:rPr>
              <w:t>110 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5CF" w14:textId="77777777" w:rsidR="00066C63" w:rsidRDefault="00066C63">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65D0" w14:textId="77777777" w:rsidR="00066C63" w:rsidRDefault="00066C63">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5D1" w14:textId="77777777" w:rsidR="00066C63" w:rsidRDefault="009656F6">
            <w:pPr>
              <w:jc w:val="right"/>
              <w:textAlignment w:val="bottom"/>
            </w:pPr>
            <w:r>
              <w:rPr>
                <w:rFonts w:ascii="Arial" w:eastAsia="宋体" w:hAnsi="Arial" w:cs="Arial"/>
                <w:color w:val="000000"/>
                <w:sz w:val="17"/>
                <w:szCs w:val="17"/>
              </w:rPr>
              <w:t>17,202 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5D2"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5D3" w14:textId="77777777" w:rsidR="00066C63" w:rsidRDefault="009656F6">
            <w:pPr>
              <w:jc w:val="right"/>
              <w:textAlignment w:val="bottom"/>
            </w:pPr>
            <w:r>
              <w:rPr>
                <w:rFonts w:ascii="Arial" w:eastAsia="宋体" w:hAnsi="Arial" w:cs="Arial"/>
                <w:color w:val="000000"/>
                <w:sz w:val="17"/>
                <w:szCs w:val="17"/>
              </w:rPr>
              <w:t>287 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5D4" w14:textId="77777777" w:rsidR="00066C63" w:rsidRDefault="00066C63">
            <w:pPr>
              <w:jc w:val="right"/>
              <w:rPr>
                <w:rFonts w:ascii="宋体"/>
              </w:rPr>
            </w:pPr>
          </w:p>
        </w:tc>
      </w:tr>
      <w:tr w:rsidR="00066C63" w14:paraId="669C65E0"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65D6" w14:textId="77777777" w:rsidR="00066C63" w:rsidRDefault="009656F6">
            <w:pPr>
              <w:textAlignment w:val="bottom"/>
            </w:pPr>
            <w:r>
              <w:rPr>
                <w:rFonts w:ascii="Arial" w:eastAsia="宋体" w:hAnsi="Arial" w:cs="Arial"/>
                <w:color w:val="000000"/>
                <w:sz w:val="17"/>
                <w:szCs w:val="17"/>
              </w:rPr>
              <w:t>Demand creation expense</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5D7" w14:textId="77777777" w:rsidR="00066C63" w:rsidRDefault="009656F6">
            <w:pPr>
              <w:jc w:val="right"/>
              <w:textAlignment w:val="bottom"/>
            </w:pPr>
            <w:r>
              <w:rPr>
                <w:rFonts w:ascii="Arial" w:eastAsia="宋体" w:hAnsi="Arial" w:cs="Arial"/>
                <w:color w:val="000000"/>
                <w:sz w:val="17"/>
                <w:szCs w:val="17"/>
              </w:rPr>
              <w:t>2,117 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5D8" w14:textId="77777777" w:rsidR="00066C63" w:rsidRDefault="00066C63">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5D9" w14:textId="77777777" w:rsidR="00066C63" w:rsidRDefault="009656F6">
            <w:pPr>
              <w:jc w:val="right"/>
              <w:textAlignment w:val="bottom"/>
            </w:pPr>
            <w:r>
              <w:rPr>
                <w:rFonts w:ascii="Arial" w:eastAsia="宋体" w:hAnsi="Arial" w:cs="Arial"/>
                <w:color w:val="000000"/>
                <w:sz w:val="17"/>
                <w:szCs w:val="17"/>
              </w:rPr>
              <w:t>2 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5DA" w14:textId="77777777" w:rsidR="00066C63" w:rsidRDefault="00066C63">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65DB" w14:textId="77777777" w:rsidR="00066C63" w:rsidRDefault="00066C63">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5DC" w14:textId="77777777" w:rsidR="00066C63" w:rsidRDefault="009656F6">
            <w:pPr>
              <w:jc w:val="right"/>
              <w:textAlignment w:val="bottom"/>
            </w:pPr>
            <w:r>
              <w:rPr>
                <w:rFonts w:ascii="Arial" w:eastAsia="宋体" w:hAnsi="Arial" w:cs="Arial"/>
                <w:color w:val="000000"/>
                <w:sz w:val="17"/>
                <w:szCs w:val="17"/>
              </w:rPr>
              <w:t>2,769 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5DD"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5DE" w14:textId="77777777" w:rsidR="00066C63" w:rsidRDefault="009656F6">
            <w:pPr>
              <w:jc w:val="right"/>
              <w:textAlignment w:val="bottom"/>
            </w:pPr>
            <w:r>
              <w:rPr>
                <w:rFonts w:ascii="Arial" w:eastAsia="宋体" w:hAnsi="Arial" w:cs="Arial"/>
                <w:color w:val="000000"/>
                <w:sz w:val="17"/>
                <w:szCs w:val="17"/>
              </w:rPr>
              <w:t>(3)</w:t>
            </w:r>
          </w:p>
        </w:tc>
        <w:tc>
          <w:tcPr>
            <w:tcW w:w="0" w:type="auto"/>
            <w:tcBorders>
              <w:top w:val="single" w:sz="8" w:space="0" w:color="808080"/>
            </w:tcBorders>
            <w:shd w:val="clear" w:color="auto" w:fill="auto"/>
            <w:tcMar>
              <w:top w:w="40" w:type="dxa"/>
              <w:left w:w="0" w:type="dxa"/>
              <w:bottom w:w="40" w:type="dxa"/>
              <w:right w:w="20" w:type="dxa"/>
            </w:tcMar>
            <w:vAlign w:val="bottom"/>
          </w:tcPr>
          <w:p w14:paraId="669C65DF" w14:textId="77777777" w:rsidR="00066C63" w:rsidRDefault="00066C63">
            <w:pPr>
              <w:jc w:val="right"/>
              <w:rPr>
                <w:rFonts w:ascii="宋体"/>
              </w:rPr>
            </w:pPr>
          </w:p>
        </w:tc>
      </w:tr>
      <w:tr w:rsidR="00066C63" w14:paraId="669C65EB"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65E1" w14:textId="77777777" w:rsidR="00066C63" w:rsidRDefault="009656F6">
            <w:pPr>
              <w:textAlignment w:val="bottom"/>
            </w:pPr>
            <w:r>
              <w:rPr>
                <w:rFonts w:ascii="Arial" w:eastAsia="宋体" w:hAnsi="Arial" w:cs="Arial"/>
                <w:color w:val="000000"/>
                <w:sz w:val="17"/>
                <w:szCs w:val="17"/>
              </w:rPr>
              <w:t>Oth</w:t>
            </w:r>
            <w:r>
              <w:rPr>
                <w:rFonts w:ascii="Arial" w:eastAsia="宋体" w:hAnsi="Arial" w:cs="Arial"/>
                <w:color w:val="000000"/>
                <w:sz w:val="17"/>
                <w:szCs w:val="17"/>
              </w:rPr>
              <w:t>er (income) expense, net</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5E2" w14:textId="77777777" w:rsidR="00066C63" w:rsidRDefault="009656F6">
            <w:pPr>
              <w:jc w:val="right"/>
              <w:textAlignment w:val="bottom"/>
            </w:pPr>
            <w:r>
              <w:rPr>
                <w:rFonts w:ascii="Arial" w:eastAsia="宋体" w:hAnsi="Arial" w:cs="Arial"/>
                <w:color w:val="000000"/>
                <w:sz w:val="17"/>
                <w:szCs w:val="17"/>
              </w:rPr>
              <w:t>18 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5E3" w14:textId="77777777" w:rsidR="00066C63" w:rsidRDefault="00066C63">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5E4" w14:textId="77777777" w:rsidR="00066C63" w:rsidRDefault="009656F6">
            <w:pPr>
              <w:jc w:val="right"/>
              <w:textAlignment w:val="bottom"/>
            </w:pPr>
            <w:r>
              <w:rPr>
                <w:rFonts w:ascii="Arial" w:eastAsia="宋体" w:hAnsi="Arial" w:cs="Arial"/>
                <w:color w:val="000000"/>
                <w:sz w:val="17"/>
                <w:szCs w:val="17"/>
              </w:rPr>
              <w:t>(31)</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5E5" w14:textId="77777777" w:rsidR="00066C63" w:rsidRDefault="00066C63">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65E6" w14:textId="77777777" w:rsidR="00066C63" w:rsidRDefault="00066C63">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5E7" w14:textId="77777777" w:rsidR="00066C63" w:rsidRDefault="009656F6">
            <w:pPr>
              <w:jc w:val="right"/>
              <w:textAlignment w:val="bottom"/>
            </w:pPr>
            <w:r>
              <w:rPr>
                <w:rFonts w:ascii="Arial" w:eastAsia="宋体" w:hAnsi="Arial" w:cs="Arial"/>
                <w:color w:val="000000"/>
                <w:sz w:val="17"/>
                <w:szCs w:val="17"/>
              </w:rPr>
              <w:t>223 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5E8"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5E9" w14:textId="77777777" w:rsidR="00066C63" w:rsidRDefault="009656F6">
            <w:pPr>
              <w:jc w:val="right"/>
              <w:textAlignment w:val="bottom"/>
            </w:pPr>
            <w:r>
              <w:rPr>
                <w:rFonts w:ascii="Arial" w:eastAsia="宋体" w:hAnsi="Arial" w:cs="Arial"/>
                <w:color w:val="000000"/>
                <w:sz w:val="17"/>
                <w:szCs w:val="17"/>
              </w:rPr>
              <w:t>121 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5EA" w14:textId="77777777" w:rsidR="00066C63" w:rsidRDefault="00066C63">
            <w:pPr>
              <w:jc w:val="right"/>
              <w:rPr>
                <w:rFonts w:ascii="宋体"/>
              </w:rPr>
            </w:pPr>
          </w:p>
        </w:tc>
      </w:tr>
      <w:tr w:rsidR="00066C63" w14:paraId="669C65F6" w14:textId="77777777">
        <w:tc>
          <w:tcPr>
            <w:tcW w:w="0" w:type="auto"/>
            <w:gridSpan w:val="3"/>
            <w:tcBorders>
              <w:top w:val="single" w:sz="8" w:space="0" w:color="808080"/>
              <w:bottom w:val="single" w:sz="8" w:space="0" w:color="E87722"/>
            </w:tcBorders>
            <w:shd w:val="clear" w:color="auto" w:fill="auto"/>
            <w:tcMar>
              <w:top w:w="40" w:type="dxa"/>
              <w:left w:w="20" w:type="dxa"/>
              <w:bottom w:w="40" w:type="dxa"/>
              <w:right w:w="20" w:type="dxa"/>
            </w:tcMar>
            <w:vAlign w:val="bottom"/>
          </w:tcPr>
          <w:p w14:paraId="669C65EC" w14:textId="77777777" w:rsidR="00066C63" w:rsidRDefault="009656F6">
            <w:pPr>
              <w:textAlignment w:val="bottom"/>
            </w:pPr>
            <w:r>
              <w:rPr>
                <w:rFonts w:ascii="Arial" w:eastAsia="宋体" w:hAnsi="Arial" w:cs="Arial"/>
                <w:color w:val="000000"/>
                <w:sz w:val="17"/>
                <w:szCs w:val="17"/>
              </w:rPr>
              <w:t>Interest expense (income), net</w:t>
            </w:r>
          </w:p>
        </w:tc>
        <w:tc>
          <w:tcPr>
            <w:tcW w:w="0" w:type="auto"/>
            <w:gridSpan w:val="2"/>
            <w:tcBorders>
              <w:top w:val="single" w:sz="8" w:space="0" w:color="808080"/>
              <w:bottom w:val="single" w:sz="8" w:space="0" w:color="E87722"/>
            </w:tcBorders>
            <w:shd w:val="clear" w:color="auto" w:fill="FFF1E7"/>
            <w:tcMar>
              <w:top w:w="40" w:type="dxa"/>
              <w:left w:w="20" w:type="dxa"/>
              <w:bottom w:w="40" w:type="dxa"/>
              <w:right w:w="0" w:type="dxa"/>
            </w:tcMar>
            <w:vAlign w:val="bottom"/>
          </w:tcPr>
          <w:p w14:paraId="669C65ED" w14:textId="77777777" w:rsidR="00066C63" w:rsidRDefault="009656F6">
            <w:pPr>
              <w:jc w:val="right"/>
              <w:textAlignment w:val="bottom"/>
            </w:pPr>
            <w:r>
              <w:rPr>
                <w:rFonts w:ascii="Arial" w:eastAsia="宋体" w:hAnsi="Arial" w:cs="Arial"/>
                <w:color w:val="000000"/>
                <w:sz w:val="17"/>
                <w:szCs w:val="17"/>
              </w:rPr>
              <w:t>199 </w:t>
            </w:r>
          </w:p>
        </w:tc>
        <w:tc>
          <w:tcPr>
            <w:tcW w:w="0" w:type="auto"/>
            <w:tcBorders>
              <w:top w:val="single" w:sz="8" w:space="0" w:color="808080"/>
              <w:bottom w:val="single" w:sz="8" w:space="0" w:color="E87722"/>
            </w:tcBorders>
            <w:shd w:val="clear" w:color="auto" w:fill="FFF1E7"/>
            <w:tcMar>
              <w:top w:w="40" w:type="dxa"/>
              <w:left w:w="0" w:type="dxa"/>
              <w:bottom w:w="40" w:type="dxa"/>
              <w:right w:w="20" w:type="dxa"/>
            </w:tcMar>
            <w:vAlign w:val="bottom"/>
          </w:tcPr>
          <w:p w14:paraId="669C65EE" w14:textId="77777777" w:rsidR="00066C63" w:rsidRDefault="00066C63">
            <w:pPr>
              <w:jc w:val="right"/>
              <w:rPr>
                <w:rFonts w:ascii="宋体"/>
              </w:rPr>
            </w:pPr>
          </w:p>
        </w:tc>
        <w:tc>
          <w:tcPr>
            <w:tcW w:w="0" w:type="auto"/>
            <w:gridSpan w:val="2"/>
            <w:tcBorders>
              <w:top w:val="single" w:sz="8" w:space="0" w:color="808080"/>
              <w:bottom w:val="single" w:sz="8" w:space="0" w:color="E87722"/>
            </w:tcBorders>
            <w:shd w:val="clear" w:color="auto" w:fill="FFF1E7"/>
            <w:tcMar>
              <w:top w:w="40" w:type="dxa"/>
              <w:left w:w="20" w:type="dxa"/>
              <w:bottom w:w="40" w:type="dxa"/>
              <w:right w:w="0" w:type="dxa"/>
            </w:tcMar>
            <w:vAlign w:val="bottom"/>
          </w:tcPr>
          <w:p w14:paraId="669C65EF" w14:textId="77777777" w:rsidR="00066C63" w:rsidRDefault="009656F6">
            <w:pPr>
              <w:jc w:val="right"/>
              <w:textAlignment w:val="bottom"/>
            </w:pPr>
            <w:r>
              <w:rPr>
                <w:rFonts w:ascii="Arial" w:eastAsia="宋体" w:hAnsi="Arial" w:cs="Arial"/>
                <w:color w:val="000000"/>
                <w:sz w:val="17"/>
                <w:szCs w:val="17"/>
              </w:rPr>
              <w:t>(5)</w:t>
            </w:r>
          </w:p>
        </w:tc>
        <w:tc>
          <w:tcPr>
            <w:tcW w:w="0" w:type="auto"/>
            <w:tcBorders>
              <w:top w:val="single" w:sz="8" w:space="0" w:color="808080"/>
              <w:bottom w:val="single" w:sz="8" w:space="0" w:color="E87722"/>
            </w:tcBorders>
            <w:shd w:val="clear" w:color="auto" w:fill="FFF1E7"/>
            <w:tcMar>
              <w:top w:w="40" w:type="dxa"/>
              <w:left w:w="0" w:type="dxa"/>
              <w:bottom w:w="40" w:type="dxa"/>
              <w:right w:w="20" w:type="dxa"/>
            </w:tcMar>
            <w:vAlign w:val="bottom"/>
          </w:tcPr>
          <w:p w14:paraId="669C65F0" w14:textId="77777777" w:rsidR="00066C63" w:rsidRDefault="00066C63">
            <w:pPr>
              <w:jc w:val="right"/>
              <w:rPr>
                <w:rFonts w:ascii="宋体"/>
              </w:rPr>
            </w:pPr>
          </w:p>
        </w:tc>
        <w:tc>
          <w:tcPr>
            <w:tcW w:w="0" w:type="auto"/>
            <w:gridSpan w:val="3"/>
            <w:tcBorders>
              <w:top w:val="single" w:sz="8" w:space="0" w:color="808080"/>
              <w:bottom w:val="single" w:sz="8" w:space="0" w:color="E87722"/>
            </w:tcBorders>
            <w:shd w:val="clear" w:color="auto" w:fill="auto"/>
            <w:tcMar>
              <w:top w:w="0" w:type="dxa"/>
              <w:left w:w="20" w:type="dxa"/>
              <w:bottom w:w="0" w:type="dxa"/>
              <w:right w:w="20" w:type="dxa"/>
            </w:tcMar>
          </w:tcPr>
          <w:p w14:paraId="669C65F1" w14:textId="77777777" w:rsidR="00066C63" w:rsidRDefault="00066C63">
            <w:pPr>
              <w:rPr>
                <w:rFonts w:ascii="宋体"/>
              </w:rPr>
            </w:pPr>
          </w:p>
        </w:tc>
        <w:tc>
          <w:tcPr>
            <w:tcW w:w="0" w:type="auto"/>
            <w:gridSpan w:val="2"/>
            <w:tcBorders>
              <w:top w:val="single" w:sz="8" w:space="0" w:color="808080"/>
              <w:bottom w:val="single" w:sz="8" w:space="0" w:color="E87722"/>
            </w:tcBorders>
            <w:shd w:val="clear" w:color="auto" w:fill="auto"/>
            <w:tcMar>
              <w:top w:w="40" w:type="dxa"/>
              <w:left w:w="20" w:type="dxa"/>
              <w:bottom w:w="40" w:type="dxa"/>
              <w:right w:w="0" w:type="dxa"/>
            </w:tcMar>
            <w:vAlign w:val="bottom"/>
          </w:tcPr>
          <w:p w14:paraId="669C65F2" w14:textId="77777777" w:rsidR="00066C63" w:rsidRDefault="009656F6">
            <w:pPr>
              <w:jc w:val="right"/>
              <w:textAlignment w:val="bottom"/>
            </w:pPr>
            <w:r>
              <w:rPr>
                <w:rFonts w:ascii="Arial" w:eastAsia="宋体" w:hAnsi="Arial" w:cs="Arial"/>
                <w:color w:val="000000"/>
                <w:sz w:val="17"/>
                <w:szCs w:val="17"/>
              </w:rPr>
              <w:t>39 </w:t>
            </w:r>
          </w:p>
        </w:tc>
        <w:tc>
          <w:tcPr>
            <w:tcW w:w="0" w:type="auto"/>
            <w:tcBorders>
              <w:top w:val="single" w:sz="8" w:space="0" w:color="808080"/>
              <w:bottom w:val="single" w:sz="8" w:space="0" w:color="E87722"/>
            </w:tcBorders>
            <w:shd w:val="clear" w:color="auto" w:fill="auto"/>
            <w:tcMar>
              <w:top w:w="40" w:type="dxa"/>
              <w:left w:w="0" w:type="dxa"/>
              <w:bottom w:w="40" w:type="dxa"/>
              <w:right w:w="20" w:type="dxa"/>
            </w:tcMar>
            <w:vAlign w:val="bottom"/>
          </w:tcPr>
          <w:p w14:paraId="669C65F3" w14:textId="77777777" w:rsidR="00066C63" w:rsidRDefault="00066C63">
            <w:pPr>
              <w:jc w:val="right"/>
              <w:rPr>
                <w:rFonts w:ascii="宋体"/>
              </w:rPr>
            </w:pPr>
          </w:p>
        </w:tc>
        <w:tc>
          <w:tcPr>
            <w:tcW w:w="0" w:type="auto"/>
            <w:gridSpan w:val="2"/>
            <w:tcBorders>
              <w:top w:val="single" w:sz="8" w:space="0" w:color="808080"/>
              <w:bottom w:val="single" w:sz="8" w:space="0" w:color="E87722"/>
            </w:tcBorders>
            <w:shd w:val="clear" w:color="auto" w:fill="auto"/>
            <w:tcMar>
              <w:top w:w="40" w:type="dxa"/>
              <w:left w:w="20" w:type="dxa"/>
              <w:bottom w:w="40" w:type="dxa"/>
              <w:right w:w="0" w:type="dxa"/>
            </w:tcMar>
            <w:vAlign w:val="bottom"/>
          </w:tcPr>
          <w:p w14:paraId="669C65F4" w14:textId="77777777" w:rsidR="00066C63" w:rsidRDefault="009656F6">
            <w:pPr>
              <w:jc w:val="right"/>
              <w:textAlignment w:val="bottom"/>
            </w:pPr>
            <w:r>
              <w:rPr>
                <w:rFonts w:ascii="Arial" w:eastAsia="宋体" w:hAnsi="Arial" w:cs="Arial"/>
                <w:color w:val="000000"/>
                <w:sz w:val="17"/>
                <w:szCs w:val="17"/>
              </w:rPr>
              <w:t>(5)</w:t>
            </w:r>
          </w:p>
        </w:tc>
        <w:tc>
          <w:tcPr>
            <w:tcW w:w="0" w:type="auto"/>
            <w:tcBorders>
              <w:top w:val="single" w:sz="8" w:space="0" w:color="808080"/>
              <w:bottom w:val="single" w:sz="8" w:space="0" w:color="E87722"/>
            </w:tcBorders>
            <w:shd w:val="clear" w:color="auto" w:fill="auto"/>
            <w:tcMar>
              <w:top w:w="40" w:type="dxa"/>
              <w:left w:w="0" w:type="dxa"/>
              <w:bottom w:w="40" w:type="dxa"/>
              <w:right w:w="20" w:type="dxa"/>
            </w:tcMar>
            <w:vAlign w:val="bottom"/>
          </w:tcPr>
          <w:p w14:paraId="669C65F5" w14:textId="77777777" w:rsidR="00066C63" w:rsidRDefault="00066C63">
            <w:pPr>
              <w:jc w:val="right"/>
              <w:rPr>
                <w:rFonts w:ascii="宋体"/>
              </w:rPr>
            </w:pPr>
          </w:p>
        </w:tc>
      </w:tr>
    </w:tbl>
    <w:p w14:paraId="669C65F7" w14:textId="77777777" w:rsidR="00066C63" w:rsidRDefault="009656F6">
      <w:pPr>
        <w:spacing w:before="120" w:after="120"/>
      </w:pPr>
      <w:r>
        <w:rPr>
          <w:rFonts w:ascii="Arial" w:eastAsia="宋体" w:hAnsi="Arial" w:cs="Arial"/>
          <w:color w:val="000000"/>
          <w:sz w:val="17"/>
          <w:szCs w:val="17"/>
        </w:rPr>
        <w:t>The following tables present the amounts affecting the Unaudited Condensed Consolidated Statements of Income:</w:t>
      </w:r>
    </w:p>
    <w:tbl>
      <w:tblPr>
        <w:tblW w:w="5000" w:type="pct"/>
        <w:tblCellMar>
          <w:top w:w="15" w:type="dxa"/>
          <w:left w:w="15" w:type="dxa"/>
          <w:bottom w:w="15" w:type="dxa"/>
          <w:right w:w="15" w:type="dxa"/>
        </w:tblCellMar>
        <w:tblLook w:val="04A0" w:firstRow="1" w:lastRow="0" w:firstColumn="1" w:lastColumn="0" w:noHBand="0" w:noVBand="1"/>
      </w:tblPr>
      <w:tblGrid>
        <w:gridCol w:w="41"/>
        <w:gridCol w:w="1977"/>
        <w:gridCol w:w="38"/>
        <w:gridCol w:w="117"/>
        <w:gridCol w:w="778"/>
        <w:gridCol w:w="38"/>
        <w:gridCol w:w="117"/>
        <w:gridCol w:w="778"/>
        <w:gridCol w:w="37"/>
        <w:gridCol w:w="36"/>
        <w:gridCol w:w="36"/>
        <w:gridCol w:w="36"/>
        <w:gridCol w:w="44"/>
        <w:gridCol w:w="2280"/>
        <w:gridCol w:w="37"/>
        <w:gridCol w:w="37"/>
        <w:gridCol w:w="37"/>
        <w:gridCol w:w="37"/>
        <w:gridCol w:w="116"/>
        <w:gridCol w:w="748"/>
        <w:gridCol w:w="37"/>
        <w:gridCol w:w="116"/>
        <w:gridCol w:w="781"/>
        <w:gridCol w:w="37"/>
      </w:tblGrid>
      <w:tr w:rsidR="00066C63" w14:paraId="669C6610" w14:textId="77777777">
        <w:tc>
          <w:tcPr>
            <w:tcW w:w="50" w:type="pct"/>
            <w:shd w:val="clear" w:color="auto" w:fill="auto"/>
          </w:tcPr>
          <w:p w14:paraId="669C65F8" w14:textId="77777777" w:rsidR="00066C63" w:rsidRDefault="00066C63">
            <w:pPr>
              <w:rPr>
                <w:rFonts w:ascii="宋体"/>
              </w:rPr>
            </w:pPr>
          </w:p>
        </w:tc>
        <w:tc>
          <w:tcPr>
            <w:tcW w:w="1210" w:type="pct"/>
            <w:shd w:val="clear" w:color="auto" w:fill="auto"/>
          </w:tcPr>
          <w:p w14:paraId="669C65F9" w14:textId="77777777" w:rsidR="00066C63" w:rsidRDefault="00066C63">
            <w:pPr>
              <w:rPr>
                <w:rFonts w:ascii="宋体"/>
              </w:rPr>
            </w:pPr>
          </w:p>
        </w:tc>
        <w:tc>
          <w:tcPr>
            <w:tcW w:w="5" w:type="pct"/>
            <w:shd w:val="clear" w:color="auto" w:fill="auto"/>
          </w:tcPr>
          <w:p w14:paraId="669C65FA" w14:textId="77777777" w:rsidR="00066C63" w:rsidRDefault="00066C63">
            <w:pPr>
              <w:rPr>
                <w:rFonts w:ascii="宋体"/>
              </w:rPr>
            </w:pPr>
          </w:p>
        </w:tc>
        <w:tc>
          <w:tcPr>
            <w:tcW w:w="50" w:type="pct"/>
            <w:shd w:val="clear" w:color="auto" w:fill="auto"/>
          </w:tcPr>
          <w:p w14:paraId="669C65FB" w14:textId="77777777" w:rsidR="00066C63" w:rsidRDefault="00066C63">
            <w:pPr>
              <w:rPr>
                <w:rFonts w:ascii="宋体"/>
              </w:rPr>
            </w:pPr>
          </w:p>
        </w:tc>
        <w:tc>
          <w:tcPr>
            <w:tcW w:w="492" w:type="pct"/>
            <w:shd w:val="clear" w:color="auto" w:fill="auto"/>
          </w:tcPr>
          <w:p w14:paraId="669C65FC" w14:textId="77777777" w:rsidR="00066C63" w:rsidRDefault="00066C63">
            <w:pPr>
              <w:rPr>
                <w:rFonts w:ascii="宋体"/>
              </w:rPr>
            </w:pPr>
          </w:p>
        </w:tc>
        <w:tc>
          <w:tcPr>
            <w:tcW w:w="5" w:type="pct"/>
            <w:shd w:val="clear" w:color="auto" w:fill="auto"/>
          </w:tcPr>
          <w:p w14:paraId="669C65FD" w14:textId="77777777" w:rsidR="00066C63" w:rsidRDefault="00066C63">
            <w:pPr>
              <w:rPr>
                <w:rFonts w:ascii="宋体"/>
              </w:rPr>
            </w:pPr>
          </w:p>
        </w:tc>
        <w:tc>
          <w:tcPr>
            <w:tcW w:w="50" w:type="pct"/>
            <w:shd w:val="clear" w:color="auto" w:fill="auto"/>
          </w:tcPr>
          <w:p w14:paraId="669C65FE" w14:textId="77777777" w:rsidR="00066C63" w:rsidRDefault="00066C63">
            <w:pPr>
              <w:rPr>
                <w:rFonts w:ascii="宋体"/>
              </w:rPr>
            </w:pPr>
          </w:p>
        </w:tc>
        <w:tc>
          <w:tcPr>
            <w:tcW w:w="492" w:type="pct"/>
            <w:shd w:val="clear" w:color="auto" w:fill="auto"/>
          </w:tcPr>
          <w:p w14:paraId="669C65FF" w14:textId="77777777" w:rsidR="00066C63" w:rsidRDefault="00066C63">
            <w:pPr>
              <w:rPr>
                <w:rFonts w:ascii="宋体"/>
              </w:rPr>
            </w:pPr>
          </w:p>
        </w:tc>
        <w:tc>
          <w:tcPr>
            <w:tcW w:w="5" w:type="pct"/>
            <w:shd w:val="clear" w:color="auto" w:fill="auto"/>
          </w:tcPr>
          <w:p w14:paraId="669C6600" w14:textId="77777777" w:rsidR="00066C63" w:rsidRDefault="00066C63">
            <w:pPr>
              <w:rPr>
                <w:rFonts w:ascii="宋体"/>
              </w:rPr>
            </w:pPr>
          </w:p>
        </w:tc>
        <w:tc>
          <w:tcPr>
            <w:tcW w:w="5" w:type="pct"/>
            <w:shd w:val="clear" w:color="auto" w:fill="auto"/>
          </w:tcPr>
          <w:p w14:paraId="669C6601" w14:textId="77777777" w:rsidR="00066C63" w:rsidRDefault="00066C63">
            <w:pPr>
              <w:rPr>
                <w:rFonts w:ascii="宋体"/>
              </w:rPr>
            </w:pPr>
          </w:p>
        </w:tc>
        <w:tc>
          <w:tcPr>
            <w:tcW w:w="28" w:type="pct"/>
            <w:shd w:val="clear" w:color="auto" w:fill="auto"/>
          </w:tcPr>
          <w:p w14:paraId="669C6602" w14:textId="77777777" w:rsidR="00066C63" w:rsidRDefault="00066C63">
            <w:pPr>
              <w:rPr>
                <w:rFonts w:ascii="宋体"/>
              </w:rPr>
            </w:pPr>
          </w:p>
        </w:tc>
        <w:tc>
          <w:tcPr>
            <w:tcW w:w="5" w:type="pct"/>
            <w:shd w:val="clear" w:color="auto" w:fill="auto"/>
          </w:tcPr>
          <w:p w14:paraId="669C6603" w14:textId="77777777" w:rsidR="00066C63" w:rsidRDefault="00066C63">
            <w:pPr>
              <w:rPr>
                <w:rFonts w:ascii="宋体"/>
              </w:rPr>
            </w:pPr>
          </w:p>
        </w:tc>
        <w:tc>
          <w:tcPr>
            <w:tcW w:w="50" w:type="pct"/>
            <w:shd w:val="clear" w:color="auto" w:fill="auto"/>
          </w:tcPr>
          <w:p w14:paraId="669C6604" w14:textId="77777777" w:rsidR="00066C63" w:rsidRDefault="00066C63">
            <w:pPr>
              <w:rPr>
                <w:rFonts w:ascii="宋体"/>
              </w:rPr>
            </w:pPr>
          </w:p>
        </w:tc>
        <w:tc>
          <w:tcPr>
            <w:tcW w:w="1411" w:type="pct"/>
            <w:shd w:val="clear" w:color="auto" w:fill="auto"/>
          </w:tcPr>
          <w:p w14:paraId="669C6605" w14:textId="77777777" w:rsidR="00066C63" w:rsidRDefault="00066C63">
            <w:pPr>
              <w:rPr>
                <w:rFonts w:ascii="宋体"/>
              </w:rPr>
            </w:pPr>
          </w:p>
        </w:tc>
        <w:tc>
          <w:tcPr>
            <w:tcW w:w="5" w:type="pct"/>
            <w:shd w:val="clear" w:color="auto" w:fill="auto"/>
          </w:tcPr>
          <w:p w14:paraId="669C6606" w14:textId="77777777" w:rsidR="00066C63" w:rsidRDefault="00066C63">
            <w:pPr>
              <w:rPr>
                <w:rFonts w:ascii="宋体"/>
              </w:rPr>
            </w:pPr>
          </w:p>
        </w:tc>
        <w:tc>
          <w:tcPr>
            <w:tcW w:w="5" w:type="pct"/>
            <w:shd w:val="clear" w:color="auto" w:fill="auto"/>
          </w:tcPr>
          <w:p w14:paraId="669C6607" w14:textId="77777777" w:rsidR="00066C63" w:rsidRDefault="00066C63">
            <w:pPr>
              <w:rPr>
                <w:rFonts w:ascii="宋体"/>
              </w:rPr>
            </w:pPr>
          </w:p>
        </w:tc>
        <w:tc>
          <w:tcPr>
            <w:tcW w:w="28" w:type="pct"/>
            <w:shd w:val="clear" w:color="auto" w:fill="auto"/>
          </w:tcPr>
          <w:p w14:paraId="669C6608" w14:textId="77777777" w:rsidR="00066C63" w:rsidRDefault="00066C63">
            <w:pPr>
              <w:rPr>
                <w:rFonts w:ascii="宋体"/>
              </w:rPr>
            </w:pPr>
          </w:p>
        </w:tc>
        <w:tc>
          <w:tcPr>
            <w:tcW w:w="5" w:type="pct"/>
            <w:shd w:val="clear" w:color="auto" w:fill="auto"/>
          </w:tcPr>
          <w:p w14:paraId="669C6609" w14:textId="77777777" w:rsidR="00066C63" w:rsidRDefault="00066C63">
            <w:pPr>
              <w:rPr>
                <w:rFonts w:ascii="宋体"/>
              </w:rPr>
            </w:pPr>
          </w:p>
        </w:tc>
        <w:tc>
          <w:tcPr>
            <w:tcW w:w="50" w:type="pct"/>
            <w:shd w:val="clear" w:color="auto" w:fill="auto"/>
          </w:tcPr>
          <w:p w14:paraId="669C660A" w14:textId="77777777" w:rsidR="00066C63" w:rsidRDefault="00066C63">
            <w:pPr>
              <w:rPr>
                <w:rFonts w:ascii="宋体"/>
              </w:rPr>
            </w:pPr>
          </w:p>
        </w:tc>
        <w:tc>
          <w:tcPr>
            <w:tcW w:w="492" w:type="pct"/>
            <w:shd w:val="clear" w:color="auto" w:fill="auto"/>
          </w:tcPr>
          <w:p w14:paraId="669C660B" w14:textId="77777777" w:rsidR="00066C63" w:rsidRDefault="00066C63">
            <w:pPr>
              <w:rPr>
                <w:rFonts w:ascii="宋体"/>
              </w:rPr>
            </w:pPr>
          </w:p>
        </w:tc>
        <w:tc>
          <w:tcPr>
            <w:tcW w:w="5" w:type="pct"/>
            <w:shd w:val="clear" w:color="auto" w:fill="auto"/>
          </w:tcPr>
          <w:p w14:paraId="669C660C" w14:textId="77777777" w:rsidR="00066C63" w:rsidRDefault="00066C63">
            <w:pPr>
              <w:rPr>
                <w:rFonts w:ascii="宋体"/>
              </w:rPr>
            </w:pPr>
          </w:p>
        </w:tc>
        <w:tc>
          <w:tcPr>
            <w:tcW w:w="50" w:type="pct"/>
            <w:shd w:val="clear" w:color="auto" w:fill="auto"/>
          </w:tcPr>
          <w:p w14:paraId="669C660D" w14:textId="77777777" w:rsidR="00066C63" w:rsidRDefault="00066C63">
            <w:pPr>
              <w:rPr>
                <w:rFonts w:ascii="宋体"/>
              </w:rPr>
            </w:pPr>
          </w:p>
        </w:tc>
        <w:tc>
          <w:tcPr>
            <w:tcW w:w="493" w:type="pct"/>
            <w:shd w:val="clear" w:color="auto" w:fill="auto"/>
          </w:tcPr>
          <w:p w14:paraId="669C660E" w14:textId="77777777" w:rsidR="00066C63" w:rsidRDefault="00066C63">
            <w:pPr>
              <w:rPr>
                <w:rFonts w:ascii="宋体"/>
              </w:rPr>
            </w:pPr>
          </w:p>
        </w:tc>
        <w:tc>
          <w:tcPr>
            <w:tcW w:w="5" w:type="pct"/>
            <w:shd w:val="clear" w:color="auto" w:fill="auto"/>
          </w:tcPr>
          <w:p w14:paraId="669C660F" w14:textId="77777777" w:rsidR="00066C63" w:rsidRDefault="00066C63">
            <w:pPr>
              <w:rPr>
                <w:rFonts w:ascii="宋体"/>
              </w:rPr>
            </w:pPr>
          </w:p>
        </w:tc>
      </w:tr>
      <w:tr w:rsidR="00066C63" w14:paraId="669C6619" w14:textId="77777777">
        <w:trPr>
          <w:trHeight w:val="780"/>
        </w:trPr>
        <w:tc>
          <w:tcPr>
            <w:tcW w:w="0" w:type="auto"/>
            <w:gridSpan w:val="3"/>
            <w:vMerge w:val="restart"/>
            <w:shd w:val="clear" w:color="auto" w:fill="auto"/>
            <w:tcMar>
              <w:top w:w="40" w:type="dxa"/>
              <w:left w:w="20" w:type="dxa"/>
              <w:bottom w:w="40" w:type="dxa"/>
              <w:right w:w="20" w:type="dxa"/>
            </w:tcMar>
            <w:vAlign w:val="bottom"/>
          </w:tcPr>
          <w:p w14:paraId="669C6611" w14:textId="77777777" w:rsidR="00066C63" w:rsidRDefault="00066C63">
            <w:pPr>
              <w:textAlignment w:val="bottom"/>
            </w:pPr>
          </w:p>
          <w:p w14:paraId="669C6612" w14:textId="77777777" w:rsidR="00066C63" w:rsidRDefault="009656F6">
            <w:pPr>
              <w:textAlignment w:val="bottom"/>
            </w:pPr>
            <w:r>
              <w:rPr>
                <w:rFonts w:ascii="Arial Narrow" w:eastAsia="Arial Narrow" w:hAnsi="Arial Narrow" w:cs="Arial Narrow"/>
                <w:i/>
                <w:iCs/>
                <w:color w:val="000000"/>
                <w:sz w:val="17"/>
                <w:szCs w:val="17"/>
              </w:rPr>
              <w:t>(Dollars in millions)</w:t>
            </w:r>
          </w:p>
        </w:tc>
        <w:tc>
          <w:tcPr>
            <w:tcW w:w="0" w:type="auto"/>
            <w:gridSpan w:val="6"/>
            <w:tcBorders>
              <w:bottom w:val="single" w:sz="8" w:space="0" w:color="E87722"/>
            </w:tcBorders>
            <w:shd w:val="clear" w:color="auto" w:fill="auto"/>
            <w:tcMar>
              <w:top w:w="40" w:type="dxa"/>
              <w:left w:w="20" w:type="dxa"/>
              <w:bottom w:w="40" w:type="dxa"/>
              <w:right w:w="20" w:type="dxa"/>
            </w:tcMar>
            <w:vAlign w:val="bottom"/>
          </w:tcPr>
          <w:p w14:paraId="669C6613" w14:textId="77777777" w:rsidR="00066C63" w:rsidRDefault="009656F6">
            <w:pPr>
              <w:jc w:val="center"/>
              <w:textAlignment w:val="bottom"/>
            </w:pPr>
            <w:r>
              <w:rPr>
                <w:rFonts w:ascii="sans-serif" w:eastAsia="sans-serif" w:hAnsi="sans-serif" w:cs="sans-serif"/>
                <w:b/>
                <w:bCs/>
                <w:color w:val="000000"/>
                <w:sz w:val="17"/>
                <w:szCs w:val="17"/>
              </w:rPr>
              <w:t xml:space="preserve">AMOUNT OF GAIN (LOSS) RECOGNIZED IN OTHER </w:t>
            </w:r>
            <w:r>
              <w:rPr>
                <w:rFonts w:ascii="sans-serif" w:eastAsia="sans-serif" w:hAnsi="sans-serif" w:cs="sans-serif"/>
                <w:b/>
                <w:bCs/>
                <w:color w:val="000000"/>
                <w:sz w:val="17"/>
                <w:szCs w:val="17"/>
              </w:rPr>
              <w:br/>
              <w:t>COMPREHENSIVE INCOME (LOSS) ON DERIVATIVES</w:t>
            </w:r>
            <w:r>
              <w:rPr>
                <w:rFonts w:ascii="sans-serif" w:eastAsia="sans-serif" w:hAnsi="sans-serif" w:cs="sans-serif"/>
                <w:b/>
                <w:bCs/>
                <w:color w:val="000000"/>
                <w:sz w:val="9"/>
                <w:szCs w:val="9"/>
              </w:rPr>
              <w:t>(1)</w:t>
            </w:r>
          </w:p>
        </w:tc>
        <w:tc>
          <w:tcPr>
            <w:tcW w:w="0" w:type="auto"/>
            <w:gridSpan w:val="3"/>
            <w:shd w:val="clear" w:color="auto" w:fill="auto"/>
            <w:tcMar>
              <w:top w:w="0" w:type="dxa"/>
              <w:left w:w="20" w:type="dxa"/>
              <w:bottom w:w="0" w:type="dxa"/>
              <w:right w:w="20" w:type="dxa"/>
            </w:tcMar>
          </w:tcPr>
          <w:p w14:paraId="669C6614" w14:textId="77777777" w:rsidR="00066C63" w:rsidRDefault="00066C63">
            <w:pPr>
              <w:rPr>
                <w:rFonts w:ascii="宋体"/>
              </w:rPr>
            </w:pPr>
          </w:p>
        </w:tc>
        <w:tc>
          <w:tcPr>
            <w:tcW w:w="0" w:type="auto"/>
            <w:gridSpan w:val="12"/>
            <w:tcBorders>
              <w:bottom w:val="single" w:sz="8" w:space="0" w:color="E87722"/>
            </w:tcBorders>
            <w:shd w:val="clear" w:color="auto" w:fill="auto"/>
            <w:tcMar>
              <w:top w:w="40" w:type="dxa"/>
              <w:left w:w="20" w:type="dxa"/>
              <w:bottom w:w="40" w:type="dxa"/>
              <w:right w:w="20" w:type="dxa"/>
            </w:tcMar>
            <w:vAlign w:val="bottom"/>
          </w:tcPr>
          <w:p w14:paraId="669C6615" w14:textId="77777777" w:rsidR="00066C63" w:rsidRDefault="009656F6">
            <w:pPr>
              <w:jc w:val="center"/>
              <w:textAlignment w:val="bottom"/>
            </w:pPr>
            <w:r>
              <w:rPr>
                <w:rFonts w:ascii="sans-serif" w:eastAsia="sans-serif" w:hAnsi="sans-serif" w:cs="sans-serif"/>
                <w:b/>
                <w:bCs/>
                <w:color w:val="000000"/>
                <w:sz w:val="17"/>
                <w:szCs w:val="17"/>
              </w:rPr>
              <w:t xml:space="preserve">AMOUNT OF GAIN (LOSS) </w:t>
            </w:r>
          </w:p>
          <w:p w14:paraId="669C6616" w14:textId="77777777" w:rsidR="00066C63" w:rsidRDefault="009656F6">
            <w:pPr>
              <w:jc w:val="center"/>
              <w:textAlignment w:val="bottom"/>
            </w:pPr>
            <w:r>
              <w:rPr>
                <w:rFonts w:ascii="sans-serif" w:eastAsia="sans-serif" w:hAnsi="sans-serif" w:cs="sans-serif"/>
                <w:b/>
                <w:bCs/>
                <w:color w:val="000000"/>
                <w:sz w:val="17"/>
                <w:szCs w:val="17"/>
              </w:rPr>
              <w:t xml:space="preserve">RECLASSIFIED FROM ACCUMULATED </w:t>
            </w:r>
          </w:p>
          <w:p w14:paraId="669C6617" w14:textId="77777777" w:rsidR="00066C63" w:rsidRDefault="009656F6">
            <w:pPr>
              <w:jc w:val="center"/>
              <w:textAlignment w:val="bottom"/>
            </w:pPr>
            <w:r>
              <w:rPr>
                <w:rFonts w:ascii="sans-serif" w:eastAsia="sans-serif" w:hAnsi="sans-serif" w:cs="sans-serif"/>
                <w:b/>
                <w:bCs/>
                <w:color w:val="000000"/>
                <w:sz w:val="17"/>
                <w:szCs w:val="17"/>
              </w:rPr>
              <w:t xml:space="preserve">OTHER COMPREHENSIVE </w:t>
            </w:r>
          </w:p>
          <w:p w14:paraId="669C6618" w14:textId="77777777" w:rsidR="00066C63" w:rsidRDefault="009656F6">
            <w:pPr>
              <w:jc w:val="center"/>
              <w:textAlignment w:val="bottom"/>
            </w:pPr>
            <w:r>
              <w:rPr>
                <w:rFonts w:ascii="sans-serif" w:eastAsia="sans-serif" w:hAnsi="sans-serif" w:cs="sans-serif"/>
                <w:b/>
                <w:bCs/>
                <w:color w:val="000000"/>
                <w:sz w:val="17"/>
                <w:szCs w:val="17"/>
              </w:rPr>
              <w:t xml:space="preserve">INCOME (LOSS) INTO </w:t>
            </w:r>
            <w:r>
              <w:rPr>
                <w:rFonts w:ascii="sans-serif" w:eastAsia="sans-serif" w:hAnsi="sans-serif" w:cs="sans-serif"/>
                <w:b/>
                <w:bCs/>
                <w:color w:val="000000"/>
                <w:sz w:val="17"/>
                <w:szCs w:val="17"/>
              </w:rPr>
              <w:t>INCOME</w:t>
            </w:r>
            <w:r>
              <w:rPr>
                <w:rFonts w:ascii="sans-serif" w:eastAsia="sans-serif" w:hAnsi="sans-serif" w:cs="sans-serif"/>
                <w:b/>
                <w:bCs/>
                <w:color w:val="000000"/>
                <w:sz w:val="11"/>
                <w:szCs w:val="11"/>
              </w:rPr>
              <w:t>(1)</w:t>
            </w:r>
          </w:p>
        </w:tc>
      </w:tr>
      <w:tr w:rsidR="00066C63" w14:paraId="669C6620" w14:textId="77777777">
        <w:trPr>
          <w:trHeight w:val="300"/>
        </w:trPr>
        <w:tc>
          <w:tcPr>
            <w:tcW w:w="0" w:type="auto"/>
            <w:gridSpan w:val="3"/>
            <w:vMerge/>
            <w:shd w:val="clear" w:color="auto" w:fill="auto"/>
            <w:tcMar>
              <w:top w:w="40" w:type="dxa"/>
              <w:left w:w="20" w:type="dxa"/>
              <w:bottom w:w="40" w:type="dxa"/>
              <w:right w:w="20" w:type="dxa"/>
            </w:tcMar>
            <w:vAlign w:val="bottom"/>
          </w:tcPr>
          <w:p w14:paraId="669C661A" w14:textId="77777777" w:rsidR="00066C63" w:rsidRDefault="00066C63">
            <w:pPr>
              <w:rPr>
                <w:rFonts w:ascii="宋体"/>
              </w:rPr>
            </w:pPr>
          </w:p>
        </w:tc>
        <w:tc>
          <w:tcPr>
            <w:tcW w:w="0" w:type="auto"/>
            <w:gridSpan w:val="6"/>
            <w:tcBorders>
              <w:top w:val="single" w:sz="8" w:space="0" w:color="E87722"/>
            </w:tcBorders>
            <w:shd w:val="clear" w:color="auto" w:fill="auto"/>
            <w:tcMar>
              <w:top w:w="40" w:type="dxa"/>
              <w:left w:w="20" w:type="dxa"/>
              <w:bottom w:w="40" w:type="dxa"/>
              <w:right w:w="20" w:type="dxa"/>
            </w:tcMar>
            <w:vAlign w:val="bottom"/>
          </w:tcPr>
          <w:p w14:paraId="669C661B" w14:textId="77777777" w:rsidR="00066C63" w:rsidRDefault="009656F6">
            <w:pPr>
              <w:jc w:val="center"/>
              <w:textAlignment w:val="bottom"/>
            </w:pPr>
            <w:r>
              <w:rPr>
                <w:rFonts w:ascii="sans-serif" w:eastAsia="sans-serif" w:hAnsi="sans-serif" w:cs="sans-serif"/>
                <w:b/>
                <w:bCs/>
                <w:color w:val="000000"/>
                <w:sz w:val="17"/>
                <w:szCs w:val="17"/>
              </w:rPr>
              <w:t xml:space="preserve">THREE MONTHS ENDED </w:t>
            </w:r>
          </w:p>
        </w:tc>
        <w:tc>
          <w:tcPr>
            <w:tcW w:w="0" w:type="auto"/>
            <w:gridSpan w:val="3"/>
            <w:shd w:val="clear" w:color="auto" w:fill="auto"/>
            <w:tcMar>
              <w:top w:w="0" w:type="dxa"/>
              <w:left w:w="20" w:type="dxa"/>
              <w:bottom w:w="0" w:type="dxa"/>
              <w:right w:w="20" w:type="dxa"/>
            </w:tcMar>
          </w:tcPr>
          <w:p w14:paraId="669C661C" w14:textId="77777777" w:rsidR="00066C63" w:rsidRDefault="00066C63">
            <w:pPr>
              <w:rPr>
                <w:rFonts w:ascii="宋体"/>
              </w:rPr>
            </w:pPr>
          </w:p>
        </w:tc>
        <w:tc>
          <w:tcPr>
            <w:tcW w:w="0" w:type="auto"/>
            <w:gridSpan w:val="3"/>
            <w:vMerge w:val="restart"/>
            <w:tcBorders>
              <w:top w:val="single" w:sz="8" w:space="0" w:color="E87722"/>
            </w:tcBorders>
            <w:shd w:val="clear" w:color="auto" w:fill="auto"/>
            <w:tcMar>
              <w:top w:w="40" w:type="dxa"/>
              <w:left w:w="20" w:type="dxa"/>
              <w:bottom w:w="40" w:type="dxa"/>
              <w:right w:w="20" w:type="dxa"/>
            </w:tcMar>
            <w:vAlign w:val="bottom"/>
          </w:tcPr>
          <w:p w14:paraId="669C661D" w14:textId="77777777" w:rsidR="00066C63" w:rsidRDefault="009656F6">
            <w:pPr>
              <w:jc w:val="right"/>
              <w:textAlignment w:val="bottom"/>
            </w:pPr>
            <w:r>
              <w:rPr>
                <w:rFonts w:ascii="sans-serif" w:eastAsia="sans-serif" w:hAnsi="sans-serif" w:cs="sans-serif"/>
                <w:b/>
                <w:bCs/>
                <w:color w:val="000000"/>
                <w:sz w:val="17"/>
                <w:szCs w:val="17"/>
              </w:rPr>
              <w:t xml:space="preserve">LOCATION OF GAIN (LOSS) </w:t>
            </w:r>
            <w:r>
              <w:rPr>
                <w:rFonts w:ascii="sans-serif" w:eastAsia="sans-serif" w:hAnsi="sans-serif" w:cs="sans-serif"/>
                <w:b/>
                <w:bCs/>
                <w:color w:val="000000"/>
                <w:sz w:val="17"/>
                <w:szCs w:val="17"/>
              </w:rPr>
              <w:br/>
              <w:t xml:space="preserve">RECLASSIFIED FROM ACCUMULATED </w:t>
            </w:r>
            <w:r>
              <w:rPr>
                <w:rFonts w:ascii="sans-serif" w:eastAsia="sans-serif" w:hAnsi="sans-serif" w:cs="sans-serif"/>
                <w:b/>
                <w:bCs/>
                <w:color w:val="000000"/>
                <w:sz w:val="17"/>
                <w:szCs w:val="17"/>
              </w:rPr>
              <w:br/>
              <w:t xml:space="preserve">OTHER COMPREHENSIVE INCOME </w:t>
            </w:r>
            <w:r>
              <w:rPr>
                <w:rFonts w:ascii="sans-serif" w:eastAsia="sans-serif" w:hAnsi="sans-serif" w:cs="sans-serif"/>
                <w:b/>
                <w:bCs/>
                <w:color w:val="000000"/>
                <w:sz w:val="17"/>
                <w:szCs w:val="17"/>
              </w:rPr>
              <w:br/>
              <w:t>(LOSS) INTO INCOME</w:t>
            </w:r>
          </w:p>
        </w:tc>
        <w:tc>
          <w:tcPr>
            <w:tcW w:w="0" w:type="auto"/>
            <w:gridSpan w:val="3"/>
            <w:tcBorders>
              <w:top w:val="single" w:sz="8" w:space="0" w:color="E87722"/>
            </w:tcBorders>
            <w:shd w:val="clear" w:color="auto" w:fill="auto"/>
            <w:tcMar>
              <w:top w:w="0" w:type="dxa"/>
              <w:left w:w="20" w:type="dxa"/>
              <w:bottom w:w="0" w:type="dxa"/>
              <w:right w:w="20" w:type="dxa"/>
            </w:tcMar>
          </w:tcPr>
          <w:p w14:paraId="669C661E" w14:textId="77777777" w:rsidR="00066C63" w:rsidRDefault="00066C63">
            <w:pPr>
              <w:rPr>
                <w:rFonts w:ascii="宋体"/>
              </w:rPr>
            </w:pPr>
          </w:p>
        </w:tc>
        <w:tc>
          <w:tcPr>
            <w:tcW w:w="0" w:type="auto"/>
            <w:gridSpan w:val="6"/>
            <w:tcBorders>
              <w:top w:val="single" w:sz="8" w:space="0" w:color="E87722"/>
            </w:tcBorders>
            <w:shd w:val="clear" w:color="auto" w:fill="auto"/>
            <w:tcMar>
              <w:top w:w="40" w:type="dxa"/>
              <w:left w:w="20" w:type="dxa"/>
              <w:bottom w:w="40" w:type="dxa"/>
              <w:right w:w="20" w:type="dxa"/>
            </w:tcMar>
            <w:vAlign w:val="bottom"/>
          </w:tcPr>
          <w:p w14:paraId="669C661F" w14:textId="77777777" w:rsidR="00066C63" w:rsidRDefault="009656F6">
            <w:pPr>
              <w:jc w:val="center"/>
              <w:textAlignment w:val="bottom"/>
            </w:pPr>
            <w:r>
              <w:rPr>
                <w:rFonts w:ascii="sans-serif" w:eastAsia="sans-serif" w:hAnsi="sans-serif" w:cs="sans-serif"/>
                <w:b/>
                <w:bCs/>
                <w:color w:val="000000"/>
                <w:sz w:val="17"/>
                <w:szCs w:val="17"/>
              </w:rPr>
              <w:t xml:space="preserve">THREE MONTHS ENDED </w:t>
            </w:r>
          </w:p>
        </w:tc>
      </w:tr>
      <w:tr w:rsidR="00066C63" w14:paraId="669C6629" w14:textId="77777777">
        <w:trPr>
          <w:trHeight w:val="420"/>
        </w:trPr>
        <w:tc>
          <w:tcPr>
            <w:tcW w:w="0" w:type="auto"/>
            <w:gridSpan w:val="3"/>
            <w:vMerge/>
            <w:shd w:val="clear" w:color="auto" w:fill="auto"/>
            <w:tcMar>
              <w:top w:w="40" w:type="dxa"/>
              <w:left w:w="20" w:type="dxa"/>
              <w:bottom w:w="40" w:type="dxa"/>
              <w:right w:w="20" w:type="dxa"/>
            </w:tcMar>
            <w:vAlign w:val="bottom"/>
          </w:tcPr>
          <w:p w14:paraId="669C6621" w14:textId="77777777" w:rsidR="00066C63" w:rsidRDefault="00066C63">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622" w14:textId="77777777" w:rsidR="00066C63" w:rsidRDefault="009656F6">
            <w:pPr>
              <w:jc w:val="center"/>
              <w:textAlignment w:val="bottom"/>
            </w:pPr>
            <w:r>
              <w:rPr>
                <w:rFonts w:ascii="sans-serif" w:eastAsia="sans-serif" w:hAnsi="sans-serif" w:cs="sans-serif"/>
                <w:b/>
                <w:bCs/>
                <w:color w:val="000000"/>
                <w:sz w:val="17"/>
                <w:szCs w:val="17"/>
              </w:rPr>
              <w:t>FEBRUARY 28, 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623" w14:textId="77777777" w:rsidR="00066C63" w:rsidRDefault="009656F6">
            <w:pPr>
              <w:jc w:val="center"/>
              <w:textAlignment w:val="bottom"/>
            </w:pPr>
            <w:r>
              <w:rPr>
                <w:rFonts w:ascii="sans-serif" w:eastAsia="sans-serif" w:hAnsi="sans-serif" w:cs="sans-serif"/>
                <w:b/>
                <w:bCs/>
                <w:color w:val="000000"/>
                <w:sz w:val="17"/>
                <w:szCs w:val="17"/>
              </w:rPr>
              <w:t>FEBRUARY 29, 2020</w:t>
            </w:r>
          </w:p>
        </w:tc>
        <w:tc>
          <w:tcPr>
            <w:tcW w:w="0" w:type="auto"/>
            <w:gridSpan w:val="3"/>
            <w:shd w:val="clear" w:color="auto" w:fill="auto"/>
            <w:tcMar>
              <w:top w:w="0" w:type="dxa"/>
              <w:left w:w="20" w:type="dxa"/>
              <w:bottom w:w="0" w:type="dxa"/>
              <w:right w:w="20" w:type="dxa"/>
            </w:tcMar>
          </w:tcPr>
          <w:p w14:paraId="669C6624" w14:textId="77777777" w:rsidR="00066C63" w:rsidRDefault="00066C63">
            <w:pPr>
              <w:rPr>
                <w:rFonts w:ascii="宋体"/>
              </w:rPr>
            </w:pPr>
          </w:p>
        </w:tc>
        <w:tc>
          <w:tcPr>
            <w:tcW w:w="0" w:type="auto"/>
            <w:gridSpan w:val="3"/>
            <w:vMerge/>
            <w:tcBorders>
              <w:top w:val="single" w:sz="8" w:space="0" w:color="E87722"/>
            </w:tcBorders>
            <w:shd w:val="clear" w:color="auto" w:fill="auto"/>
            <w:tcMar>
              <w:top w:w="40" w:type="dxa"/>
              <w:left w:w="20" w:type="dxa"/>
              <w:bottom w:w="40" w:type="dxa"/>
              <w:right w:w="20" w:type="dxa"/>
            </w:tcMar>
            <w:vAlign w:val="bottom"/>
          </w:tcPr>
          <w:p w14:paraId="669C6625" w14:textId="77777777" w:rsidR="00066C63" w:rsidRDefault="00066C63">
            <w:pPr>
              <w:jc w:val="right"/>
              <w:rPr>
                <w:rFonts w:ascii="宋体"/>
              </w:rPr>
            </w:pPr>
          </w:p>
        </w:tc>
        <w:tc>
          <w:tcPr>
            <w:tcW w:w="0" w:type="auto"/>
            <w:gridSpan w:val="3"/>
            <w:shd w:val="clear" w:color="auto" w:fill="auto"/>
            <w:tcMar>
              <w:top w:w="0" w:type="dxa"/>
              <w:left w:w="20" w:type="dxa"/>
              <w:bottom w:w="0" w:type="dxa"/>
              <w:right w:w="20" w:type="dxa"/>
            </w:tcMar>
          </w:tcPr>
          <w:p w14:paraId="669C6626" w14:textId="77777777" w:rsidR="00066C63" w:rsidRDefault="00066C63">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627" w14:textId="77777777" w:rsidR="00066C63" w:rsidRDefault="009656F6">
            <w:pPr>
              <w:jc w:val="center"/>
              <w:textAlignment w:val="bottom"/>
            </w:pPr>
            <w:r>
              <w:rPr>
                <w:rFonts w:ascii="sans-serif" w:eastAsia="sans-serif" w:hAnsi="sans-serif" w:cs="sans-serif"/>
                <w:b/>
                <w:bCs/>
                <w:color w:val="000000"/>
                <w:sz w:val="17"/>
                <w:szCs w:val="17"/>
              </w:rPr>
              <w:t>FEBRUARY 28, 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628" w14:textId="77777777" w:rsidR="00066C63" w:rsidRDefault="009656F6">
            <w:pPr>
              <w:jc w:val="center"/>
              <w:textAlignment w:val="bottom"/>
            </w:pPr>
            <w:r>
              <w:rPr>
                <w:rFonts w:ascii="sans-serif" w:eastAsia="sans-serif" w:hAnsi="sans-serif" w:cs="sans-serif"/>
                <w:b/>
                <w:bCs/>
                <w:color w:val="000000"/>
                <w:sz w:val="17"/>
                <w:szCs w:val="17"/>
              </w:rPr>
              <w:t>FEBRUARY 29, 2020</w:t>
            </w:r>
          </w:p>
        </w:tc>
      </w:tr>
      <w:tr w:rsidR="00066C63" w14:paraId="669C6632"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62A" w14:textId="77777777" w:rsidR="00066C63" w:rsidRDefault="009656F6">
            <w:pPr>
              <w:textAlignment w:val="bottom"/>
            </w:pPr>
            <w:r>
              <w:rPr>
                <w:rFonts w:ascii="Arial" w:eastAsia="宋体" w:hAnsi="Arial" w:cs="Arial"/>
                <w:color w:val="000000"/>
                <w:sz w:val="17"/>
                <w:szCs w:val="17"/>
              </w:rPr>
              <w:t xml:space="preserve">Derivatives designated as </w:t>
            </w:r>
            <w:r>
              <w:rPr>
                <w:rFonts w:ascii="sans-serif" w:eastAsia="sans-serif" w:hAnsi="sans-serif" w:cs="sans-serif"/>
                <w:b/>
                <w:bCs/>
                <w:color w:val="000000"/>
                <w:sz w:val="17"/>
                <w:szCs w:val="17"/>
              </w:rPr>
              <w:br/>
            </w:r>
            <w:r>
              <w:rPr>
                <w:rFonts w:ascii="Arial" w:eastAsia="宋体" w:hAnsi="Arial" w:cs="Arial"/>
                <w:color w:val="000000"/>
                <w:sz w:val="17"/>
                <w:szCs w:val="17"/>
              </w:rPr>
              <w:t>cash flow hedges:</w:t>
            </w:r>
          </w:p>
        </w:tc>
        <w:tc>
          <w:tcPr>
            <w:tcW w:w="0" w:type="auto"/>
            <w:gridSpan w:val="3"/>
            <w:tcBorders>
              <w:top w:val="single" w:sz="8" w:space="0" w:color="E87722"/>
            </w:tcBorders>
            <w:shd w:val="clear" w:color="auto" w:fill="FFF1E7"/>
            <w:tcMar>
              <w:top w:w="0" w:type="dxa"/>
              <w:left w:w="20" w:type="dxa"/>
              <w:bottom w:w="0" w:type="dxa"/>
              <w:right w:w="20" w:type="dxa"/>
            </w:tcMar>
          </w:tcPr>
          <w:p w14:paraId="669C662B"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662C"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662D"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662E"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662F" w14:textId="77777777" w:rsidR="00066C63" w:rsidRDefault="00066C63">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669C6630"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6631" w14:textId="77777777" w:rsidR="00066C63" w:rsidRDefault="00066C63">
            <w:pPr>
              <w:rPr>
                <w:rFonts w:ascii="宋体"/>
              </w:rPr>
            </w:pPr>
          </w:p>
        </w:tc>
      </w:tr>
      <w:tr w:rsidR="00066C63" w14:paraId="669C6643"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6633" w14:textId="77777777" w:rsidR="00066C63" w:rsidRDefault="009656F6">
            <w:pPr>
              <w:textAlignment w:val="bottom"/>
            </w:pPr>
            <w:r>
              <w:rPr>
                <w:rFonts w:ascii="Arial" w:eastAsia="宋体" w:hAnsi="Arial" w:cs="Arial"/>
                <w:color w:val="000000"/>
                <w:sz w:val="17"/>
                <w:szCs w:val="17"/>
              </w:rPr>
              <w:t xml:space="preserve">Foreign exchange forwards </w:t>
            </w:r>
            <w:r>
              <w:rPr>
                <w:rFonts w:ascii="sans-serif" w:eastAsia="sans-serif" w:hAnsi="sans-serif" w:cs="sans-serif"/>
                <w:b/>
                <w:bCs/>
                <w:color w:val="000000"/>
                <w:sz w:val="17"/>
                <w:szCs w:val="17"/>
              </w:rPr>
              <w:br/>
            </w:r>
            <w:r>
              <w:rPr>
                <w:rFonts w:ascii="Arial" w:eastAsia="宋体" w:hAnsi="Arial" w:cs="Arial"/>
                <w:color w:val="000000"/>
                <w:sz w:val="17"/>
                <w:szCs w:val="17"/>
              </w:rPr>
              <w:t>and options</w:t>
            </w:r>
          </w:p>
        </w:tc>
        <w:tc>
          <w:tcPr>
            <w:tcW w:w="0" w:type="auto"/>
            <w:tcBorders>
              <w:top w:val="single" w:sz="8" w:space="0" w:color="808080"/>
            </w:tcBorders>
            <w:shd w:val="clear" w:color="auto" w:fill="FFF1E7"/>
            <w:tcMar>
              <w:top w:w="40" w:type="dxa"/>
              <w:left w:w="20" w:type="dxa"/>
              <w:bottom w:w="40" w:type="dxa"/>
              <w:right w:w="0" w:type="dxa"/>
            </w:tcMar>
            <w:vAlign w:val="bottom"/>
          </w:tcPr>
          <w:p w14:paraId="669C6634"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669C6635" w14:textId="77777777" w:rsidR="00066C63" w:rsidRDefault="009656F6">
            <w:pPr>
              <w:jc w:val="right"/>
              <w:textAlignment w:val="bottom"/>
            </w:pPr>
            <w:r>
              <w:rPr>
                <w:rFonts w:ascii="Arial" w:eastAsia="宋体" w:hAnsi="Arial" w:cs="Arial"/>
                <w:color w:val="000000"/>
                <w:sz w:val="17"/>
                <w:szCs w:val="17"/>
              </w:rPr>
              <w:t>(38)</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636" w14:textId="77777777" w:rsidR="00066C63" w:rsidRDefault="00066C63">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669C6637"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669C6638" w14:textId="77777777" w:rsidR="00066C63" w:rsidRDefault="009656F6">
            <w:pPr>
              <w:jc w:val="right"/>
              <w:textAlignment w:val="bottom"/>
            </w:pPr>
            <w:r>
              <w:rPr>
                <w:rFonts w:ascii="Arial" w:eastAsia="宋体" w:hAnsi="Arial" w:cs="Arial"/>
                <w:color w:val="000000"/>
                <w:sz w:val="17"/>
                <w:szCs w:val="17"/>
              </w:rPr>
              <w:t>17 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639" w14:textId="77777777" w:rsidR="00066C63" w:rsidRDefault="00066C63">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663A" w14:textId="77777777" w:rsidR="00066C63" w:rsidRDefault="00066C63">
            <w:pPr>
              <w:rPr>
                <w:rFonts w:ascii="宋体"/>
              </w:rPr>
            </w:pP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663B" w14:textId="77777777" w:rsidR="00066C63" w:rsidRDefault="009656F6">
            <w:pPr>
              <w:jc w:val="right"/>
              <w:textAlignment w:val="bottom"/>
            </w:pPr>
            <w:r>
              <w:rPr>
                <w:rFonts w:ascii="Arial" w:eastAsia="宋体" w:hAnsi="Arial" w:cs="Arial"/>
                <w:color w:val="000000"/>
                <w:sz w:val="17"/>
                <w:szCs w:val="17"/>
              </w:rPr>
              <w:t>Revenues</w:t>
            </w:r>
          </w:p>
        </w:tc>
        <w:tc>
          <w:tcPr>
            <w:tcW w:w="0" w:type="auto"/>
            <w:gridSpan w:val="3"/>
            <w:tcBorders>
              <w:top w:val="single" w:sz="8" w:space="0" w:color="808080"/>
            </w:tcBorders>
            <w:shd w:val="clear" w:color="auto" w:fill="auto"/>
            <w:tcMar>
              <w:top w:w="0" w:type="dxa"/>
              <w:left w:w="20" w:type="dxa"/>
              <w:bottom w:w="0" w:type="dxa"/>
              <w:right w:w="20" w:type="dxa"/>
            </w:tcMar>
          </w:tcPr>
          <w:p w14:paraId="669C663C" w14:textId="77777777" w:rsidR="00066C63" w:rsidRDefault="00066C63">
            <w:pPr>
              <w:rPr>
                <w:rFonts w:ascii="宋体"/>
              </w:rPr>
            </w:pPr>
          </w:p>
        </w:tc>
        <w:tc>
          <w:tcPr>
            <w:tcW w:w="0" w:type="auto"/>
            <w:tcBorders>
              <w:top w:val="single" w:sz="8" w:space="0" w:color="808080"/>
            </w:tcBorders>
            <w:shd w:val="clear" w:color="auto" w:fill="FFF1E7"/>
            <w:tcMar>
              <w:top w:w="40" w:type="dxa"/>
              <w:left w:w="20" w:type="dxa"/>
              <w:bottom w:w="40" w:type="dxa"/>
              <w:right w:w="0" w:type="dxa"/>
            </w:tcMar>
            <w:vAlign w:val="bottom"/>
          </w:tcPr>
          <w:p w14:paraId="669C663D"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669C663E" w14:textId="77777777" w:rsidR="00066C63" w:rsidRDefault="009656F6">
            <w:pPr>
              <w:jc w:val="right"/>
              <w:textAlignment w:val="bottom"/>
            </w:pPr>
            <w:r>
              <w:rPr>
                <w:rFonts w:ascii="Arial" w:eastAsia="宋体" w:hAnsi="Arial" w:cs="Arial"/>
                <w:color w:val="000000"/>
                <w:sz w:val="17"/>
                <w:szCs w:val="17"/>
              </w:rPr>
              <w:t>16 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63F" w14:textId="77777777" w:rsidR="00066C63" w:rsidRDefault="00066C63">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669C6640"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669C6641" w14:textId="77777777" w:rsidR="00066C63" w:rsidRDefault="009656F6">
            <w:pPr>
              <w:jc w:val="right"/>
              <w:textAlignment w:val="bottom"/>
            </w:pPr>
            <w:r>
              <w:rPr>
                <w:rFonts w:ascii="Arial" w:eastAsia="宋体" w:hAnsi="Arial" w:cs="Arial"/>
                <w:color w:val="000000"/>
                <w:sz w:val="17"/>
                <w:szCs w:val="17"/>
              </w:rPr>
              <w:t>(21)</w:t>
            </w:r>
          </w:p>
        </w:tc>
        <w:tc>
          <w:tcPr>
            <w:tcW w:w="0" w:type="auto"/>
            <w:tcBorders>
              <w:top w:val="single" w:sz="8" w:space="0" w:color="808080"/>
            </w:tcBorders>
            <w:shd w:val="clear" w:color="auto" w:fill="auto"/>
            <w:tcMar>
              <w:top w:w="40" w:type="dxa"/>
              <w:left w:w="0" w:type="dxa"/>
              <w:bottom w:w="40" w:type="dxa"/>
              <w:right w:w="20" w:type="dxa"/>
            </w:tcMar>
            <w:vAlign w:val="bottom"/>
          </w:tcPr>
          <w:p w14:paraId="669C6642" w14:textId="77777777" w:rsidR="00066C63" w:rsidRDefault="00066C63">
            <w:pPr>
              <w:jc w:val="right"/>
              <w:rPr>
                <w:rFonts w:ascii="宋体"/>
              </w:rPr>
            </w:pPr>
          </w:p>
        </w:tc>
      </w:tr>
      <w:tr w:rsidR="00066C63" w14:paraId="669C6650"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6644" w14:textId="77777777" w:rsidR="00066C63" w:rsidRDefault="009656F6">
            <w:pPr>
              <w:textAlignment w:val="bottom"/>
            </w:pPr>
            <w:r>
              <w:rPr>
                <w:rFonts w:ascii="Arial" w:eastAsia="宋体" w:hAnsi="Arial" w:cs="Arial"/>
                <w:color w:val="000000"/>
                <w:sz w:val="17"/>
                <w:szCs w:val="17"/>
              </w:rPr>
              <w:t>Foreign exchange forwards</w:t>
            </w:r>
            <w:r>
              <w:rPr>
                <w:rFonts w:ascii="sans-serif" w:eastAsia="sans-serif" w:hAnsi="sans-serif" w:cs="sans-serif"/>
                <w:b/>
                <w:bCs/>
                <w:color w:val="000000"/>
                <w:sz w:val="17"/>
                <w:szCs w:val="17"/>
              </w:rPr>
              <w:br/>
            </w:r>
            <w:r>
              <w:rPr>
                <w:rFonts w:ascii="Arial" w:eastAsia="宋体" w:hAnsi="Arial" w:cs="Arial"/>
                <w:color w:val="000000"/>
                <w:sz w:val="17"/>
                <w:szCs w:val="17"/>
              </w:rPr>
              <w:t>and options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645" w14:textId="77777777" w:rsidR="00066C63" w:rsidRDefault="009656F6">
            <w:pPr>
              <w:jc w:val="right"/>
              <w:textAlignment w:val="bottom"/>
            </w:pPr>
            <w:r>
              <w:rPr>
                <w:rFonts w:ascii="Arial" w:eastAsia="宋体" w:hAnsi="Arial" w:cs="Arial"/>
                <w:color w:val="000000"/>
                <w:sz w:val="17"/>
                <w:szCs w:val="17"/>
              </w:rPr>
              <w:t>(99)</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646"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647" w14:textId="77777777" w:rsidR="00066C63" w:rsidRDefault="009656F6">
            <w:pPr>
              <w:jc w:val="right"/>
              <w:textAlignment w:val="bottom"/>
            </w:pPr>
            <w:r>
              <w:rPr>
                <w:rFonts w:ascii="Arial" w:eastAsia="宋体" w:hAnsi="Arial" w:cs="Arial"/>
                <w:color w:val="000000"/>
                <w:sz w:val="17"/>
                <w:szCs w:val="17"/>
              </w:rPr>
              <w:t>39 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648" w14:textId="77777777" w:rsidR="00066C63" w:rsidRDefault="00066C63">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6649" w14:textId="77777777" w:rsidR="00066C63" w:rsidRDefault="00066C63">
            <w:pPr>
              <w:rPr>
                <w:rFonts w:ascii="宋体"/>
              </w:rPr>
            </w:pP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664A" w14:textId="77777777" w:rsidR="00066C63" w:rsidRDefault="009656F6">
            <w:pPr>
              <w:jc w:val="right"/>
              <w:textAlignment w:val="bottom"/>
            </w:pPr>
            <w:r>
              <w:rPr>
                <w:rFonts w:ascii="Arial" w:eastAsia="宋体" w:hAnsi="Arial" w:cs="Arial"/>
                <w:color w:val="000000"/>
                <w:sz w:val="17"/>
                <w:szCs w:val="17"/>
              </w:rPr>
              <w:t>Cost of sales</w:t>
            </w:r>
          </w:p>
        </w:tc>
        <w:tc>
          <w:tcPr>
            <w:tcW w:w="0" w:type="auto"/>
            <w:gridSpan w:val="3"/>
            <w:tcBorders>
              <w:top w:val="single" w:sz="8" w:space="0" w:color="808080"/>
            </w:tcBorders>
            <w:shd w:val="clear" w:color="auto" w:fill="auto"/>
            <w:tcMar>
              <w:top w:w="0" w:type="dxa"/>
              <w:left w:w="20" w:type="dxa"/>
              <w:bottom w:w="0" w:type="dxa"/>
              <w:right w:w="20" w:type="dxa"/>
            </w:tcMar>
          </w:tcPr>
          <w:p w14:paraId="669C664B" w14:textId="77777777" w:rsidR="00066C63" w:rsidRDefault="00066C63">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64C" w14:textId="77777777" w:rsidR="00066C63" w:rsidRDefault="009656F6">
            <w:pPr>
              <w:jc w:val="right"/>
              <w:textAlignment w:val="bottom"/>
            </w:pPr>
            <w:r>
              <w:rPr>
                <w:rFonts w:ascii="Arial" w:eastAsia="宋体" w:hAnsi="Arial" w:cs="Arial"/>
                <w:color w:val="000000"/>
                <w:sz w:val="17"/>
                <w:szCs w:val="17"/>
              </w:rPr>
              <w:t>(35)</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64D"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64E" w14:textId="77777777" w:rsidR="00066C63" w:rsidRDefault="009656F6">
            <w:pPr>
              <w:jc w:val="right"/>
              <w:textAlignment w:val="bottom"/>
            </w:pPr>
            <w:r>
              <w:rPr>
                <w:rFonts w:ascii="Arial" w:eastAsia="宋体" w:hAnsi="Arial" w:cs="Arial"/>
                <w:color w:val="000000"/>
                <w:sz w:val="17"/>
                <w:szCs w:val="17"/>
              </w:rPr>
              <w:t>110 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64F" w14:textId="77777777" w:rsidR="00066C63" w:rsidRDefault="00066C63">
            <w:pPr>
              <w:jc w:val="right"/>
              <w:rPr>
                <w:rFonts w:ascii="宋体"/>
              </w:rPr>
            </w:pPr>
          </w:p>
        </w:tc>
      </w:tr>
      <w:tr w:rsidR="00066C63" w14:paraId="669C665D" w14:textId="77777777">
        <w:tc>
          <w:tcPr>
            <w:tcW w:w="0" w:type="auto"/>
            <w:gridSpan w:val="3"/>
            <w:tcBorders>
              <w:top w:val="single" w:sz="8" w:space="0" w:color="808080"/>
            </w:tcBorders>
            <w:shd w:val="clear" w:color="auto" w:fill="auto"/>
            <w:tcMar>
              <w:top w:w="40" w:type="dxa"/>
              <w:left w:w="20" w:type="dxa"/>
              <w:bottom w:w="40" w:type="dxa"/>
              <w:right w:w="20" w:type="dxa"/>
            </w:tcMar>
            <w:vAlign w:val="center"/>
          </w:tcPr>
          <w:p w14:paraId="669C6651" w14:textId="77777777" w:rsidR="00066C63" w:rsidRDefault="009656F6">
            <w:pPr>
              <w:textAlignment w:val="center"/>
            </w:pPr>
            <w:r>
              <w:rPr>
                <w:rFonts w:ascii="Arial" w:eastAsia="宋体" w:hAnsi="Arial" w:cs="Arial"/>
                <w:color w:val="000000"/>
                <w:sz w:val="17"/>
                <w:szCs w:val="17"/>
              </w:rPr>
              <w:t xml:space="preserve">Foreign exchange forwards </w:t>
            </w:r>
            <w:r>
              <w:rPr>
                <w:rFonts w:ascii="sans-serif" w:eastAsia="sans-serif" w:hAnsi="sans-serif" w:cs="sans-serif"/>
                <w:b/>
                <w:bCs/>
                <w:color w:val="000000"/>
                <w:sz w:val="17"/>
                <w:szCs w:val="17"/>
              </w:rPr>
              <w:br/>
            </w:r>
            <w:r>
              <w:rPr>
                <w:rFonts w:ascii="Arial" w:eastAsia="宋体" w:hAnsi="Arial" w:cs="Arial"/>
                <w:color w:val="000000"/>
                <w:sz w:val="17"/>
                <w:szCs w:val="17"/>
              </w:rPr>
              <w:t>and options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652" w14:textId="77777777" w:rsidR="00066C63" w:rsidRDefault="009656F6">
            <w:pPr>
              <w:jc w:val="right"/>
              <w:textAlignment w:val="bottom"/>
            </w:pPr>
            <w:r>
              <w:rPr>
                <w:rFonts w:ascii="Arial" w:eastAsia="宋体" w:hAnsi="Arial" w:cs="Arial"/>
                <w:color w:val="000000"/>
                <w:sz w:val="17"/>
                <w:szCs w:val="17"/>
              </w:rPr>
              <w:t>1 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653"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654" w14:textId="77777777" w:rsidR="00066C63" w:rsidRDefault="009656F6">
            <w:pPr>
              <w:jc w:val="right"/>
              <w:textAlignment w:val="bottom"/>
            </w:pPr>
            <w:r>
              <w:rPr>
                <w:rFonts w:ascii="Arial" w:eastAsia="宋体" w:hAnsi="Arial" w:cs="Arial"/>
                <w:color w:val="000000"/>
                <w:sz w:val="17"/>
                <w:szCs w:val="17"/>
              </w:rPr>
              <w:t>1 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655" w14:textId="77777777" w:rsidR="00066C63" w:rsidRDefault="00066C63">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6656" w14:textId="77777777" w:rsidR="00066C63" w:rsidRDefault="00066C63">
            <w:pPr>
              <w:rPr>
                <w:rFonts w:ascii="宋体"/>
              </w:rPr>
            </w:pP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6657" w14:textId="77777777" w:rsidR="00066C63" w:rsidRDefault="009656F6">
            <w:pPr>
              <w:jc w:val="right"/>
              <w:textAlignment w:val="bottom"/>
            </w:pPr>
            <w:r>
              <w:rPr>
                <w:rFonts w:ascii="Arial" w:eastAsia="宋体" w:hAnsi="Arial" w:cs="Arial"/>
                <w:color w:val="000000"/>
                <w:sz w:val="17"/>
                <w:szCs w:val="17"/>
              </w:rPr>
              <w:t>Demand creation expense</w:t>
            </w:r>
          </w:p>
        </w:tc>
        <w:tc>
          <w:tcPr>
            <w:tcW w:w="0" w:type="auto"/>
            <w:gridSpan w:val="3"/>
            <w:tcBorders>
              <w:top w:val="single" w:sz="8" w:space="0" w:color="808080"/>
            </w:tcBorders>
            <w:shd w:val="clear" w:color="auto" w:fill="auto"/>
            <w:tcMar>
              <w:top w:w="0" w:type="dxa"/>
              <w:left w:w="20" w:type="dxa"/>
              <w:bottom w:w="0" w:type="dxa"/>
              <w:right w:w="20" w:type="dxa"/>
            </w:tcMar>
          </w:tcPr>
          <w:p w14:paraId="669C6658" w14:textId="77777777" w:rsidR="00066C63" w:rsidRDefault="00066C63">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659" w14:textId="77777777" w:rsidR="00066C63" w:rsidRDefault="009656F6">
            <w:pPr>
              <w:jc w:val="right"/>
              <w:textAlignment w:val="bottom"/>
            </w:pPr>
            <w:r>
              <w:rPr>
                <w:rFonts w:ascii="Arial" w:eastAsia="宋体" w:hAnsi="Arial" w:cs="Arial"/>
                <w:color w:val="000000"/>
                <w:sz w:val="17"/>
                <w:szCs w:val="17"/>
              </w:rPr>
              <w:t>1 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65A"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65B" w14:textId="77777777" w:rsidR="00066C63" w:rsidRDefault="009656F6">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65C" w14:textId="77777777" w:rsidR="00066C63" w:rsidRDefault="00066C63">
            <w:pPr>
              <w:jc w:val="right"/>
              <w:rPr>
                <w:rFonts w:ascii="宋体"/>
              </w:rPr>
            </w:pPr>
          </w:p>
        </w:tc>
      </w:tr>
      <w:tr w:rsidR="00066C63" w14:paraId="669C666A"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665E" w14:textId="77777777" w:rsidR="00066C63" w:rsidRDefault="009656F6">
            <w:pPr>
              <w:textAlignment w:val="bottom"/>
            </w:pPr>
            <w:r>
              <w:rPr>
                <w:rFonts w:ascii="Arial" w:eastAsia="宋体" w:hAnsi="Arial" w:cs="Arial"/>
                <w:color w:val="000000"/>
                <w:sz w:val="17"/>
                <w:szCs w:val="17"/>
              </w:rPr>
              <w:t xml:space="preserve">Foreign exchange forwards </w:t>
            </w:r>
            <w:r>
              <w:rPr>
                <w:rFonts w:ascii="sans-serif" w:eastAsia="sans-serif" w:hAnsi="sans-serif" w:cs="sans-serif"/>
                <w:b/>
                <w:bCs/>
                <w:color w:val="000000"/>
                <w:sz w:val="17"/>
                <w:szCs w:val="17"/>
              </w:rPr>
              <w:br/>
            </w:r>
            <w:r>
              <w:rPr>
                <w:rFonts w:ascii="Arial" w:eastAsia="宋体" w:hAnsi="Arial" w:cs="Arial"/>
                <w:color w:val="000000"/>
                <w:sz w:val="17"/>
                <w:szCs w:val="17"/>
              </w:rPr>
              <w:t>and options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65F" w14:textId="77777777" w:rsidR="00066C63" w:rsidRDefault="009656F6">
            <w:pPr>
              <w:jc w:val="right"/>
              <w:textAlignment w:val="bottom"/>
            </w:pPr>
            <w:r>
              <w:rPr>
                <w:rFonts w:ascii="Arial" w:eastAsia="宋体" w:hAnsi="Arial" w:cs="Arial"/>
                <w:color w:val="000000"/>
                <w:sz w:val="17"/>
                <w:szCs w:val="17"/>
              </w:rPr>
              <w:t>(24)</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660"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661" w14:textId="77777777" w:rsidR="00066C63" w:rsidRDefault="009656F6">
            <w:pPr>
              <w:jc w:val="right"/>
              <w:textAlignment w:val="bottom"/>
            </w:pPr>
            <w:r>
              <w:rPr>
                <w:rFonts w:ascii="Arial" w:eastAsia="宋体" w:hAnsi="Arial" w:cs="Arial"/>
                <w:color w:val="000000"/>
                <w:sz w:val="17"/>
                <w:szCs w:val="17"/>
              </w:rPr>
              <w:t>7 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662" w14:textId="77777777" w:rsidR="00066C63" w:rsidRDefault="00066C63">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6663" w14:textId="77777777" w:rsidR="00066C63" w:rsidRDefault="00066C63">
            <w:pPr>
              <w:rPr>
                <w:rFonts w:ascii="宋体"/>
              </w:rPr>
            </w:pP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6664" w14:textId="77777777" w:rsidR="00066C63" w:rsidRDefault="009656F6">
            <w:pPr>
              <w:jc w:val="right"/>
              <w:textAlignment w:val="bottom"/>
            </w:pPr>
            <w:r>
              <w:rPr>
                <w:rFonts w:ascii="Arial" w:eastAsia="宋体" w:hAnsi="Arial" w:cs="Arial"/>
                <w:color w:val="000000"/>
                <w:sz w:val="17"/>
                <w:szCs w:val="17"/>
              </w:rPr>
              <w:t>Other (income) expense, net</w:t>
            </w:r>
          </w:p>
        </w:tc>
        <w:tc>
          <w:tcPr>
            <w:tcW w:w="0" w:type="auto"/>
            <w:gridSpan w:val="3"/>
            <w:tcBorders>
              <w:top w:val="single" w:sz="8" w:space="0" w:color="808080"/>
            </w:tcBorders>
            <w:shd w:val="clear" w:color="auto" w:fill="auto"/>
            <w:tcMar>
              <w:top w:w="0" w:type="dxa"/>
              <w:left w:w="20" w:type="dxa"/>
              <w:bottom w:w="0" w:type="dxa"/>
              <w:right w:w="20" w:type="dxa"/>
            </w:tcMar>
          </w:tcPr>
          <w:p w14:paraId="669C6665" w14:textId="77777777" w:rsidR="00066C63" w:rsidRDefault="00066C63">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666" w14:textId="77777777" w:rsidR="00066C63" w:rsidRDefault="009656F6">
            <w:pPr>
              <w:jc w:val="right"/>
              <w:textAlignment w:val="bottom"/>
            </w:pPr>
            <w:r>
              <w:rPr>
                <w:rFonts w:ascii="Arial" w:eastAsia="宋体" w:hAnsi="Arial" w:cs="Arial"/>
                <w:color w:val="000000"/>
                <w:sz w:val="17"/>
                <w:szCs w:val="17"/>
              </w:rPr>
              <w:t>(26)</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667"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668" w14:textId="77777777" w:rsidR="00066C63" w:rsidRDefault="009656F6">
            <w:pPr>
              <w:jc w:val="right"/>
              <w:textAlignment w:val="bottom"/>
            </w:pPr>
            <w:r>
              <w:rPr>
                <w:rFonts w:ascii="Arial" w:eastAsia="宋体" w:hAnsi="Arial" w:cs="Arial"/>
                <w:color w:val="000000"/>
                <w:sz w:val="17"/>
                <w:szCs w:val="17"/>
              </w:rPr>
              <w:t>44 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669" w14:textId="77777777" w:rsidR="00066C63" w:rsidRDefault="00066C63">
            <w:pPr>
              <w:jc w:val="right"/>
              <w:rPr>
                <w:rFonts w:ascii="宋体"/>
              </w:rPr>
            </w:pPr>
          </w:p>
        </w:tc>
      </w:tr>
      <w:tr w:rsidR="00066C63" w14:paraId="669C6677"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666B" w14:textId="77777777" w:rsidR="00066C63" w:rsidRDefault="009656F6">
            <w:pPr>
              <w:textAlignment w:val="bottom"/>
            </w:pPr>
            <w:r>
              <w:rPr>
                <w:rFonts w:ascii="Arial" w:eastAsia="宋体" w:hAnsi="Arial" w:cs="Arial"/>
                <w:color w:val="000000"/>
                <w:sz w:val="17"/>
                <w:szCs w:val="17"/>
              </w:rPr>
              <w:t>Interest rate swaps</w:t>
            </w:r>
            <w:r>
              <w:rPr>
                <w:rFonts w:ascii="Arial" w:eastAsia="宋体" w:hAnsi="Arial" w:cs="Arial"/>
                <w:color w:val="000000"/>
                <w:sz w:val="11"/>
                <w:szCs w:val="11"/>
              </w:rPr>
              <w:t>(2)</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66C" w14:textId="77777777" w:rsidR="00066C63" w:rsidRDefault="009656F6">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66D"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66E" w14:textId="77777777" w:rsidR="00066C63" w:rsidRDefault="009656F6">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66F" w14:textId="77777777" w:rsidR="00066C63" w:rsidRDefault="00066C63">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6670" w14:textId="77777777" w:rsidR="00066C63" w:rsidRDefault="00066C63">
            <w:pPr>
              <w:rPr>
                <w:rFonts w:ascii="宋体"/>
              </w:rPr>
            </w:pP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6671" w14:textId="77777777" w:rsidR="00066C63" w:rsidRDefault="009656F6">
            <w:pPr>
              <w:jc w:val="right"/>
              <w:textAlignment w:val="bottom"/>
            </w:pPr>
            <w:r>
              <w:rPr>
                <w:rFonts w:ascii="Arial" w:eastAsia="宋体" w:hAnsi="Arial" w:cs="Arial"/>
                <w:color w:val="000000"/>
                <w:sz w:val="17"/>
                <w:szCs w:val="17"/>
              </w:rPr>
              <w:t>Interest expense (income), net</w:t>
            </w:r>
          </w:p>
        </w:tc>
        <w:tc>
          <w:tcPr>
            <w:tcW w:w="0" w:type="auto"/>
            <w:gridSpan w:val="3"/>
            <w:tcBorders>
              <w:top w:val="single" w:sz="8" w:space="0" w:color="808080"/>
            </w:tcBorders>
            <w:shd w:val="clear" w:color="auto" w:fill="auto"/>
            <w:tcMar>
              <w:top w:w="0" w:type="dxa"/>
              <w:left w:w="20" w:type="dxa"/>
              <w:bottom w:w="0" w:type="dxa"/>
              <w:right w:w="20" w:type="dxa"/>
            </w:tcMar>
          </w:tcPr>
          <w:p w14:paraId="669C6672" w14:textId="77777777" w:rsidR="00066C63" w:rsidRDefault="00066C63">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673" w14:textId="77777777" w:rsidR="00066C63" w:rsidRDefault="009656F6">
            <w:pPr>
              <w:jc w:val="right"/>
              <w:textAlignment w:val="bottom"/>
            </w:pPr>
            <w:r>
              <w:rPr>
                <w:rFonts w:ascii="Arial" w:eastAsia="宋体" w:hAnsi="Arial" w:cs="Arial"/>
                <w:color w:val="000000"/>
                <w:sz w:val="17"/>
                <w:szCs w:val="17"/>
              </w:rPr>
              <w:t>(2)</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674"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675" w14:textId="77777777" w:rsidR="00066C63" w:rsidRDefault="009656F6">
            <w:pPr>
              <w:jc w:val="right"/>
              <w:textAlignment w:val="bottom"/>
            </w:pPr>
            <w:r>
              <w:rPr>
                <w:rFonts w:ascii="Arial" w:eastAsia="宋体" w:hAnsi="Arial" w:cs="Arial"/>
                <w:color w:val="000000"/>
                <w:sz w:val="17"/>
                <w:szCs w:val="17"/>
              </w:rPr>
              <w:t>(2)</w:t>
            </w:r>
          </w:p>
        </w:tc>
        <w:tc>
          <w:tcPr>
            <w:tcW w:w="0" w:type="auto"/>
            <w:tcBorders>
              <w:top w:val="single" w:sz="8" w:space="0" w:color="808080"/>
            </w:tcBorders>
            <w:shd w:val="clear" w:color="auto" w:fill="auto"/>
            <w:tcMar>
              <w:top w:w="40" w:type="dxa"/>
              <w:left w:w="0" w:type="dxa"/>
              <w:bottom w:w="40" w:type="dxa"/>
              <w:right w:w="20" w:type="dxa"/>
            </w:tcMar>
            <w:vAlign w:val="bottom"/>
          </w:tcPr>
          <w:p w14:paraId="669C6676" w14:textId="77777777" w:rsidR="00066C63" w:rsidRDefault="00066C63">
            <w:pPr>
              <w:jc w:val="right"/>
              <w:rPr>
                <w:rFonts w:ascii="宋体"/>
              </w:rPr>
            </w:pPr>
          </w:p>
        </w:tc>
      </w:tr>
      <w:tr w:rsidR="00066C63" w14:paraId="669C6688"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669C6678" w14:textId="77777777" w:rsidR="00066C63" w:rsidRDefault="009656F6">
            <w:pPr>
              <w:textAlignment w:val="bottom"/>
            </w:pPr>
            <w:r>
              <w:rPr>
                <w:rFonts w:ascii="Arial" w:eastAsia="宋体" w:hAnsi="Arial" w:cs="Arial"/>
                <w:b/>
                <w:bCs/>
                <w:color w:val="000000"/>
                <w:sz w:val="17"/>
                <w:szCs w:val="17"/>
              </w:rPr>
              <w:t xml:space="preserve">Total designated cash </w:t>
            </w:r>
            <w:r>
              <w:rPr>
                <w:rFonts w:ascii="Arial" w:eastAsia="宋体" w:hAnsi="Arial" w:cs="Arial"/>
                <w:b/>
                <w:bCs/>
                <w:color w:val="000000"/>
                <w:sz w:val="17"/>
                <w:szCs w:val="17"/>
              </w:rPr>
              <w:br/>
              <w:t>flow hedges</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69C6679"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669C667A" w14:textId="77777777" w:rsidR="00066C63" w:rsidRDefault="009656F6">
            <w:pPr>
              <w:jc w:val="right"/>
              <w:textAlignment w:val="bottom"/>
            </w:pPr>
            <w:r>
              <w:rPr>
                <w:rFonts w:ascii="Arial" w:eastAsia="宋体" w:hAnsi="Arial" w:cs="Arial"/>
                <w:b/>
                <w:bCs/>
                <w:color w:val="000000"/>
                <w:sz w:val="17"/>
                <w:szCs w:val="17"/>
              </w:rPr>
              <w:t>(160)</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69C667B" w14:textId="77777777" w:rsidR="00066C63" w:rsidRDefault="00066C63">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69C667C"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69C667D" w14:textId="77777777" w:rsidR="00066C63" w:rsidRDefault="009656F6">
            <w:pPr>
              <w:jc w:val="right"/>
              <w:textAlignment w:val="bottom"/>
            </w:pPr>
            <w:r>
              <w:rPr>
                <w:rFonts w:ascii="Arial" w:eastAsia="宋体" w:hAnsi="Arial" w:cs="Arial"/>
                <w:b/>
                <w:bCs/>
                <w:color w:val="000000"/>
                <w:sz w:val="17"/>
                <w:szCs w:val="17"/>
              </w:rPr>
              <w:t>64</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69C667E" w14:textId="77777777" w:rsidR="00066C63" w:rsidRDefault="00066C63">
            <w:pPr>
              <w:jc w:val="right"/>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tcPr>
          <w:p w14:paraId="669C667F" w14:textId="77777777" w:rsidR="00066C63" w:rsidRDefault="00066C63">
            <w:pPr>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tcPr>
          <w:p w14:paraId="669C6680" w14:textId="77777777" w:rsidR="00066C63" w:rsidRDefault="00066C63">
            <w:pPr>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tcPr>
          <w:p w14:paraId="669C6681" w14:textId="77777777" w:rsidR="00066C63" w:rsidRDefault="00066C63">
            <w:pPr>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69C6682"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669C6683" w14:textId="77777777" w:rsidR="00066C63" w:rsidRDefault="009656F6">
            <w:pPr>
              <w:jc w:val="right"/>
              <w:textAlignment w:val="bottom"/>
            </w:pPr>
            <w:r>
              <w:rPr>
                <w:rFonts w:ascii="Arial" w:eastAsia="宋体" w:hAnsi="Arial" w:cs="Arial"/>
                <w:b/>
                <w:bCs/>
                <w:color w:val="000000"/>
                <w:sz w:val="17"/>
                <w:szCs w:val="17"/>
              </w:rPr>
              <w:t>(46)</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69C6684" w14:textId="77777777" w:rsidR="00066C63" w:rsidRDefault="00066C63">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69C6685"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69C6686" w14:textId="77777777" w:rsidR="00066C63" w:rsidRDefault="009656F6">
            <w:pPr>
              <w:jc w:val="right"/>
              <w:textAlignment w:val="bottom"/>
            </w:pPr>
            <w:r>
              <w:rPr>
                <w:rFonts w:ascii="Arial" w:eastAsia="宋体" w:hAnsi="Arial" w:cs="Arial"/>
                <w:b/>
                <w:bCs/>
                <w:color w:val="000000"/>
                <w:sz w:val="17"/>
                <w:szCs w:val="17"/>
              </w:rPr>
              <w:t>131</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69C6687" w14:textId="77777777" w:rsidR="00066C63" w:rsidRDefault="00066C63">
            <w:pPr>
              <w:jc w:val="right"/>
              <w:rPr>
                <w:rFonts w:ascii="宋体"/>
              </w:rPr>
            </w:pPr>
          </w:p>
        </w:tc>
      </w:tr>
    </w:tbl>
    <w:p w14:paraId="669C6689" w14:textId="77777777" w:rsidR="00066C63" w:rsidRDefault="009656F6">
      <w:pPr>
        <w:spacing w:before="60" w:after="60"/>
        <w:ind w:hanging="360"/>
      </w:pPr>
      <w:r>
        <w:rPr>
          <w:rFonts w:ascii="Arial" w:eastAsia="宋体" w:hAnsi="Arial" w:cs="Arial"/>
          <w:i/>
          <w:iCs/>
          <w:color w:val="000000"/>
          <w:sz w:val="14"/>
          <w:szCs w:val="14"/>
        </w:rPr>
        <w:t xml:space="preserve">(1)For the three months ended February 28, 2021 and February 29, 2020, </w:t>
      </w:r>
      <w:r>
        <w:rPr>
          <w:rFonts w:ascii="Arial" w:eastAsia="宋体" w:hAnsi="Arial" w:cs="Arial"/>
          <w:i/>
          <w:iCs/>
          <w:color w:val="000000"/>
          <w:sz w:val="14"/>
          <w:szCs w:val="14"/>
        </w:rPr>
        <w:t>the amounts recorded in Other (income) expense, net as a result of the discontinuance of cash flow hedges because the forecasted transactions were no longer probable of occurring were immaterial.</w:t>
      </w:r>
    </w:p>
    <w:p w14:paraId="669C668A" w14:textId="77777777" w:rsidR="00066C63" w:rsidRDefault="009656F6">
      <w:pPr>
        <w:spacing w:before="60" w:after="60"/>
        <w:ind w:hanging="360"/>
      </w:pPr>
      <w:r>
        <w:rPr>
          <w:rFonts w:ascii="Arial" w:eastAsia="宋体" w:hAnsi="Arial" w:cs="Arial"/>
          <w:i/>
          <w:iCs/>
          <w:color w:val="000000"/>
          <w:sz w:val="14"/>
          <w:szCs w:val="14"/>
        </w:rPr>
        <w:t xml:space="preserve">(2)Gains and losses associated with terminated </w:t>
      </w:r>
      <w:r>
        <w:rPr>
          <w:rFonts w:ascii="Arial" w:eastAsia="宋体" w:hAnsi="Arial" w:cs="Arial"/>
          <w:i/>
          <w:iCs/>
          <w:color w:val="000000"/>
          <w:sz w:val="14"/>
          <w:szCs w:val="14"/>
        </w:rPr>
        <w:t>interest rate swaps, which were previously designated as cash flow hedges and recorded in Accumulated other comprehensive income (loss), will be released through Interest expense (income), net over the term of the issued debt.</w:t>
      </w:r>
    </w:p>
    <w:p w14:paraId="669C668B" w14:textId="77777777" w:rsidR="00066C63" w:rsidRDefault="00066C63">
      <w:pPr>
        <w:spacing w:before="120" w:after="120"/>
      </w:pPr>
    </w:p>
    <w:p w14:paraId="669C668C" w14:textId="77777777" w:rsidR="00066C63" w:rsidRDefault="009656F6">
      <w:pPr>
        <w:spacing w:before="120" w:after="120"/>
      </w:pPr>
      <w:r>
        <w:rPr>
          <w:rFonts w:ascii="Arial" w:eastAsia="宋体" w:hAnsi="Arial" w:cs="Arial"/>
          <w:color w:val="E87722"/>
          <w:sz w:val="17"/>
          <w:szCs w:val="17"/>
        </w:rPr>
        <w:t>14</w:t>
      </w:r>
      <w:r>
        <w:rPr>
          <w:rFonts w:ascii="sans-serif" w:eastAsia="sans-serif" w:hAnsi="sans-serif" w:cs="sans-serif"/>
          <w:color w:val="000000"/>
          <w:sz w:val="17"/>
          <w:szCs w:val="17"/>
        </w:rPr>
        <w:t xml:space="preserve"> </w:t>
      </w:r>
    </w:p>
    <w:p w14:paraId="669C668D" w14:textId="77777777" w:rsidR="00066C63" w:rsidRDefault="009656F6">
      <w:r>
        <w:pict w14:anchorId="669C7E3E">
          <v:rect id="_x0000_i1040" style="width:415.3pt;height:1.5pt" o:hralign="center" o:hrstd="t" o:hr="t" fillcolor="#a0a0a0" stroked="f"/>
        </w:pict>
      </w:r>
    </w:p>
    <w:p w14:paraId="669C668E" w14:textId="77777777" w:rsidR="00066C63" w:rsidRDefault="00066C63"/>
    <w:p w14:paraId="669C668F" w14:textId="77777777" w:rsidR="00066C63" w:rsidRDefault="009656F6">
      <w:hyperlink r:id="rId85" w:anchor="i1e99cb26debe49fe8b698d0f0eb1273a_7" w:history="1">
        <w:r>
          <w:rPr>
            <w:rStyle w:val="a5"/>
            <w:rFonts w:ascii="sans-serif" w:eastAsia="sans-serif" w:hAnsi="sans-serif" w:cs="sans-serif"/>
            <w:sz w:val="17"/>
            <w:szCs w:val="17"/>
          </w:rPr>
          <w:t>Table of Contents</w:t>
        </w:r>
      </w:hyperlink>
    </w:p>
    <w:p w14:paraId="669C6690" w14:textId="77777777" w:rsidR="00066C63" w:rsidRDefault="00066C63"/>
    <w:tbl>
      <w:tblPr>
        <w:tblW w:w="5000" w:type="pct"/>
        <w:tblCellMar>
          <w:top w:w="15" w:type="dxa"/>
          <w:left w:w="15" w:type="dxa"/>
          <w:bottom w:w="15" w:type="dxa"/>
          <w:right w:w="15" w:type="dxa"/>
        </w:tblCellMar>
        <w:tblLook w:val="04A0" w:firstRow="1" w:lastRow="0" w:firstColumn="1" w:lastColumn="0" w:noHBand="0" w:noVBand="1"/>
      </w:tblPr>
      <w:tblGrid>
        <w:gridCol w:w="41"/>
        <w:gridCol w:w="1977"/>
        <w:gridCol w:w="38"/>
        <w:gridCol w:w="117"/>
        <w:gridCol w:w="778"/>
        <w:gridCol w:w="38"/>
        <w:gridCol w:w="117"/>
        <w:gridCol w:w="778"/>
        <w:gridCol w:w="37"/>
        <w:gridCol w:w="36"/>
        <w:gridCol w:w="36"/>
        <w:gridCol w:w="36"/>
        <w:gridCol w:w="44"/>
        <w:gridCol w:w="2280"/>
        <w:gridCol w:w="37"/>
        <w:gridCol w:w="37"/>
        <w:gridCol w:w="37"/>
        <w:gridCol w:w="37"/>
        <w:gridCol w:w="116"/>
        <w:gridCol w:w="748"/>
        <w:gridCol w:w="37"/>
        <w:gridCol w:w="116"/>
        <w:gridCol w:w="781"/>
        <w:gridCol w:w="37"/>
      </w:tblGrid>
      <w:tr w:rsidR="00066C63" w14:paraId="669C66A9" w14:textId="77777777">
        <w:tc>
          <w:tcPr>
            <w:tcW w:w="50" w:type="pct"/>
            <w:shd w:val="clear" w:color="auto" w:fill="auto"/>
          </w:tcPr>
          <w:p w14:paraId="669C6691" w14:textId="77777777" w:rsidR="00066C63" w:rsidRDefault="00066C63">
            <w:pPr>
              <w:rPr>
                <w:rFonts w:ascii="宋体"/>
              </w:rPr>
            </w:pPr>
          </w:p>
        </w:tc>
        <w:tc>
          <w:tcPr>
            <w:tcW w:w="1210" w:type="pct"/>
            <w:shd w:val="clear" w:color="auto" w:fill="auto"/>
          </w:tcPr>
          <w:p w14:paraId="669C6692" w14:textId="77777777" w:rsidR="00066C63" w:rsidRDefault="00066C63">
            <w:pPr>
              <w:rPr>
                <w:rFonts w:ascii="宋体"/>
              </w:rPr>
            </w:pPr>
          </w:p>
        </w:tc>
        <w:tc>
          <w:tcPr>
            <w:tcW w:w="5" w:type="pct"/>
            <w:shd w:val="clear" w:color="auto" w:fill="auto"/>
          </w:tcPr>
          <w:p w14:paraId="669C6693" w14:textId="77777777" w:rsidR="00066C63" w:rsidRDefault="00066C63">
            <w:pPr>
              <w:rPr>
                <w:rFonts w:ascii="宋体"/>
              </w:rPr>
            </w:pPr>
          </w:p>
        </w:tc>
        <w:tc>
          <w:tcPr>
            <w:tcW w:w="50" w:type="pct"/>
            <w:shd w:val="clear" w:color="auto" w:fill="auto"/>
          </w:tcPr>
          <w:p w14:paraId="669C6694" w14:textId="77777777" w:rsidR="00066C63" w:rsidRDefault="00066C63">
            <w:pPr>
              <w:rPr>
                <w:rFonts w:ascii="宋体"/>
              </w:rPr>
            </w:pPr>
          </w:p>
        </w:tc>
        <w:tc>
          <w:tcPr>
            <w:tcW w:w="492" w:type="pct"/>
            <w:shd w:val="clear" w:color="auto" w:fill="auto"/>
          </w:tcPr>
          <w:p w14:paraId="669C6695" w14:textId="77777777" w:rsidR="00066C63" w:rsidRDefault="00066C63">
            <w:pPr>
              <w:rPr>
                <w:rFonts w:ascii="宋体"/>
              </w:rPr>
            </w:pPr>
          </w:p>
        </w:tc>
        <w:tc>
          <w:tcPr>
            <w:tcW w:w="5" w:type="pct"/>
            <w:shd w:val="clear" w:color="auto" w:fill="auto"/>
          </w:tcPr>
          <w:p w14:paraId="669C6696" w14:textId="77777777" w:rsidR="00066C63" w:rsidRDefault="00066C63">
            <w:pPr>
              <w:rPr>
                <w:rFonts w:ascii="宋体"/>
              </w:rPr>
            </w:pPr>
          </w:p>
        </w:tc>
        <w:tc>
          <w:tcPr>
            <w:tcW w:w="50" w:type="pct"/>
            <w:shd w:val="clear" w:color="auto" w:fill="auto"/>
          </w:tcPr>
          <w:p w14:paraId="669C6697" w14:textId="77777777" w:rsidR="00066C63" w:rsidRDefault="00066C63">
            <w:pPr>
              <w:rPr>
                <w:rFonts w:ascii="宋体"/>
              </w:rPr>
            </w:pPr>
          </w:p>
        </w:tc>
        <w:tc>
          <w:tcPr>
            <w:tcW w:w="492" w:type="pct"/>
            <w:shd w:val="clear" w:color="auto" w:fill="auto"/>
          </w:tcPr>
          <w:p w14:paraId="669C6698" w14:textId="77777777" w:rsidR="00066C63" w:rsidRDefault="00066C63">
            <w:pPr>
              <w:rPr>
                <w:rFonts w:ascii="宋体"/>
              </w:rPr>
            </w:pPr>
          </w:p>
        </w:tc>
        <w:tc>
          <w:tcPr>
            <w:tcW w:w="5" w:type="pct"/>
            <w:shd w:val="clear" w:color="auto" w:fill="auto"/>
          </w:tcPr>
          <w:p w14:paraId="669C6699" w14:textId="77777777" w:rsidR="00066C63" w:rsidRDefault="00066C63">
            <w:pPr>
              <w:rPr>
                <w:rFonts w:ascii="宋体"/>
              </w:rPr>
            </w:pPr>
          </w:p>
        </w:tc>
        <w:tc>
          <w:tcPr>
            <w:tcW w:w="5" w:type="pct"/>
            <w:shd w:val="clear" w:color="auto" w:fill="auto"/>
          </w:tcPr>
          <w:p w14:paraId="669C669A" w14:textId="77777777" w:rsidR="00066C63" w:rsidRDefault="00066C63">
            <w:pPr>
              <w:rPr>
                <w:rFonts w:ascii="宋体"/>
              </w:rPr>
            </w:pPr>
          </w:p>
        </w:tc>
        <w:tc>
          <w:tcPr>
            <w:tcW w:w="28" w:type="pct"/>
            <w:shd w:val="clear" w:color="auto" w:fill="auto"/>
          </w:tcPr>
          <w:p w14:paraId="669C669B" w14:textId="77777777" w:rsidR="00066C63" w:rsidRDefault="00066C63">
            <w:pPr>
              <w:rPr>
                <w:rFonts w:ascii="宋体"/>
              </w:rPr>
            </w:pPr>
          </w:p>
        </w:tc>
        <w:tc>
          <w:tcPr>
            <w:tcW w:w="5" w:type="pct"/>
            <w:shd w:val="clear" w:color="auto" w:fill="auto"/>
          </w:tcPr>
          <w:p w14:paraId="669C669C" w14:textId="77777777" w:rsidR="00066C63" w:rsidRDefault="00066C63">
            <w:pPr>
              <w:rPr>
                <w:rFonts w:ascii="宋体"/>
              </w:rPr>
            </w:pPr>
          </w:p>
        </w:tc>
        <w:tc>
          <w:tcPr>
            <w:tcW w:w="50" w:type="pct"/>
            <w:shd w:val="clear" w:color="auto" w:fill="auto"/>
          </w:tcPr>
          <w:p w14:paraId="669C669D" w14:textId="77777777" w:rsidR="00066C63" w:rsidRDefault="00066C63">
            <w:pPr>
              <w:rPr>
                <w:rFonts w:ascii="宋体"/>
              </w:rPr>
            </w:pPr>
          </w:p>
        </w:tc>
        <w:tc>
          <w:tcPr>
            <w:tcW w:w="1411" w:type="pct"/>
            <w:shd w:val="clear" w:color="auto" w:fill="auto"/>
          </w:tcPr>
          <w:p w14:paraId="669C669E" w14:textId="77777777" w:rsidR="00066C63" w:rsidRDefault="00066C63">
            <w:pPr>
              <w:rPr>
                <w:rFonts w:ascii="宋体"/>
              </w:rPr>
            </w:pPr>
          </w:p>
        </w:tc>
        <w:tc>
          <w:tcPr>
            <w:tcW w:w="5" w:type="pct"/>
            <w:shd w:val="clear" w:color="auto" w:fill="auto"/>
          </w:tcPr>
          <w:p w14:paraId="669C669F" w14:textId="77777777" w:rsidR="00066C63" w:rsidRDefault="00066C63">
            <w:pPr>
              <w:rPr>
                <w:rFonts w:ascii="宋体"/>
              </w:rPr>
            </w:pPr>
          </w:p>
        </w:tc>
        <w:tc>
          <w:tcPr>
            <w:tcW w:w="5" w:type="pct"/>
            <w:shd w:val="clear" w:color="auto" w:fill="auto"/>
          </w:tcPr>
          <w:p w14:paraId="669C66A0" w14:textId="77777777" w:rsidR="00066C63" w:rsidRDefault="00066C63">
            <w:pPr>
              <w:rPr>
                <w:rFonts w:ascii="宋体"/>
              </w:rPr>
            </w:pPr>
          </w:p>
        </w:tc>
        <w:tc>
          <w:tcPr>
            <w:tcW w:w="28" w:type="pct"/>
            <w:shd w:val="clear" w:color="auto" w:fill="auto"/>
          </w:tcPr>
          <w:p w14:paraId="669C66A1" w14:textId="77777777" w:rsidR="00066C63" w:rsidRDefault="00066C63">
            <w:pPr>
              <w:rPr>
                <w:rFonts w:ascii="宋体"/>
              </w:rPr>
            </w:pPr>
          </w:p>
        </w:tc>
        <w:tc>
          <w:tcPr>
            <w:tcW w:w="5" w:type="pct"/>
            <w:shd w:val="clear" w:color="auto" w:fill="auto"/>
          </w:tcPr>
          <w:p w14:paraId="669C66A2" w14:textId="77777777" w:rsidR="00066C63" w:rsidRDefault="00066C63">
            <w:pPr>
              <w:rPr>
                <w:rFonts w:ascii="宋体"/>
              </w:rPr>
            </w:pPr>
          </w:p>
        </w:tc>
        <w:tc>
          <w:tcPr>
            <w:tcW w:w="50" w:type="pct"/>
            <w:shd w:val="clear" w:color="auto" w:fill="auto"/>
          </w:tcPr>
          <w:p w14:paraId="669C66A3" w14:textId="77777777" w:rsidR="00066C63" w:rsidRDefault="00066C63">
            <w:pPr>
              <w:rPr>
                <w:rFonts w:ascii="宋体"/>
              </w:rPr>
            </w:pPr>
          </w:p>
        </w:tc>
        <w:tc>
          <w:tcPr>
            <w:tcW w:w="492" w:type="pct"/>
            <w:shd w:val="clear" w:color="auto" w:fill="auto"/>
          </w:tcPr>
          <w:p w14:paraId="669C66A4" w14:textId="77777777" w:rsidR="00066C63" w:rsidRDefault="00066C63">
            <w:pPr>
              <w:rPr>
                <w:rFonts w:ascii="宋体"/>
              </w:rPr>
            </w:pPr>
          </w:p>
        </w:tc>
        <w:tc>
          <w:tcPr>
            <w:tcW w:w="5" w:type="pct"/>
            <w:shd w:val="clear" w:color="auto" w:fill="auto"/>
          </w:tcPr>
          <w:p w14:paraId="669C66A5" w14:textId="77777777" w:rsidR="00066C63" w:rsidRDefault="00066C63">
            <w:pPr>
              <w:rPr>
                <w:rFonts w:ascii="宋体"/>
              </w:rPr>
            </w:pPr>
          </w:p>
        </w:tc>
        <w:tc>
          <w:tcPr>
            <w:tcW w:w="50" w:type="pct"/>
            <w:shd w:val="clear" w:color="auto" w:fill="auto"/>
          </w:tcPr>
          <w:p w14:paraId="669C66A6" w14:textId="77777777" w:rsidR="00066C63" w:rsidRDefault="00066C63">
            <w:pPr>
              <w:rPr>
                <w:rFonts w:ascii="宋体"/>
              </w:rPr>
            </w:pPr>
          </w:p>
        </w:tc>
        <w:tc>
          <w:tcPr>
            <w:tcW w:w="493" w:type="pct"/>
            <w:shd w:val="clear" w:color="auto" w:fill="auto"/>
          </w:tcPr>
          <w:p w14:paraId="669C66A7" w14:textId="77777777" w:rsidR="00066C63" w:rsidRDefault="00066C63">
            <w:pPr>
              <w:rPr>
                <w:rFonts w:ascii="宋体"/>
              </w:rPr>
            </w:pPr>
          </w:p>
        </w:tc>
        <w:tc>
          <w:tcPr>
            <w:tcW w:w="5" w:type="pct"/>
            <w:shd w:val="clear" w:color="auto" w:fill="auto"/>
          </w:tcPr>
          <w:p w14:paraId="669C66A8" w14:textId="77777777" w:rsidR="00066C63" w:rsidRDefault="00066C63">
            <w:pPr>
              <w:rPr>
                <w:rFonts w:ascii="宋体"/>
              </w:rPr>
            </w:pPr>
          </w:p>
        </w:tc>
      </w:tr>
      <w:tr w:rsidR="00066C63" w14:paraId="669C66B2" w14:textId="77777777">
        <w:trPr>
          <w:trHeight w:val="780"/>
        </w:trPr>
        <w:tc>
          <w:tcPr>
            <w:tcW w:w="0" w:type="auto"/>
            <w:gridSpan w:val="3"/>
            <w:vMerge w:val="restart"/>
            <w:shd w:val="clear" w:color="auto" w:fill="auto"/>
            <w:tcMar>
              <w:top w:w="40" w:type="dxa"/>
              <w:left w:w="20" w:type="dxa"/>
              <w:bottom w:w="40" w:type="dxa"/>
              <w:right w:w="20" w:type="dxa"/>
            </w:tcMar>
            <w:vAlign w:val="bottom"/>
          </w:tcPr>
          <w:p w14:paraId="669C66AA" w14:textId="77777777" w:rsidR="00066C63" w:rsidRDefault="00066C63">
            <w:pPr>
              <w:textAlignment w:val="bottom"/>
            </w:pPr>
          </w:p>
          <w:p w14:paraId="669C66AB" w14:textId="77777777" w:rsidR="00066C63" w:rsidRDefault="009656F6">
            <w:pPr>
              <w:textAlignment w:val="bottom"/>
            </w:pPr>
            <w:r>
              <w:rPr>
                <w:rFonts w:ascii="Arial Narrow" w:eastAsia="Arial Narrow" w:hAnsi="Arial Narrow" w:cs="Arial Narrow"/>
                <w:i/>
                <w:iCs/>
                <w:color w:val="000000"/>
                <w:sz w:val="17"/>
                <w:szCs w:val="17"/>
              </w:rPr>
              <w:t>(Dollars in millions)</w:t>
            </w:r>
          </w:p>
        </w:tc>
        <w:tc>
          <w:tcPr>
            <w:tcW w:w="0" w:type="auto"/>
            <w:gridSpan w:val="6"/>
            <w:tcBorders>
              <w:bottom w:val="single" w:sz="8" w:space="0" w:color="E87722"/>
            </w:tcBorders>
            <w:shd w:val="clear" w:color="auto" w:fill="auto"/>
            <w:tcMar>
              <w:top w:w="40" w:type="dxa"/>
              <w:left w:w="20" w:type="dxa"/>
              <w:bottom w:w="40" w:type="dxa"/>
              <w:right w:w="20" w:type="dxa"/>
            </w:tcMar>
            <w:vAlign w:val="bottom"/>
          </w:tcPr>
          <w:p w14:paraId="669C66AC" w14:textId="77777777" w:rsidR="00066C63" w:rsidRDefault="009656F6">
            <w:pPr>
              <w:jc w:val="center"/>
              <w:textAlignment w:val="bottom"/>
            </w:pPr>
            <w:r>
              <w:rPr>
                <w:rFonts w:ascii="sans-serif" w:eastAsia="sans-serif" w:hAnsi="sans-serif" w:cs="sans-serif"/>
                <w:b/>
                <w:bCs/>
                <w:color w:val="000000"/>
                <w:sz w:val="17"/>
                <w:szCs w:val="17"/>
              </w:rPr>
              <w:t xml:space="preserve">AMOUNT OF GAIN (LOSS) </w:t>
            </w:r>
            <w:r>
              <w:rPr>
                <w:rFonts w:ascii="sans-serif" w:eastAsia="sans-serif" w:hAnsi="sans-serif" w:cs="sans-serif"/>
                <w:b/>
                <w:bCs/>
                <w:color w:val="000000"/>
                <w:sz w:val="17"/>
                <w:szCs w:val="17"/>
              </w:rPr>
              <w:br/>
              <w:t xml:space="preserve">RECOGNIZED IN OTHER </w:t>
            </w:r>
            <w:r>
              <w:rPr>
                <w:rFonts w:ascii="sans-serif" w:eastAsia="sans-serif" w:hAnsi="sans-serif" w:cs="sans-serif"/>
                <w:b/>
                <w:bCs/>
                <w:color w:val="000000"/>
                <w:sz w:val="17"/>
                <w:szCs w:val="17"/>
              </w:rPr>
              <w:br/>
              <w:t>COMPREHENSIVE INCOME (LOSS) ON DERIVATIVES</w:t>
            </w:r>
            <w:r>
              <w:rPr>
                <w:rFonts w:ascii="sans-serif" w:eastAsia="sans-serif" w:hAnsi="sans-serif" w:cs="sans-serif"/>
                <w:b/>
                <w:bCs/>
                <w:color w:val="000000"/>
                <w:sz w:val="9"/>
                <w:szCs w:val="9"/>
              </w:rPr>
              <w:t>(1)</w:t>
            </w:r>
          </w:p>
        </w:tc>
        <w:tc>
          <w:tcPr>
            <w:tcW w:w="0" w:type="auto"/>
            <w:gridSpan w:val="3"/>
            <w:shd w:val="clear" w:color="auto" w:fill="auto"/>
            <w:tcMar>
              <w:top w:w="0" w:type="dxa"/>
              <w:left w:w="20" w:type="dxa"/>
              <w:bottom w:w="0" w:type="dxa"/>
              <w:right w:w="20" w:type="dxa"/>
            </w:tcMar>
          </w:tcPr>
          <w:p w14:paraId="669C66AD" w14:textId="77777777" w:rsidR="00066C63" w:rsidRDefault="00066C63">
            <w:pPr>
              <w:rPr>
                <w:rFonts w:ascii="宋体"/>
              </w:rPr>
            </w:pPr>
          </w:p>
        </w:tc>
        <w:tc>
          <w:tcPr>
            <w:tcW w:w="0" w:type="auto"/>
            <w:gridSpan w:val="12"/>
            <w:tcBorders>
              <w:bottom w:val="single" w:sz="8" w:space="0" w:color="E87722"/>
            </w:tcBorders>
            <w:shd w:val="clear" w:color="auto" w:fill="auto"/>
            <w:tcMar>
              <w:top w:w="40" w:type="dxa"/>
              <w:left w:w="20" w:type="dxa"/>
              <w:bottom w:w="40" w:type="dxa"/>
              <w:right w:w="20" w:type="dxa"/>
            </w:tcMar>
            <w:vAlign w:val="bottom"/>
          </w:tcPr>
          <w:p w14:paraId="669C66AE" w14:textId="77777777" w:rsidR="00066C63" w:rsidRDefault="009656F6">
            <w:pPr>
              <w:jc w:val="center"/>
              <w:textAlignment w:val="bottom"/>
            </w:pPr>
            <w:r>
              <w:rPr>
                <w:rFonts w:ascii="sans-serif" w:eastAsia="sans-serif" w:hAnsi="sans-serif" w:cs="sans-serif"/>
                <w:b/>
                <w:bCs/>
                <w:color w:val="000000"/>
                <w:sz w:val="17"/>
                <w:szCs w:val="17"/>
              </w:rPr>
              <w:t xml:space="preserve">AMOUNT OF GAIN (LOSS) </w:t>
            </w:r>
          </w:p>
          <w:p w14:paraId="669C66AF" w14:textId="77777777" w:rsidR="00066C63" w:rsidRDefault="009656F6">
            <w:pPr>
              <w:jc w:val="center"/>
              <w:textAlignment w:val="bottom"/>
            </w:pPr>
            <w:r>
              <w:rPr>
                <w:rFonts w:ascii="sans-serif" w:eastAsia="sans-serif" w:hAnsi="sans-serif" w:cs="sans-serif"/>
                <w:b/>
                <w:bCs/>
                <w:color w:val="000000"/>
                <w:sz w:val="17"/>
                <w:szCs w:val="17"/>
              </w:rPr>
              <w:t xml:space="preserve">RECLASSIFIED FROM ACCUMULATED </w:t>
            </w:r>
          </w:p>
          <w:p w14:paraId="669C66B0" w14:textId="77777777" w:rsidR="00066C63" w:rsidRDefault="009656F6">
            <w:pPr>
              <w:jc w:val="center"/>
              <w:textAlignment w:val="bottom"/>
            </w:pPr>
            <w:r>
              <w:rPr>
                <w:rFonts w:ascii="sans-serif" w:eastAsia="sans-serif" w:hAnsi="sans-serif" w:cs="sans-serif"/>
                <w:b/>
                <w:bCs/>
                <w:color w:val="000000"/>
                <w:sz w:val="17"/>
                <w:szCs w:val="17"/>
              </w:rPr>
              <w:t xml:space="preserve">OTHER COMPREHENSIVE </w:t>
            </w:r>
          </w:p>
          <w:p w14:paraId="669C66B1" w14:textId="77777777" w:rsidR="00066C63" w:rsidRDefault="009656F6">
            <w:pPr>
              <w:jc w:val="center"/>
              <w:textAlignment w:val="bottom"/>
            </w:pPr>
            <w:r>
              <w:rPr>
                <w:rFonts w:ascii="sans-serif" w:eastAsia="sans-serif" w:hAnsi="sans-serif" w:cs="sans-serif"/>
                <w:b/>
                <w:bCs/>
                <w:color w:val="000000"/>
                <w:sz w:val="17"/>
                <w:szCs w:val="17"/>
              </w:rPr>
              <w:t>INCOME (LOSS) INTO INCOME</w:t>
            </w:r>
            <w:r>
              <w:rPr>
                <w:rFonts w:ascii="sans-serif" w:eastAsia="sans-serif" w:hAnsi="sans-serif" w:cs="sans-serif"/>
                <w:b/>
                <w:bCs/>
                <w:color w:val="000000"/>
                <w:sz w:val="11"/>
                <w:szCs w:val="11"/>
              </w:rPr>
              <w:t>(</w:t>
            </w:r>
            <w:r>
              <w:rPr>
                <w:rFonts w:ascii="sans-serif" w:eastAsia="sans-serif" w:hAnsi="sans-serif" w:cs="sans-serif"/>
                <w:b/>
                <w:bCs/>
                <w:color w:val="000000"/>
                <w:sz w:val="11"/>
                <w:szCs w:val="11"/>
              </w:rPr>
              <w:t>1)</w:t>
            </w:r>
          </w:p>
        </w:tc>
      </w:tr>
      <w:tr w:rsidR="00066C63" w14:paraId="669C66B9" w14:textId="77777777">
        <w:trPr>
          <w:trHeight w:val="300"/>
        </w:trPr>
        <w:tc>
          <w:tcPr>
            <w:tcW w:w="0" w:type="auto"/>
            <w:gridSpan w:val="3"/>
            <w:vMerge/>
            <w:shd w:val="clear" w:color="auto" w:fill="auto"/>
            <w:tcMar>
              <w:top w:w="40" w:type="dxa"/>
              <w:left w:w="20" w:type="dxa"/>
              <w:bottom w:w="40" w:type="dxa"/>
              <w:right w:w="20" w:type="dxa"/>
            </w:tcMar>
            <w:vAlign w:val="bottom"/>
          </w:tcPr>
          <w:p w14:paraId="669C66B3" w14:textId="77777777" w:rsidR="00066C63" w:rsidRDefault="00066C63">
            <w:pPr>
              <w:rPr>
                <w:rFonts w:ascii="宋体"/>
              </w:rPr>
            </w:pPr>
          </w:p>
        </w:tc>
        <w:tc>
          <w:tcPr>
            <w:tcW w:w="0" w:type="auto"/>
            <w:gridSpan w:val="6"/>
            <w:tcBorders>
              <w:top w:val="single" w:sz="8" w:space="0" w:color="E87722"/>
            </w:tcBorders>
            <w:shd w:val="clear" w:color="auto" w:fill="auto"/>
            <w:tcMar>
              <w:top w:w="40" w:type="dxa"/>
              <w:left w:w="20" w:type="dxa"/>
              <w:bottom w:w="40" w:type="dxa"/>
              <w:right w:w="20" w:type="dxa"/>
            </w:tcMar>
            <w:vAlign w:val="bottom"/>
          </w:tcPr>
          <w:p w14:paraId="669C66B4" w14:textId="77777777" w:rsidR="00066C63" w:rsidRDefault="009656F6">
            <w:pPr>
              <w:jc w:val="center"/>
              <w:textAlignment w:val="bottom"/>
            </w:pPr>
            <w:r>
              <w:rPr>
                <w:rFonts w:ascii="sans-serif" w:eastAsia="sans-serif" w:hAnsi="sans-serif" w:cs="sans-serif"/>
                <w:b/>
                <w:bCs/>
                <w:color w:val="000000"/>
                <w:sz w:val="17"/>
                <w:szCs w:val="17"/>
              </w:rPr>
              <w:t xml:space="preserve">NINE MONTHS ENDED </w:t>
            </w:r>
          </w:p>
        </w:tc>
        <w:tc>
          <w:tcPr>
            <w:tcW w:w="0" w:type="auto"/>
            <w:gridSpan w:val="3"/>
            <w:shd w:val="clear" w:color="auto" w:fill="auto"/>
            <w:tcMar>
              <w:top w:w="0" w:type="dxa"/>
              <w:left w:w="20" w:type="dxa"/>
              <w:bottom w:w="0" w:type="dxa"/>
              <w:right w:w="20" w:type="dxa"/>
            </w:tcMar>
          </w:tcPr>
          <w:p w14:paraId="669C66B5" w14:textId="77777777" w:rsidR="00066C63" w:rsidRDefault="00066C63">
            <w:pPr>
              <w:rPr>
                <w:rFonts w:ascii="宋体"/>
              </w:rPr>
            </w:pPr>
          </w:p>
        </w:tc>
        <w:tc>
          <w:tcPr>
            <w:tcW w:w="0" w:type="auto"/>
            <w:gridSpan w:val="3"/>
            <w:vMerge w:val="restart"/>
            <w:tcBorders>
              <w:top w:val="single" w:sz="8" w:space="0" w:color="E87722"/>
            </w:tcBorders>
            <w:shd w:val="clear" w:color="auto" w:fill="auto"/>
            <w:tcMar>
              <w:top w:w="40" w:type="dxa"/>
              <w:left w:w="20" w:type="dxa"/>
              <w:bottom w:w="40" w:type="dxa"/>
              <w:right w:w="20" w:type="dxa"/>
            </w:tcMar>
            <w:vAlign w:val="bottom"/>
          </w:tcPr>
          <w:p w14:paraId="669C66B6" w14:textId="77777777" w:rsidR="00066C63" w:rsidRDefault="009656F6">
            <w:pPr>
              <w:jc w:val="right"/>
              <w:textAlignment w:val="bottom"/>
            </w:pPr>
            <w:r>
              <w:rPr>
                <w:rFonts w:ascii="sans-serif" w:eastAsia="sans-serif" w:hAnsi="sans-serif" w:cs="sans-serif"/>
                <w:b/>
                <w:bCs/>
                <w:color w:val="000000"/>
                <w:sz w:val="17"/>
                <w:szCs w:val="17"/>
              </w:rPr>
              <w:t xml:space="preserve">LOCATION OF GAIN (LOSS) </w:t>
            </w:r>
            <w:r>
              <w:rPr>
                <w:rFonts w:ascii="sans-serif" w:eastAsia="sans-serif" w:hAnsi="sans-serif" w:cs="sans-serif"/>
                <w:b/>
                <w:bCs/>
                <w:color w:val="000000"/>
                <w:sz w:val="17"/>
                <w:szCs w:val="17"/>
              </w:rPr>
              <w:br/>
              <w:t xml:space="preserve">RECLASSIFIED FROM ACCUMULATED </w:t>
            </w:r>
            <w:r>
              <w:rPr>
                <w:rFonts w:ascii="sans-serif" w:eastAsia="sans-serif" w:hAnsi="sans-serif" w:cs="sans-serif"/>
                <w:b/>
                <w:bCs/>
                <w:color w:val="000000"/>
                <w:sz w:val="17"/>
                <w:szCs w:val="17"/>
              </w:rPr>
              <w:br/>
              <w:t xml:space="preserve">OTHER COMPREHENSIVE INCOME </w:t>
            </w:r>
            <w:r>
              <w:rPr>
                <w:rFonts w:ascii="sans-serif" w:eastAsia="sans-serif" w:hAnsi="sans-serif" w:cs="sans-serif"/>
                <w:b/>
                <w:bCs/>
                <w:color w:val="000000"/>
                <w:sz w:val="17"/>
                <w:szCs w:val="17"/>
              </w:rPr>
              <w:br/>
              <w:t>(LOSS) INTO INCOME</w:t>
            </w:r>
          </w:p>
        </w:tc>
        <w:tc>
          <w:tcPr>
            <w:tcW w:w="0" w:type="auto"/>
            <w:gridSpan w:val="3"/>
            <w:tcBorders>
              <w:top w:val="single" w:sz="8" w:space="0" w:color="E87722"/>
            </w:tcBorders>
            <w:shd w:val="clear" w:color="auto" w:fill="auto"/>
            <w:tcMar>
              <w:top w:w="0" w:type="dxa"/>
              <w:left w:w="20" w:type="dxa"/>
              <w:bottom w:w="0" w:type="dxa"/>
              <w:right w:w="20" w:type="dxa"/>
            </w:tcMar>
          </w:tcPr>
          <w:p w14:paraId="669C66B7" w14:textId="77777777" w:rsidR="00066C63" w:rsidRDefault="00066C63">
            <w:pPr>
              <w:rPr>
                <w:rFonts w:ascii="宋体"/>
              </w:rPr>
            </w:pPr>
          </w:p>
        </w:tc>
        <w:tc>
          <w:tcPr>
            <w:tcW w:w="0" w:type="auto"/>
            <w:gridSpan w:val="6"/>
            <w:tcBorders>
              <w:top w:val="single" w:sz="8" w:space="0" w:color="E87722"/>
            </w:tcBorders>
            <w:shd w:val="clear" w:color="auto" w:fill="auto"/>
            <w:tcMar>
              <w:top w:w="40" w:type="dxa"/>
              <w:left w:w="20" w:type="dxa"/>
              <w:bottom w:w="40" w:type="dxa"/>
              <w:right w:w="20" w:type="dxa"/>
            </w:tcMar>
            <w:vAlign w:val="bottom"/>
          </w:tcPr>
          <w:p w14:paraId="669C66B8" w14:textId="77777777" w:rsidR="00066C63" w:rsidRDefault="009656F6">
            <w:pPr>
              <w:jc w:val="center"/>
              <w:textAlignment w:val="bottom"/>
            </w:pPr>
            <w:r>
              <w:rPr>
                <w:rFonts w:ascii="sans-serif" w:eastAsia="sans-serif" w:hAnsi="sans-serif" w:cs="sans-serif"/>
                <w:b/>
                <w:bCs/>
                <w:color w:val="000000"/>
                <w:sz w:val="17"/>
                <w:szCs w:val="17"/>
              </w:rPr>
              <w:t xml:space="preserve">NINE MONTHS ENDED </w:t>
            </w:r>
          </w:p>
        </w:tc>
      </w:tr>
      <w:tr w:rsidR="00066C63" w14:paraId="669C66C2" w14:textId="77777777">
        <w:trPr>
          <w:trHeight w:val="420"/>
        </w:trPr>
        <w:tc>
          <w:tcPr>
            <w:tcW w:w="0" w:type="auto"/>
            <w:gridSpan w:val="3"/>
            <w:vMerge/>
            <w:shd w:val="clear" w:color="auto" w:fill="auto"/>
            <w:tcMar>
              <w:top w:w="40" w:type="dxa"/>
              <w:left w:w="20" w:type="dxa"/>
              <w:bottom w:w="40" w:type="dxa"/>
              <w:right w:w="20" w:type="dxa"/>
            </w:tcMar>
            <w:vAlign w:val="bottom"/>
          </w:tcPr>
          <w:p w14:paraId="669C66BA" w14:textId="77777777" w:rsidR="00066C63" w:rsidRDefault="00066C63">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6BB" w14:textId="77777777" w:rsidR="00066C63" w:rsidRDefault="009656F6">
            <w:pPr>
              <w:jc w:val="center"/>
              <w:textAlignment w:val="bottom"/>
            </w:pPr>
            <w:r>
              <w:rPr>
                <w:rFonts w:ascii="sans-serif" w:eastAsia="sans-serif" w:hAnsi="sans-serif" w:cs="sans-serif"/>
                <w:b/>
                <w:bCs/>
                <w:color w:val="000000"/>
                <w:sz w:val="17"/>
                <w:szCs w:val="17"/>
              </w:rPr>
              <w:t>FEBRUARY 28, 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6BC" w14:textId="77777777" w:rsidR="00066C63" w:rsidRDefault="009656F6">
            <w:pPr>
              <w:jc w:val="center"/>
              <w:textAlignment w:val="bottom"/>
            </w:pPr>
            <w:r>
              <w:rPr>
                <w:rFonts w:ascii="sans-serif" w:eastAsia="sans-serif" w:hAnsi="sans-serif" w:cs="sans-serif"/>
                <w:b/>
                <w:bCs/>
                <w:color w:val="000000"/>
                <w:sz w:val="17"/>
                <w:szCs w:val="17"/>
              </w:rPr>
              <w:t>FEBRUARY 29, 2020</w:t>
            </w:r>
          </w:p>
        </w:tc>
        <w:tc>
          <w:tcPr>
            <w:tcW w:w="0" w:type="auto"/>
            <w:gridSpan w:val="3"/>
            <w:shd w:val="clear" w:color="auto" w:fill="auto"/>
            <w:tcMar>
              <w:top w:w="0" w:type="dxa"/>
              <w:left w:w="20" w:type="dxa"/>
              <w:bottom w:w="0" w:type="dxa"/>
              <w:right w:w="20" w:type="dxa"/>
            </w:tcMar>
          </w:tcPr>
          <w:p w14:paraId="669C66BD" w14:textId="77777777" w:rsidR="00066C63" w:rsidRDefault="00066C63">
            <w:pPr>
              <w:rPr>
                <w:rFonts w:ascii="宋体"/>
              </w:rPr>
            </w:pPr>
          </w:p>
        </w:tc>
        <w:tc>
          <w:tcPr>
            <w:tcW w:w="0" w:type="auto"/>
            <w:gridSpan w:val="3"/>
            <w:vMerge/>
            <w:tcBorders>
              <w:top w:val="single" w:sz="8" w:space="0" w:color="E87722"/>
            </w:tcBorders>
            <w:shd w:val="clear" w:color="auto" w:fill="auto"/>
            <w:tcMar>
              <w:top w:w="40" w:type="dxa"/>
              <w:left w:w="20" w:type="dxa"/>
              <w:bottom w:w="40" w:type="dxa"/>
              <w:right w:w="20" w:type="dxa"/>
            </w:tcMar>
            <w:vAlign w:val="bottom"/>
          </w:tcPr>
          <w:p w14:paraId="669C66BE" w14:textId="77777777" w:rsidR="00066C63" w:rsidRDefault="00066C63">
            <w:pPr>
              <w:jc w:val="right"/>
              <w:rPr>
                <w:rFonts w:ascii="宋体"/>
              </w:rPr>
            </w:pPr>
          </w:p>
        </w:tc>
        <w:tc>
          <w:tcPr>
            <w:tcW w:w="0" w:type="auto"/>
            <w:gridSpan w:val="3"/>
            <w:shd w:val="clear" w:color="auto" w:fill="auto"/>
            <w:tcMar>
              <w:top w:w="0" w:type="dxa"/>
              <w:left w:w="20" w:type="dxa"/>
              <w:bottom w:w="0" w:type="dxa"/>
              <w:right w:w="20" w:type="dxa"/>
            </w:tcMar>
          </w:tcPr>
          <w:p w14:paraId="669C66BF" w14:textId="77777777" w:rsidR="00066C63" w:rsidRDefault="00066C63">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6C0" w14:textId="77777777" w:rsidR="00066C63" w:rsidRDefault="009656F6">
            <w:pPr>
              <w:jc w:val="center"/>
              <w:textAlignment w:val="bottom"/>
            </w:pPr>
            <w:r>
              <w:rPr>
                <w:rFonts w:ascii="sans-serif" w:eastAsia="sans-serif" w:hAnsi="sans-serif" w:cs="sans-serif"/>
                <w:b/>
                <w:bCs/>
                <w:color w:val="000000"/>
                <w:sz w:val="17"/>
                <w:szCs w:val="17"/>
              </w:rPr>
              <w:t>FEBRUARY 28, 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6C1" w14:textId="77777777" w:rsidR="00066C63" w:rsidRDefault="009656F6">
            <w:pPr>
              <w:jc w:val="center"/>
              <w:textAlignment w:val="bottom"/>
            </w:pPr>
            <w:r>
              <w:rPr>
                <w:rFonts w:ascii="sans-serif" w:eastAsia="sans-serif" w:hAnsi="sans-serif" w:cs="sans-serif"/>
                <w:b/>
                <w:bCs/>
                <w:color w:val="000000"/>
                <w:sz w:val="17"/>
                <w:szCs w:val="17"/>
              </w:rPr>
              <w:t>FEBRUARY 29, 2020</w:t>
            </w:r>
          </w:p>
        </w:tc>
      </w:tr>
      <w:tr w:rsidR="00066C63" w14:paraId="669C66CB"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6C3" w14:textId="77777777" w:rsidR="00066C63" w:rsidRDefault="009656F6">
            <w:pPr>
              <w:textAlignment w:val="bottom"/>
            </w:pPr>
            <w:r>
              <w:rPr>
                <w:rFonts w:ascii="Arial" w:eastAsia="宋体" w:hAnsi="Arial" w:cs="Arial"/>
                <w:color w:val="000000"/>
                <w:sz w:val="17"/>
                <w:szCs w:val="17"/>
              </w:rPr>
              <w:t xml:space="preserve">Derivatives designated as </w:t>
            </w:r>
            <w:r>
              <w:rPr>
                <w:rFonts w:ascii="sans-serif" w:eastAsia="sans-serif" w:hAnsi="sans-serif" w:cs="sans-serif"/>
                <w:b/>
                <w:bCs/>
                <w:color w:val="000000"/>
                <w:sz w:val="17"/>
                <w:szCs w:val="17"/>
              </w:rPr>
              <w:br/>
            </w:r>
            <w:r>
              <w:rPr>
                <w:rFonts w:ascii="Arial" w:eastAsia="宋体" w:hAnsi="Arial" w:cs="Arial"/>
                <w:color w:val="000000"/>
                <w:sz w:val="17"/>
                <w:szCs w:val="17"/>
              </w:rPr>
              <w:t>cash flow hedges:</w:t>
            </w:r>
          </w:p>
        </w:tc>
        <w:tc>
          <w:tcPr>
            <w:tcW w:w="0" w:type="auto"/>
            <w:gridSpan w:val="3"/>
            <w:tcBorders>
              <w:top w:val="single" w:sz="8" w:space="0" w:color="E87722"/>
            </w:tcBorders>
            <w:shd w:val="clear" w:color="auto" w:fill="FFF1E7"/>
            <w:tcMar>
              <w:top w:w="0" w:type="dxa"/>
              <w:left w:w="20" w:type="dxa"/>
              <w:bottom w:w="0" w:type="dxa"/>
              <w:right w:w="20" w:type="dxa"/>
            </w:tcMar>
          </w:tcPr>
          <w:p w14:paraId="669C66C4"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66C5"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66C6"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66C7"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66C8" w14:textId="77777777" w:rsidR="00066C63" w:rsidRDefault="00066C63">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669C66C9"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66CA" w14:textId="77777777" w:rsidR="00066C63" w:rsidRDefault="00066C63">
            <w:pPr>
              <w:rPr>
                <w:rFonts w:ascii="宋体"/>
              </w:rPr>
            </w:pPr>
          </w:p>
        </w:tc>
      </w:tr>
      <w:tr w:rsidR="00066C63" w14:paraId="669C66DC"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66CC" w14:textId="77777777" w:rsidR="00066C63" w:rsidRDefault="009656F6">
            <w:pPr>
              <w:textAlignment w:val="bottom"/>
            </w:pPr>
            <w:r>
              <w:rPr>
                <w:rFonts w:ascii="Arial" w:eastAsia="宋体" w:hAnsi="Arial" w:cs="Arial"/>
                <w:color w:val="000000"/>
                <w:sz w:val="17"/>
                <w:szCs w:val="17"/>
              </w:rPr>
              <w:t xml:space="preserve">Foreign exchange forwards </w:t>
            </w:r>
            <w:r>
              <w:rPr>
                <w:rFonts w:ascii="sans-serif" w:eastAsia="sans-serif" w:hAnsi="sans-serif" w:cs="sans-serif"/>
                <w:b/>
                <w:bCs/>
                <w:color w:val="000000"/>
                <w:sz w:val="17"/>
                <w:szCs w:val="17"/>
              </w:rPr>
              <w:br/>
            </w:r>
            <w:r>
              <w:rPr>
                <w:rFonts w:ascii="Arial" w:eastAsia="宋体" w:hAnsi="Arial" w:cs="Arial"/>
                <w:color w:val="000000"/>
                <w:sz w:val="17"/>
                <w:szCs w:val="17"/>
              </w:rPr>
              <w:t>and options</w:t>
            </w:r>
          </w:p>
        </w:tc>
        <w:tc>
          <w:tcPr>
            <w:tcW w:w="0" w:type="auto"/>
            <w:tcBorders>
              <w:top w:val="single" w:sz="8" w:space="0" w:color="808080"/>
            </w:tcBorders>
            <w:shd w:val="clear" w:color="auto" w:fill="FFF1E7"/>
            <w:tcMar>
              <w:top w:w="40" w:type="dxa"/>
              <w:left w:w="20" w:type="dxa"/>
              <w:bottom w:w="40" w:type="dxa"/>
              <w:right w:w="0" w:type="dxa"/>
            </w:tcMar>
            <w:vAlign w:val="bottom"/>
          </w:tcPr>
          <w:p w14:paraId="669C66CD"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669C66CE" w14:textId="77777777" w:rsidR="00066C63" w:rsidRDefault="009656F6">
            <w:pPr>
              <w:jc w:val="right"/>
              <w:textAlignment w:val="bottom"/>
            </w:pPr>
            <w:r>
              <w:rPr>
                <w:rFonts w:ascii="Arial" w:eastAsia="宋体" w:hAnsi="Arial" w:cs="Arial"/>
                <w:color w:val="000000"/>
                <w:sz w:val="17"/>
                <w:szCs w:val="17"/>
              </w:rPr>
              <w:t>(32)</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6CF" w14:textId="77777777" w:rsidR="00066C63" w:rsidRDefault="00066C63">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669C66D0"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669C66D1" w14:textId="77777777" w:rsidR="00066C63" w:rsidRDefault="009656F6">
            <w:pPr>
              <w:jc w:val="right"/>
              <w:textAlignment w:val="bottom"/>
            </w:pPr>
            <w:r>
              <w:rPr>
                <w:rFonts w:ascii="Arial" w:eastAsia="宋体" w:hAnsi="Arial" w:cs="Arial"/>
                <w:color w:val="000000"/>
                <w:sz w:val="17"/>
                <w:szCs w:val="17"/>
              </w:rPr>
              <w:t>(45)</w:t>
            </w:r>
          </w:p>
        </w:tc>
        <w:tc>
          <w:tcPr>
            <w:tcW w:w="0" w:type="auto"/>
            <w:tcBorders>
              <w:top w:val="single" w:sz="8" w:space="0" w:color="808080"/>
            </w:tcBorders>
            <w:shd w:val="clear" w:color="auto" w:fill="auto"/>
            <w:tcMar>
              <w:top w:w="40" w:type="dxa"/>
              <w:left w:w="0" w:type="dxa"/>
              <w:bottom w:w="40" w:type="dxa"/>
              <w:right w:w="20" w:type="dxa"/>
            </w:tcMar>
            <w:vAlign w:val="bottom"/>
          </w:tcPr>
          <w:p w14:paraId="669C66D2" w14:textId="77777777" w:rsidR="00066C63" w:rsidRDefault="00066C63">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66D3" w14:textId="77777777" w:rsidR="00066C63" w:rsidRDefault="00066C63">
            <w:pPr>
              <w:rPr>
                <w:rFonts w:ascii="宋体"/>
              </w:rPr>
            </w:pP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66D4" w14:textId="77777777" w:rsidR="00066C63" w:rsidRDefault="009656F6">
            <w:pPr>
              <w:jc w:val="right"/>
              <w:textAlignment w:val="bottom"/>
            </w:pPr>
            <w:r>
              <w:rPr>
                <w:rFonts w:ascii="Arial" w:eastAsia="宋体" w:hAnsi="Arial" w:cs="Arial"/>
                <w:color w:val="000000"/>
                <w:sz w:val="17"/>
                <w:szCs w:val="17"/>
              </w:rPr>
              <w:t>Revenues</w:t>
            </w:r>
          </w:p>
        </w:tc>
        <w:tc>
          <w:tcPr>
            <w:tcW w:w="0" w:type="auto"/>
            <w:gridSpan w:val="3"/>
            <w:tcBorders>
              <w:top w:val="single" w:sz="8" w:space="0" w:color="808080"/>
            </w:tcBorders>
            <w:shd w:val="clear" w:color="auto" w:fill="auto"/>
            <w:tcMar>
              <w:top w:w="0" w:type="dxa"/>
              <w:left w:w="20" w:type="dxa"/>
              <w:bottom w:w="0" w:type="dxa"/>
              <w:right w:w="20" w:type="dxa"/>
            </w:tcMar>
          </w:tcPr>
          <w:p w14:paraId="669C66D5" w14:textId="77777777" w:rsidR="00066C63" w:rsidRDefault="00066C63">
            <w:pPr>
              <w:rPr>
                <w:rFonts w:ascii="宋体"/>
              </w:rPr>
            </w:pPr>
          </w:p>
        </w:tc>
        <w:tc>
          <w:tcPr>
            <w:tcW w:w="0" w:type="auto"/>
            <w:tcBorders>
              <w:top w:val="single" w:sz="8" w:space="0" w:color="808080"/>
            </w:tcBorders>
            <w:shd w:val="clear" w:color="auto" w:fill="FFF1E7"/>
            <w:tcMar>
              <w:top w:w="40" w:type="dxa"/>
              <w:left w:w="20" w:type="dxa"/>
              <w:bottom w:w="40" w:type="dxa"/>
              <w:right w:w="0" w:type="dxa"/>
            </w:tcMar>
            <w:vAlign w:val="bottom"/>
          </w:tcPr>
          <w:p w14:paraId="669C66D6"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669C66D7" w14:textId="77777777" w:rsidR="00066C63" w:rsidRDefault="009656F6">
            <w:pPr>
              <w:jc w:val="right"/>
              <w:textAlignment w:val="bottom"/>
            </w:pPr>
            <w:r>
              <w:rPr>
                <w:rFonts w:ascii="Arial" w:eastAsia="宋体" w:hAnsi="Arial" w:cs="Arial"/>
                <w:color w:val="000000"/>
                <w:sz w:val="17"/>
                <w:szCs w:val="17"/>
              </w:rPr>
              <w:t>56 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6D8" w14:textId="77777777" w:rsidR="00066C63" w:rsidRDefault="00066C63">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669C66D9"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669C66DA" w14:textId="77777777" w:rsidR="00066C63" w:rsidRDefault="009656F6">
            <w:pPr>
              <w:jc w:val="right"/>
              <w:textAlignment w:val="bottom"/>
            </w:pPr>
            <w:r>
              <w:rPr>
                <w:rFonts w:ascii="Arial" w:eastAsia="宋体" w:hAnsi="Arial" w:cs="Arial"/>
                <w:color w:val="000000"/>
                <w:sz w:val="17"/>
                <w:szCs w:val="17"/>
              </w:rPr>
              <w:t>(12)</w:t>
            </w:r>
          </w:p>
        </w:tc>
        <w:tc>
          <w:tcPr>
            <w:tcW w:w="0" w:type="auto"/>
            <w:tcBorders>
              <w:top w:val="single" w:sz="8" w:space="0" w:color="808080"/>
            </w:tcBorders>
            <w:shd w:val="clear" w:color="auto" w:fill="auto"/>
            <w:tcMar>
              <w:top w:w="40" w:type="dxa"/>
              <w:left w:w="0" w:type="dxa"/>
              <w:bottom w:w="40" w:type="dxa"/>
              <w:right w:w="20" w:type="dxa"/>
            </w:tcMar>
            <w:vAlign w:val="bottom"/>
          </w:tcPr>
          <w:p w14:paraId="669C66DB" w14:textId="77777777" w:rsidR="00066C63" w:rsidRDefault="00066C63">
            <w:pPr>
              <w:jc w:val="right"/>
              <w:rPr>
                <w:rFonts w:ascii="宋体"/>
              </w:rPr>
            </w:pPr>
          </w:p>
        </w:tc>
      </w:tr>
      <w:tr w:rsidR="00066C63" w14:paraId="669C66E9"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66DD" w14:textId="77777777" w:rsidR="00066C63" w:rsidRDefault="009656F6">
            <w:pPr>
              <w:textAlignment w:val="bottom"/>
            </w:pPr>
            <w:r>
              <w:rPr>
                <w:rFonts w:ascii="Arial" w:eastAsia="宋体" w:hAnsi="Arial" w:cs="Arial"/>
                <w:color w:val="000000"/>
                <w:sz w:val="17"/>
                <w:szCs w:val="17"/>
              </w:rPr>
              <w:t>Foreign exchange forwards</w:t>
            </w:r>
            <w:r>
              <w:rPr>
                <w:rFonts w:ascii="sans-serif" w:eastAsia="sans-serif" w:hAnsi="sans-serif" w:cs="sans-serif"/>
                <w:b/>
                <w:bCs/>
                <w:color w:val="000000"/>
                <w:sz w:val="17"/>
                <w:szCs w:val="17"/>
              </w:rPr>
              <w:br/>
            </w:r>
            <w:r>
              <w:rPr>
                <w:rFonts w:ascii="Arial" w:eastAsia="宋体" w:hAnsi="Arial" w:cs="Arial"/>
                <w:color w:val="000000"/>
                <w:sz w:val="17"/>
                <w:szCs w:val="17"/>
              </w:rPr>
              <w:t>and options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6DE" w14:textId="77777777" w:rsidR="00066C63" w:rsidRDefault="009656F6">
            <w:pPr>
              <w:jc w:val="right"/>
              <w:textAlignment w:val="bottom"/>
            </w:pPr>
            <w:r>
              <w:rPr>
                <w:rFonts w:ascii="Arial" w:eastAsia="宋体" w:hAnsi="Arial" w:cs="Arial"/>
                <w:color w:val="000000"/>
                <w:sz w:val="17"/>
                <w:szCs w:val="17"/>
              </w:rPr>
              <w:t>(539)</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6DF"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6E0" w14:textId="77777777" w:rsidR="00066C63" w:rsidRDefault="009656F6">
            <w:pPr>
              <w:jc w:val="right"/>
              <w:textAlignment w:val="bottom"/>
            </w:pPr>
            <w:r>
              <w:rPr>
                <w:rFonts w:ascii="Arial" w:eastAsia="宋体" w:hAnsi="Arial" w:cs="Arial"/>
                <w:color w:val="000000"/>
                <w:sz w:val="17"/>
                <w:szCs w:val="17"/>
              </w:rPr>
              <w:t>185 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6E1" w14:textId="77777777" w:rsidR="00066C63" w:rsidRDefault="00066C63">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66E2" w14:textId="77777777" w:rsidR="00066C63" w:rsidRDefault="00066C63">
            <w:pPr>
              <w:rPr>
                <w:rFonts w:ascii="宋体"/>
              </w:rPr>
            </w:pP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66E3" w14:textId="77777777" w:rsidR="00066C63" w:rsidRDefault="009656F6">
            <w:pPr>
              <w:jc w:val="right"/>
              <w:textAlignment w:val="bottom"/>
            </w:pPr>
            <w:r>
              <w:rPr>
                <w:rFonts w:ascii="Arial" w:eastAsia="宋体" w:hAnsi="Arial" w:cs="Arial"/>
                <w:color w:val="000000"/>
                <w:sz w:val="17"/>
                <w:szCs w:val="17"/>
              </w:rPr>
              <w:t>Cost of sales</w:t>
            </w:r>
          </w:p>
        </w:tc>
        <w:tc>
          <w:tcPr>
            <w:tcW w:w="0" w:type="auto"/>
            <w:gridSpan w:val="3"/>
            <w:tcBorders>
              <w:top w:val="single" w:sz="8" w:space="0" w:color="808080"/>
            </w:tcBorders>
            <w:shd w:val="clear" w:color="auto" w:fill="auto"/>
            <w:tcMar>
              <w:top w:w="0" w:type="dxa"/>
              <w:left w:w="20" w:type="dxa"/>
              <w:bottom w:w="0" w:type="dxa"/>
              <w:right w:w="20" w:type="dxa"/>
            </w:tcMar>
          </w:tcPr>
          <w:p w14:paraId="669C66E4" w14:textId="77777777" w:rsidR="00066C63" w:rsidRDefault="00066C63">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6E5" w14:textId="77777777" w:rsidR="00066C63" w:rsidRDefault="009656F6">
            <w:pPr>
              <w:jc w:val="right"/>
              <w:textAlignment w:val="bottom"/>
            </w:pPr>
            <w:r>
              <w:rPr>
                <w:rFonts w:ascii="Arial" w:eastAsia="宋体" w:hAnsi="Arial" w:cs="Arial"/>
                <w:color w:val="000000"/>
                <w:sz w:val="17"/>
                <w:szCs w:val="17"/>
              </w:rPr>
              <w:t>110 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6E6"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6E7" w14:textId="77777777" w:rsidR="00066C63" w:rsidRDefault="009656F6">
            <w:pPr>
              <w:jc w:val="right"/>
              <w:textAlignment w:val="bottom"/>
            </w:pPr>
            <w:r>
              <w:rPr>
                <w:rFonts w:ascii="Arial" w:eastAsia="宋体" w:hAnsi="Arial" w:cs="Arial"/>
                <w:color w:val="000000"/>
                <w:sz w:val="17"/>
                <w:szCs w:val="17"/>
              </w:rPr>
              <w:t>287 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6E8" w14:textId="77777777" w:rsidR="00066C63" w:rsidRDefault="00066C63">
            <w:pPr>
              <w:jc w:val="right"/>
              <w:rPr>
                <w:rFonts w:ascii="宋体"/>
              </w:rPr>
            </w:pPr>
          </w:p>
        </w:tc>
      </w:tr>
      <w:tr w:rsidR="00066C63" w14:paraId="669C66F6" w14:textId="77777777">
        <w:tc>
          <w:tcPr>
            <w:tcW w:w="0" w:type="auto"/>
            <w:gridSpan w:val="3"/>
            <w:tcBorders>
              <w:top w:val="single" w:sz="8" w:space="0" w:color="808080"/>
            </w:tcBorders>
            <w:shd w:val="clear" w:color="auto" w:fill="auto"/>
            <w:tcMar>
              <w:top w:w="40" w:type="dxa"/>
              <w:left w:w="20" w:type="dxa"/>
              <w:bottom w:w="40" w:type="dxa"/>
              <w:right w:w="20" w:type="dxa"/>
            </w:tcMar>
            <w:vAlign w:val="center"/>
          </w:tcPr>
          <w:p w14:paraId="669C66EA" w14:textId="77777777" w:rsidR="00066C63" w:rsidRDefault="009656F6">
            <w:pPr>
              <w:textAlignment w:val="center"/>
            </w:pPr>
            <w:r>
              <w:rPr>
                <w:rFonts w:ascii="Arial" w:eastAsia="宋体" w:hAnsi="Arial" w:cs="Arial"/>
                <w:color w:val="000000"/>
                <w:sz w:val="17"/>
                <w:szCs w:val="17"/>
              </w:rPr>
              <w:t xml:space="preserve">Foreign exchange forwards </w:t>
            </w:r>
            <w:r>
              <w:rPr>
                <w:rFonts w:ascii="sans-serif" w:eastAsia="sans-serif" w:hAnsi="sans-serif" w:cs="sans-serif"/>
                <w:b/>
                <w:bCs/>
                <w:color w:val="000000"/>
                <w:sz w:val="17"/>
                <w:szCs w:val="17"/>
              </w:rPr>
              <w:br/>
            </w:r>
            <w:r>
              <w:rPr>
                <w:rFonts w:ascii="Arial" w:eastAsia="宋体" w:hAnsi="Arial" w:cs="Arial"/>
                <w:color w:val="000000"/>
                <w:sz w:val="17"/>
                <w:szCs w:val="17"/>
              </w:rPr>
              <w:t>and options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6EB" w14:textId="77777777" w:rsidR="00066C63" w:rsidRDefault="009656F6">
            <w:pPr>
              <w:jc w:val="right"/>
              <w:textAlignment w:val="bottom"/>
            </w:pPr>
            <w:r>
              <w:rPr>
                <w:rFonts w:ascii="Arial" w:eastAsia="宋体" w:hAnsi="Arial" w:cs="Arial"/>
                <w:color w:val="000000"/>
                <w:sz w:val="17"/>
                <w:szCs w:val="17"/>
              </w:rPr>
              <w:t>4 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6EC"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6ED" w14:textId="77777777" w:rsidR="00066C63" w:rsidRDefault="009656F6">
            <w:pPr>
              <w:jc w:val="right"/>
              <w:textAlignment w:val="bottom"/>
            </w:pPr>
            <w:r>
              <w:rPr>
                <w:rFonts w:ascii="Arial" w:eastAsia="宋体" w:hAnsi="Arial" w:cs="Arial"/>
                <w:color w:val="000000"/>
                <w:sz w:val="17"/>
                <w:szCs w:val="17"/>
              </w:rPr>
              <w:t>1 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6EE" w14:textId="77777777" w:rsidR="00066C63" w:rsidRDefault="00066C63">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66EF" w14:textId="77777777" w:rsidR="00066C63" w:rsidRDefault="00066C63">
            <w:pPr>
              <w:rPr>
                <w:rFonts w:ascii="宋体"/>
              </w:rPr>
            </w:pP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66F0" w14:textId="77777777" w:rsidR="00066C63" w:rsidRDefault="009656F6">
            <w:pPr>
              <w:jc w:val="right"/>
              <w:textAlignment w:val="bottom"/>
            </w:pPr>
            <w:r>
              <w:rPr>
                <w:rFonts w:ascii="Arial" w:eastAsia="宋体" w:hAnsi="Arial" w:cs="Arial"/>
                <w:color w:val="000000"/>
                <w:sz w:val="17"/>
                <w:szCs w:val="17"/>
              </w:rPr>
              <w:t>Demand creation expense</w:t>
            </w:r>
          </w:p>
        </w:tc>
        <w:tc>
          <w:tcPr>
            <w:tcW w:w="0" w:type="auto"/>
            <w:gridSpan w:val="3"/>
            <w:tcBorders>
              <w:top w:val="single" w:sz="8" w:space="0" w:color="808080"/>
            </w:tcBorders>
            <w:shd w:val="clear" w:color="auto" w:fill="auto"/>
            <w:tcMar>
              <w:top w:w="0" w:type="dxa"/>
              <w:left w:w="20" w:type="dxa"/>
              <w:bottom w:w="0" w:type="dxa"/>
              <w:right w:w="20" w:type="dxa"/>
            </w:tcMar>
          </w:tcPr>
          <w:p w14:paraId="669C66F1" w14:textId="77777777" w:rsidR="00066C63" w:rsidRDefault="00066C63">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6F2" w14:textId="77777777" w:rsidR="00066C63" w:rsidRDefault="009656F6">
            <w:pPr>
              <w:jc w:val="right"/>
              <w:textAlignment w:val="bottom"/>
            </w:pPr>
            <w:r>
              <w:rPr>
                <w:rFonts w:ascii="Arial" w:eastAsia="宋体" w:hAnsi="Arial" w:cs="Arial"/>
                <w:color w:val="000000"/>
                <w:sz w:val="17"/>
                <w:szCs w:val="17"/>
              </w:rPr>
              <w:t>2 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6F3"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6F4" w14:textId="77777777" w:rsidR="00066C63" w:rsidRDefault="009656F6">
            <w:pPr>
              <w:jc w:val="right"/>
              <w:textAlignment w:val="bottom"/>
            </w:pPr>
            <w:r>
              <w:rPr>
                <w:rFonts w:ascii="Arial" w:eastAsia="宋体" w:hAnsi="Arial" w:cs="Arial"/>
                <w:color w:val="000000"/>
                <w:sz w:val="17"/>
                <w:szCs w:val="17"/>
              </w:rPr>
              <w:t>(3)</w:t>
            </w:r>
          </w:p>
        </w:tc>
        <w:tc>
          <w:tcPr>
            <w:tcW w:w="0" w:type="auto"/>
            <w:tcBorders>
              <w:top w:val="single" w:sz="8" w:space="0" w:color="808080"/>
            </w:tcBorders>
            <w:shd w:val="clear" w:color="auto" w:fill="auto"/>
            <w:tcMar>
              <w:top w:w="40" w:type="dxa"/>
              <w:left w:w="0" w:type="dxa"/>
              <w:bottom w:w="40" w:type="dxa"/>
              <w:right w:w="20" w:type="dxa"/>
            </w:tcMar>
            <w:vAlign w:val="bottom"/>
          </w:tcPr>
          <w:p w14:paraId="669C66F5" w14:textId="77777777" w:rsidR="00066C63" w:rsidRDefault="00066C63">
            <w:pPr>
              <w:jc w:val="right"/>
              <w:rPr>
                <w:rFonts w:ascii="宋体"/>
              </w:rPr>
            </w:pPr>
          </w:p>
        </w:tc>
      </w:tr>
      <w:tr w:rsidR="00066C63" w14:paraId="669C6703"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66F7" w14:textId="77777777" w:rsidR="00066C63" w:rsidRDefault="009656F6">
            <w:pPr>
              <w:textAlignment w:val="bottom"/>
            </w:pPr>
            <w:r>
              <w:rPr>
                <w:rFonts w:ascii="Arial" w:eastAsia="宋体" w:hAnsi="Arial" w:cs="Arial"/>
                <w:color w:val="000000"/>
                <w:sz w:val="17"/>
                <w:szCs w:val="17"/>
              </w:rPr>
              <w:t xml:space="preserve">Foreign exchange forwards </w:t>
            </w:r>
            <w:r>
              <w:rPr>
                <w:rFonts w:ascii="sans-serif" w:eastAsia="sans-serif" w:hAnsi="sans-serif" w:cs="sans-serif"/>
                <w:b/>
                <w:bCs/>
                <w:color w:val="000000"/>
                <w:sz w:val="17"/>
                <w:szCs w:val="17"/>
              </w:rPr>
              <w:br/>
            </w:r>
            <w:r>
              <w:rPr>
                <w:rFonts w:ascii="Arial" w:eastAsia="宋体" w:hAnsi="Arial" w:cs="Arial"/>
                <w:color w:val="000000"/>
                <w:sz w:val="17"/>
                <w:szCs w:val="17"/>
              </w:rPr>
              <w:t>and options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6F8" w14:textId="77777777" w:rsidR="00066C63" w:rsidRDefault="009656F6">
            <w:pPr>
              <w:jc w:val="right"/>
              <w:textAlignment w:val="bottom"/>
            </w:pPr>
            <w:r>
              <w:rPr>
                <w:rFonts w:ascii="Arial" w:eastAsia="宋体" w:hAnsi="Arial" w:cs="Arial"/>
                <w:color w:val="000000"/>
                <w:sz w:val="17"/>
                <w:szCs w:val="17"/>
              </w:rPr>
              <w:t>(183)</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6F9"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6FA" w14:textId="77777777" w:rsidR="00066C63" w:rsidRDefault="009656F6">
            <w:pPr>
              <w:jc w:val="right"/>
              <w:textAlignment w:val="bottom"/>
            </w:pPr>
            <w:r>
              <w:rPr>
                <w:rFonts w:ascii="Arial" w:eastAsia="宋体" w:hAnsi="Arial" w:cs="Arial"/>
                <w:color w:val="000000"/>
                <w:sz w:val="17"/>
                <w:szCs w:val="17"/>
              </w:rPr>
              <w:t>67 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6FB" w14:textId="77777777" w:rsidR="00066C63" w:rsidRDefault="00066C63">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66FC" w14:textId="77777777" w:rsidR="00066C63" w:rsidRDefault="00066C63">
            <w:pPr>
              <w:rPr>
                <w:rFonts w:ascii="宋体"/>
              </w:rPr>
            </w:pP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66FD" w14:textId="77777777" w:rsidR="00066C63" w:rsidRDefault="009656F6">
            <w:pPr>
              <w:jc w:val="right"/>
              <w:textAlignment w:val="bottom"/>
            </w:pPr>
            <w:r>
              <w:rPr>
                <w:rFonts w:ascii="Arial" w:eastAsia="宋体" w:hAnsi="Arial" w:cs="Arial"/>
                <w:color w:val="000000"/>
                <w:sz w:val="17"/>
                <w:szCs w:val="17"/>
              </w:rPr>
              <w:t>Other (income) expense, net</w:t>
            </w:r>
          </w:p>
        </w:tc>
        <w:tc>
          <w:tcPr>
            <w:tcW w:w="0" w:type="auto"/>
            <w:gridSpan w:val="3"/>
            <w:tcBorders>
              <w:top w:val="single" w:sz="8" w:space="0" w:color="808080"/>
            </w:tcBorders>
            <w:shd w:val="clear" w:color="auto" w:fill="auto"/>
            <w:tcMar>
              <w:top w:w="0" w:type="dxa"/>
              <w:left w:w="20" w:type="dxa"/>
              <w:bottom w:w="0" w:type="dxa"/>
              <w:right w:w="20" w:type="dxa"/>
            </w:tcMar>
          </w:tcPr>
          <w:p w14:paraId="669C66FE" w14:textId="77777777" w:rsidR="00066C63" w:rsidRDefault="00066C63">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6FF" w14:textId="77777777" w:rsidR="00066C63" w:rsidRDefault="009656F6">
            <w:pPr>
              <w:jc w:val="right"/>
              <w:textAlignment w:val="bottom"/>
            </w:pPr>
            <w:r>
              <w:rPr>
                <w:rFonts w:ascii="Arial" w:eastAsia="宋体" w:hAnsi="Arial" w:cs="Arial"/>
                <w:color w:val="000000"/>
                <w:sz w:val="17"/>
                <w:szCs w:val="17"/>
              </w:rPr>
              <w:t>(31)</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700"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701" w14:textId="77777777" w:rsidR="00066C63" w:rsidRDefault="009656F6">
            <w:pPr>
              <w:jc w:val="right"/>
              <w:textAlignment w:val="bottom"/>
            </w:pPr>
            <w:r>
              <w:rPr>
                <w:rFonts w:ascii="Arial" w:eastAsia="宋体" w:hAnsi="Arial" w:cs="Arial"/>
                <w:color w:val="000000"/>
                <w:sz w:val="17"/>
                <w:szCs w:val="17"/>
              </w:rPr>
              <w:t>121 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702" w14:textId="77777777" w:rsidR="00066C63" w:rsidRDefault="00066C63">
            <w:pPr>
              <w:jc w:val="right"/>
              <w:rPr>
                <w:rFonts w:ascii="宋体"/>
              </w:rPr>
            </w:pPr>
          </w:p>
        </w:tc>
      </w:tr>
      <w:tr w:rsidR="00066C63" w14:paraId="669C6710"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6704" w14:textId="77777777" w:rsidR="00066C63" w:rsidRDefault="009656F6">
            <w:pPr>
              <w:textAlignment w:val="bottom"/>
            </w:pPr>
            <w:r>
              <w:rPr>
                <w:rFonts w:ascii="Arial" w:eastAsia="宋体" w:hAnsi="Arial" w:cs="Arial"/>
                <w:color w:val="000000"/>
                <w:sz w:val="17"/>
                <w:szCs w:val="17"/>
              </w:rPr>
              <w:t>Interest rate swaps</w:t>
            </w:r>
            <w:r>
              <w:rPr>
                <w:rFonts w:ascii="Arial" w:eastAsia="宋体" w:hAnsi="Arial" w:cs="Arial"/>
                <w:color w:val="000000"/>
                <w:sz w:val="11"/>
                <w:szCs w:val="11"/>
              </w:rPr>
              <w:t>(2)</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705" w14:textId="77777777" w:rsidR="00066C63" w:rsidRDefault="009656F6">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706"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707" w14:textId="77777777" w:rsidR="00066C63" w:rsidRDefault="009656F6">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708" w14:textId="77777777" w:rsidR="00066C63" w:rsidRDefault="00066C63">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6709" w14:textId="77777777" w:rsidR="00066C63" w:rsidRDefault="00066C63">
            <w:pPr>
              <w:rPr>
                <w:rFonts w:ascii="宋体"/>
              </w:rPr>
            </w:pP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670A" w14:textId="77777777" w:rsidR="00066C63" w:rsidRDefault="009656F6">
            <w:pPr>
              <w:jc w:val="right"/>
              <w:textAlignment w:val="bottom"/>
            </w:pPr>
            <w:r>
              <w:rPr>
                <w:rFonts w:ascii="Arial" w:eastAsia="宋体" w:hAnsi="Arial" w:cs="Arial"/>
                <w:color w:val="000000"/>
                <w:sz w:val="17"/>
                <w:szCs w:val="17"/>
              </w:rPr>
              <w:t>Interest expense (income), net</w:t>
            </w:r>
          </w:p>
        </w:tc>
        <w:tc>
          <w:tcPr>
            <w:tcW w:w="0" w:type="auto"/>
            <w:gridSpan w:val="3"/>
            <w:tcBorders>
              <w:top w:val="single" w:sz="8" w:space="0" w:color="808080"/>
            </w:tcBorders>
            <w:shd w:val="clear" w:color="auto" w:fill="auto"/>
            <w:tcMar>
              <w:top w:w="0" w:type="dxa"/>
              <w:left w:w="20" w:type="dxa"/>
              <w:bottom w:w="0" w:type="dxa"/>
              <w:right w:w="20" w:type="dxa"/>
            </w:tcMar>
          </w:tcPr>
          <w:p w14:paraId="669C670B" w14:textId="77777777" w:rsidR="00066C63" w:rsidRDefault="00066C63">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70C" w14:textId="77777777" w:rsidR="00066C63" w:rsidRDefault="009656F6">
            <w:pPr>
              <w:jc w:val="right"/>
              <w:textAlignment w:val="bottom"/>
            </w:pPr>
            <w:r>
              <w:rPr>
                <w:rFonts w:ascii="Arial" w:eastAsia="宋体" w:hAnsi="Arial" w:cs="Arial"/>
                <w:color w:val="000000"/>
                <w:sz w:val="17"/>
                <w:szCs w:val="17"/>
              </w:rPr>
              <w:t>(5)</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70D"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70E" w14:textId="77777777" w:rsidR="00066C63" w:rsidRDefault="009656F6">
            <w:pPr>
              <w:jc w:val="right"/>
              <w:textAlignment w:val="bottom"/>
            </w:pPr>
            <w:r>
              <w:rPr>
                <w:rFonts w:ascii="Arial" w:eastAsia="宋体" w:hAnsi="Arial" w:cs="Arial"/>
                <w:color w:val="000000"/>
                <w:sz w:val="17"/>
                <w:szCs w:val="17"/>
              </w:rPr>
              <w:t>(5)</w:t>
            </w:r>
          </w:p>
        </w:tc>
        <w:tc>
          <w:tcPr>
            <w:tcW w:w="0" w:type="auto"/>
            <w:tcBorders>
              <w:top w:val="single" w:sz="8" w:space="0" w:color="808080"/>
            </w:tcBorders>
            <w:shd w:val="clear" w:color="auto" w:fill="auto"/>
            <w:tcMar>
              <w:top w:w="40" w:type="dxa"/>
              <w:left w:w="0" w:type="dxa"/>
              <w:bottom w:w="40" w:type="dxa"/>
              <w:right w:w="20" w:type="dxa"/>
            </w:tcMar>
            <w:vAlign w:val="bottom"/>
          </w:tcPr>
          <w:p w14:paraId="669C670F" w14:textId="77777777" w:rsidR="00066C63" w:rsidRDefault="00066C63">
            <w:pPr>
              <w:jc w:val="right"/>
              <w:rPr>
                <w:rFonts w:ascii="宋体"/>
              </w:rPr>
            </w:pPr>
          </w:p>
        </w:tc>
      </w:tr>
      <w:tr w:rsidR="00066C63" w14:paraId="669C6721"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669C6711" w14:textId="77777777" w:rsidR="00066C63" w:rsidRDefault="009656F6">
            <w:pPr>
              <w:textAlignment w:val="bottom"/>
            </w:pPr>
            <w:r>
              <w:rPr>
                <w:rFonts w:ascii="Arial" w:eastAsia="宋体" w:hAnsi="Arial" w:cs="Arial"/>
                <w:b/>
                <w:bCs/>
                <w:color w:val="000000"/>
                <w:sz w:val="17"/>
                <w:szCs w:val="17"/>
              </w:rPr>
              <w:t xml:space="preserve">Total designated cash </w:t>
            </w:r>
            <w:r>
              <w:rPr>
                <w:rFonts w:ascii="Arial" w:eastAsia="宋体" w:hAnsi="Arial" w:cs="Arial"/>
                <w:b/>
                <w:bCs/>
                <w:color w:val="000000"/>
                <w:sz w:val="17"/>
                <w:szCs w:val="17"/>
              </w:rPr>
              <w:br/>
              <w:t>flow hedges</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69C6712"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669C6713" w14:textId="77777777" w:rsidR="00066C63" w:rsidRDefault="009656F6">
            <w:pPr>
              <w:jc w:val="right"/>
              <w:textAlignment w:val="bottom"/>
            </w:pPr>
            <w:r>
              <w:rPr>
                <w:rFonts w:ascii="Arial" w:eastAsia="宋体" w:hAnsi="Arial" w:cs="Arial"/>
                <w:b/>
                <w:bCs/>
                <w:color w:val="000000"/>
                <w:sz w:val="17"/>
                <w:szCs w:val="17"/>
              </w:rPr>
              <w:t>(750)</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69C6714" w14:textId="77777777" w:rsidR="00066C63" w:rsidRDefault="00066C63">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69C6715"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69C6716" w14:textId="77777777" w:rsidR="00066C63" w:rsidRDefault="009656F6">
            <w:pPr>
              <w:jc w:val="right"/>
              <w:textAlignment w:val="bottom"/>
            </w:pPr>
            <w:r>
              <w:rPr>
                <w:rFonts w:ascii="Arial" w:eastAsia="宋体" w:hAnsi="Arial" w:cs="Arial"/>
                <w:b/>
                <w:bCs/>
                <w:color w:val="000000"/>
                <w:sz w:val="17"/>
                <w:szCs w:val="17"/>
              </w:rPr>
              <w:t>208</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69C6717" w14:textId="77777777" w:rsidR="00066C63" w:rsidRDefault="00066C63">
            <w:pPr>
              <w:jc w:val="right"/>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tcPr>
          <w:p w14:paraId="669C6718" w14:textId="77777777" w:rsidR="00066C63" w:rsidRDefault="00066C63">
            <w:pPr>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tcPr>
          <w:p w14:paraId="669C6719" w14:textId="77777777" w:rsidR="00066C63" w:rsidRDefault="00066C63">
            <w:pPr>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tcPr>
          <w:p w14:paraId="669C671A" w14:textId="77777777" w:rsidR="00066C63" w:rsidRDefault="00066C63">
            <w:pPr>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69C671B"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669C671C" w14:textId="77777777" w:rsidR="00066C63" w:rsidRDefault="009656F6">
            <w:pPr>
              <w:jc w:val="right"/>
              <w:textAlignment w:val="bottom"/>
            </w:pPr>
            <w:r>
              <w:rPr>
                <w:rFonts w:ascii="Arial" w:eastAsia="宋体" w:hAnsi="Arial" w:cs="Arial"/>
                <w:b/>
                <w:bCs/>
                <w:color w:val="000000"/>
                <w:sz w:val="17"/>
                <w:szCs w:val="17"/>
              </w:rPr>
              <w:t>132</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69C671D" w14:textId="77777777" w:rsidR="00066C63" w:rsidRDefault="00066C63">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69C671E"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69C671F" w14:textId="77777777" w:rsidR="00066C63" w:rsidRDefault="009656F6">
            <w:pPr>
              <w:jc w:val="right"/>
              <w:textAlignment w:val="bottom"/>
            </w:pPr>
            <w:r>
              <w:rPr>
                <w:rFonts w:ascii="Arial" w:eastAsia="宋体" w:hAnsi="Arial" w:cs="Arial"/>
                <w:b/>
                <w:bCs/>
                <w:color w:val="000000"/>
                <w:sz w:val="17"/>
                <w:szCs w:val="17"/>
              </w:rPr>
              <w:t>388</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69C6720" w14:textId="77777777" w:rsidR="00066C63" w:rsidRDefault="00066C63">
            <w:pPr>
              <w:jc w:val="right"/>
              <w:rPr>
                <w:rFonts w:ascii="宋体"/>
              </w:rPr>
            </w:pPr>
          </w:p>
        </w:tc>
      </w:tr>
    </w:tbl>
    <w:p w14:paraId="669C6722" w14:textId="77777777" w:rsidR="00066C63" w:rsidRDefault="009656F6">
      <w:pPr>
        <w:spacing w:before="60" w:after="60"/>
        <w:ind w:hanging="360"/>
      </w:pPr>
      <w:r>
        <w:rPr>
          <w:rFonts w:ascii="Arial" w:eastAsia="宋体" w:hAnsi="Arial" w:cs="Arial"/>
          <w:i/>
          <w:iCs/>
          <w:color w:val="000000"/>
          <w:sz w:val="14"/>
          <w:szCs w:val="14"/>
        </w:rPr>
        <w:t xml:space="preserve">(1)For the nine months ended February 28, 2021 and February 29, 2020, </w:t>
      </w:r>
      <w:r>
        <w:rPr>
          <w:rFonts w:ascii="Arial" w:eastAsia="宋体" w:hAnsi="Arial" w:cs="Arial"/>
          <w:i/>
          <w:iCs/>
          <w:color w:val="000000"/>
          <w:sz w:val="14"/>
          <w:szCs w:val="14"/>
        </w:rPr>
        <w:t>the amounts recorded in Other (income) expense, net as a result of the discontinuance of cash flow hedges because the forecasted transactions were no longer probable of occurring were immaterial.</w:t>
      </w:r>
    </w:p>
    <w:p w14:paraId="669C6723" w14:textId="77777777" w:rsidR="00066C63" w:rsidRDefault="009656F6">
      <w:pPr>
        <w:spacing w:before="60" w:after="60"/>
        <w:ind w:hanging="360"/>
      </w:pPr>
      <w:r>
        <w:rPr>
          <w:rFonts w:ascii="Arial" w:eastAsia="宋体" w:hAnsi="Arial" w:cs="Arial"/>
          <w:i/>
          <w:iCs/>
          <w:color w:val="000000"/>
          <w:sz w:val="14"/>
          <w:szCs w:val="14"/>
        </w:rPr>
        <w:t xml:space="preserve">(2)Gains and losses associated with terminated </w:t>
      </w:r>
      <w:r>
        <w:rPr>
          <w:rFonts w:ascii="Arial" w:eastAsia="宋体" w:hAnsi="Arial" w:cs="Arial"/>
          <w:i/>
          <w:iCs/>
          <w:color w:val="000000"/>
          <w:sz w:val="14"/>
          <w:szCs w:val="14"/>
        </w:rPr>
        <w:t>interest rate swaps, which were previously designated as cash flow hedges and recorded in Accumulated other comprehensive income (loss), will be released through Interest expense (income), net over the term of the issued debt.</w:t>
      </w:r>
    </w:p>
    <w:tbl>
      <w:tblPr>
        <w:tblW w:w="5000" w:type="pct"/>
        <w:tblCellMar>
          <w:top w:w="15" w:type="dxa"/>
          <w:left w:w="15" w:type="dxa"/>
          <w:bottom w:w="15" w:type="dxa"/>
          <w:right w:w="15" w:type="dxa"/>
        </w:tblCellMar>
        <w:tblLook w:val="04A0" w:firstRow="1" w:lastRow="0" w:firstColumn="1" w:lastColumn="0" w:noHBand="0" w:noVBand="1"/>
      </w:tblPr>
      <w:tblGrid>
        <w:gridCol w:w="43"/>
        <w:gridCol w:w="2789"/>
        <w:gridCol w:w="37"/>
        <w:gridCol w:w="116"/>
        <w:gridCol w:w="717"/>
        <w:gridCol w:w="37"/>
        <w:gridCol w:w="116"/>
        <w:gridCol w:w="718"/>
        <w:gridCol w:w="37"/>
        <w:gridCol w:w="36"/>
        <w:gridCol w:w="36"/>
        <w:gridCol w:w="36"/>
        <w:gridCol w:w="116"/>
        <w:gridCol w:w="704"/>
        <w:gridCol w:w="37"/>
        <w:gridCol w:w="116"/>
        <w:gridCol w:w="705"/>
        <w:gridCol w:w="36"/>
        <w:gridCol w:w="43"/>
        <w:gridCol w:w="1825"/>
        <w:gridCol w:w="36"/>
      </w:tblGrid>
      <w:tr w:rsidR="00066C63" w14:paraId="669C6739" w14:textId="77777777">
        <w:tc>
          <w:tcPr>
            <w:tcW w:w="50" w:type="pct"/>
            <w:shd w:val="clear" w:color="auto" w:fill="auto"/>
          </w:tcPr>
          <w:p w14:paraId="669C6724" w14:textId="77777777" w:rsidR="00066C63" w:rsidRDefault="00066C63">
            <w:pPr>
              <w:rPr>
                <w:rFonts w:ascii="宋体"/>
              </w:rPr>
            </w:pPr>
          </w:p>
        </w:tc>
        <w:tc>
          <w:tcPr>
            <w:tcW w:w="1696" w:type="pct"/>
            <w:shd w:val="clear" w:color="auto" w:fill="auto"/>
          </w:tcPr>
          <w:p w14:paraId="669C6725" w14:textId="77777777" w:rsidR="00066C63" w:rsidRDefault="00066C63">
            <w:pPr>
              <w:rPr>
                <w:rFonts w:ascii="宋体"/>
              </w:rPr>
            </w:pPr>
          </w:p>
        </w:tc>
        <w:tc>
          <w:tcPr>
            <w:tcW w:w="5" w:type="pct"/>
            <w:shd w:val="clear" w:color="auto" w:fill="auto"/>
          </w:tcPr>
          <w:p w14:paraId="669C6726" w14:textId="77777777" w:rsidR="00066C63" w:rsidRDefault="00066C63">
            <w:pPr>
              <w:rPr>
                <w:rFonts w:ascii="宋体"/>
              </w:rPr>
            </w:pPr>
          </w:p>
        </w:tc>
        <w:tc>
          <w:tcPr>
            <w:tcW w:w="50" w:type="pct"/>
            <w:shd w:val="clear" w:color="auto" w:fill="auto"/>
          </w:tcPr>
          <w:p w14:paraId="669C6727" w14:textId="77777777" w:rsidR="00066C63" w:rsidRDefault="00066C63">
            <w:pPr>
              <w:rPr>
                <w:rFonts w:ascii="宋体"/>
              </w:rPr>
            </w:pPr>
          </w:p>
        </w:tc>
        <w:tc>
          <w:tcPr>
            <w:tcW w:w="454" w:type="pct"/>
            <w:shd w:val="clear" w:color="auto" w:fill="auto"/>
          </w:tcPr>
          <w:p w14:paraId="669C6728" w14:textId="77777777" w:rsidR="00066C63" w:rsidRDefault="00066C63">
            <w:pPr>
              <w:rPr>
                <w:rFonts w:ascii="宋体"/>
              </w:rPr>
            </w:pPr>
          </w:p>
        </w:tc>
        <w:tc>
          <w:tcPr>
            <w:tcW w:w="5" w:type="pct"/>
            <w:shd w:val="clear" w:color="auto" w:fill="auto"/>
          </w:tcPr>
          <w:p w14:paraId="669C6729" w14:textId="77777777" w:rsidR="00066C63" w:rsidRDefault="00066C63">
            <w:pPr>
              <w:rPr>
                <w:rFonts w:ascii="宋体"/>
              </w:rPr>
            </w:pPr>
          </w:p>
        </w:tc>
        <w:tc>
          <w:tcPr>
            <w:tcW w:w="50" w:type="pct"/>
            <w:shd w:val="clear" w:color="auto" w:fill="auto"/>
          </w:tcPr>
          <w:p w14:paraId="669C672A" w14:textId="77777777" w:rsidR="00066C63" w:rsidRDefault="00066C63">
            <w:pPr>
              <w:rPr>
                <w:rFonts w:ascii="宋体"/>
              </w:rPr>
            </w:pPr>
          </w:p>
        </w:tc>
        <w:tc>
          <w:tcPr>
            <w:tcW w:w="454" w:type="pct"/>
            <w:shd w:val="clear" w:color="auto" w:fill="auto"/>
          </w:tcPr>
          <w:p w14:paraId="669C672B" w14:textId="77777777" w:rsidR="00066C63" w:rsidRDefault="00066C63">
            <w:pPr>
              <w:rPr>
                <w:rFonts w:ascii="宋体"/>
              </w:rPr>
            </w:pPr>
          </w:p>
        </w:tc>
        <w:tc>
          <w:tcPr>
            <w:tcW w:w="5" w:type="pct"/>
            <w:shd w:val="clear" w:color="auto" w:fill="auto"/>
          </w:tcPr>
          <w:p w14:paraId="669C672C" w14:textId="77777777" w:rsidR="00066C63" w:rsidRDefault="00066C63">
            <w:pPr>
              <w:rPr>
                <w:rFonts w:ascii="宋体"/>
              </w:rPr>
            </w:pPr>
          </w:p>
        </w:tc>
        <w:tc>
          <w:tcPr>
            <w:tcW w:w="5" w:type="pct"/>
            <w:shd w:val="clear" w:color="auto" w:fill="auto"/>
          </w:tcPr>
          <w:p w14:paraId="669C672D" w14:textId="77777777" w:rsidR="00066C63" w:rsidRDefault="00066C63">
            <w:pPr>
              <w:rPr>
                <w:rFonts w:ascii="宋体"/>
              </w:rPr>
            </w:pPr>
          </w:p>
        </w:tc>
        <w:tc>
          <w:tcPr>
            <w:tcW w:w="28" w:type="pct"/>
            <w:shd w:val="clear" w:color="auto" w:fill="auto"/>
          </w:tcPr>
          <w:p w14:paraId="669C672E" w14:textId="77777777" w:rsidR="00066C63" w:rsidRDefault="00066C63">
            <w:pPr>
              <w:rPr>
                <w:rFonts w:ascii="宋体"/>
              </w:rPr>
            </w:pPr>
          </w:p>
        </w:tc>
        <w:tc>
          <w:tcPr>
            <w:tcW w:w="5" w:type="pct"/>
            <w:shd w:val="clear" w:color="auto" w:fill="auto"/>
          </w:tcPr>
          <w:p w14:paraId="669C672F" w14:textId="77777777" w:rsidR="00066C63" w:rsidRDefault="00066C63">
            <w:pPr>
              <w:rPr>
                <w:rFonts w:ascii="宋体"/>
              </w:rPr>
            </w:pPr>
          </w:p>
        </w:tc>
        <w:tc>
          <w:tcPr>
            <w:tcW w:w="50" w:type="pct"/>
            <w:shd w:val="clear" w:color="auto" w:fill="auto"/>
          </w:tcPr>
          <w:p w14:paraId="669C6730" w14:textId="77777777" w:rsidR="00066C63" w:rsidRDefault="00066C63">
            <w:pPr>
              <w:rPr>
                <w:rFonts w:ascii="宋体"/>
              </w:rPr>
            </w:pPr>
          </w:p>
        </w:tc>
        <w:tc>
          <w:tcPr>
            <w:tcW w:w="454" w:type="pct"/>
            <w:shd w:val="clear" w:color="auto" w:fill="auto"/>
          </w:tcPr>
          <w:p w14:paraId="669C6731" w14:textId="77777777" w:rsidR="00066C63" w:rsidRDefault="00066C63">
            <w:pPr>
              <w:rPr>
                <w:rFonts w:ascii="宋体"/>
              </w:rPr>
            </w:pPr>
          </w:p>
        </w:tc>
        <w:tc>
          <w:tcPr>
            <w:tcW w:w="5" w:type="pct"/>
            <w:shd w:val="clear" w:color="auto" w:fill="auto"/>
          </w:tcPr>
          <w:p w14:paraId="669C6732" w14:textId="77777777" w:rsidR="00066C63" w:rsidRDefault="00066C63">
            <w:pPr>
              <w:rPr>
                <w:rFonts w:ascii="宋体"/>
              </w:rPr>
            </w:pPr>
          </w:p>
        </w:tc>
        <w:tc>
          <w:tcPr>
            <w:tcW w:w="50" w:type="pct"/>
            <w:shd w:val="clear" w:color="auto" w:fill="auto"/>
          </w:tcPr>
          <w:p w14:paraId="669C6733" w14:textId="77777777" w:rsidR="00066C63" w:rsidRDefault="00066C63">
            <w:pPr>
              <w:rPr>
                <w:rFonts w:ascii="宋体"/>
              </w:rPr>
            </w:pPr>
          </w:p>
        </w:tc>
        <w:tc>
          <w:tcPr>
            <w:tcW w:w="454" w:type="pct"/>
            <w:shd w:val="clear" w:color="auto" w:fill="auto"/>
          </w:tcPr>
          <w:p w14:paraId="669C6734" w14:textId="77777777" w:rsidR="00066C63" w:rsidRDefault="00066C63">
            <w:pPr>
              <w:rPr>
                <w:rFonts w:ascii="宋体"/>
              </w:rPr>
            </w:pPr>
          </w:p>
        </w:tc>
        <w:tc>
          <w:tcPr>
            <w:tcW w:w="5" w:type="pct"/>
            <w:shd w:val="clear" w:color="auto" w:fill="auto"/>
          </w:tcPr>
          <w:p w14:paraId="669C6735" w14:textId="77777777" w:rsidR="00066C63" w:rsidRDefault="00066C63">
            <w:pPr>
              <w:rPr>
                <w:rFonts w:ascii="宋体"/>
              </w:rPr>
            </w:pPr>
          </w:p>
        </w:tc>
        <w:tc>
          <w:tcPr>
            <w:tcW w:w="50" w:type="pct"/>
            <w:shd w:val="clear" w:color="auto" w:fill="auto"/>
          </w:tcPr>
          <w:p w14:paraId="669C6736" w14:textId="77777777" w:rsidR="00066C63" w:rsidRDefault="00066C63">
            <w:pPr>
              <w:rPr>
                <w:rFonts w:ascii="宋体"/>
              </w:rPr>
            </w:pPr>
          </w:p>
        </w:tc>
        <w:tc>
          <w:tcPr>
            <w:tcW w:w="1117" w:type="pct"/>
            <w:shd w:val="clear" w:color="auto" w:fill="auto"/>
          </w:tcPr>
          <w:p w14:paraId="669C6737" w14:textId="77777777" w:rsidR="00066C63" w:rsidRDefault="00066C63">
            <w:pPr>
              <w:rPr>
                <w:rFonts w:ascii="宋体"/>
              </w:rPr>
            </w:pPr>
          </w:p>
        </w:tc>
        <w:tc>
          <w:tcPr>
            <w:tcW w:w="5" w:type="pct"/>
            <w:shd w:val="clear" w:color="auto" w:fill="auto"/>
          </w:tcPr>
          <w:p w14:paraId="669C6738" w14:textId="77777777" w:rsidR="00066C63" w:rsidRDefault="00066C63">
            <w:pPr>
              <w:rPr>
                <w:rFonts w:ascii="宋体"/>
              </w:rPr>
            </w:pPr>
          </w:p>
        </w:tc>
      </w:tr>
      <w:tr w:rsidR="00066C63" w14:paraId="669C673D" w14:textId="77777777">
        <w:trPr>
          <w:trHeight w:val="420"/>
        </w:trPr>
        <w:tc>
          <w:tcPr>
            <w:tcW w:w="0" w:type="auto"/>
            <w:gridSpan w:val="3"/>
            <w:shd w:val="clear" w:color="auto" w:fill="auto"/>
            <w:tcMar>
              <w:top w:w="0" w:type="dxa"/>
              <w:left w:w="20" w:type="dxa"/>
              <w:bottom w:w="0" w:type="dxa"/>
              <w:right w:w="20" w:type="dxa"/>
            </w:tcMar>
          </w:tcPr>
          <w:p w14:paraId="669C673A" w14:textId="77777777" w:rsidR="00066C63" w:rsidRDefault="00066C63">
            <w:pPr>
              <w:rPr>
                <w:rFonts w:ascii="宋体"/>
              </w:rPr>
            </w:pPr>
          </w:p>
        </w:tc>
        <w:tc>
          <w:tcPr>
            <w:tcW w:w="0" w:type="auto"/>
            <w:gridSpan w:val="15"/>
            <w:tcBorders>
              <w:bottom w:val="single" w:sz="8" w:space="0" w:color="E87722"/>
            </w:tcBorders>
            <w:shd w:val="clear" w:color="auto" w:fill="auto"/>
            <w:tcMar>
              <w:top w:w="40" w:type="dxa"/>
              <w:left w:w="20" w:type="dxa"/>
              <w:bottom w:w="40" w:type="dxa"/>
              <w:right w:w="20" w:type="dxa"/>
            </w:tcMar>
            <w:vAlign w:val="bottom"/>
          </w:tcPr>
          <w:p w14:paraId="669C673B" w14:textId="77777777" w:rsidR="00066C63" w:rsidRDefault="009656F6">
            <w:pPr>
              <w:jc w:val="center"/>
              <w:textAlignment w:val="bottom"/>
            </w:pPr>
            <w:r>
              <w:rPr>
                <w:rFonts w:ascii="sans-serif" w:eastAsia="sans-serif" w:hAnsi="sans-serif" w:cs="sans-serif"/>
                <w:b/>
                <w:bCs/>
                <w:color w:val="000000"/>
                <w:sz w:val="17"/>
                <w:szCs w:val="17"/>
              </w:rPr>
              <w:t>AMOUNT OF GAIN (LOSS) RECOGNIZED</w:t>
            </w:r>
            <w:r>
              <w:rPr>
                <w:rFonts w:ascii="Arial" w:eastAsia="宋体" w:hAnsi="Arial" w:cs="Arial"/>
                <w:color w:val="000000"/>
                <w:sz w:val="17"/>
                <w:szCs w:val="17"/>
              </w:rPr>
              <w:t xml:space="preserve"> </w:t>
            </w:r>
            <w:r>
              <w:rPr>
                <w:rFonts w:ascii="sans-serif" w:eastAsia="sans-serif" w:hAnsi="sans-serif" w:cs="sans-serif"/>
                <w:b/>
                <w:bCs/>
                <w:color w:val="000000"/>
                <w:sz w:val="17"/>
                <w:szCs w:val="17"/>
              </w:rPr>
              <w:br/>
              <w:t>IN INCOME ON DERIVATIVES</w:t>
            </w:r>
          </w:p>
        </w:tc>
        <w:tc>
          <w:tcPr>
            <w:tcW w:w="0" w:type="auto"/>
            <w:gridSpan w:val="3"/>
            <w:vMerge w:val="restart"/>
            <w:shd w:val="clear" w:color="auto" w:fill="auto"/>
            <w:tcMar>
              <w:top w:w="40" w:type="dxa"/>
              <w:left w:w="20" w:type="dxa"/>
              <w:bottom w:w="40" w:type="dxa"/>
              <w:right w:w="20" w:type="dxa"/>
            </w:tcMar>
            <w:vAlign w:val="bottom"/>
          </w:tcPr>
          <w:p w14:paraId="669C673C" w14:textId="77777777" w:rsidR="00066C63" w:rsidRDefault="009656F6">
            <w:pPr>
              <w:jc w:val="right"/>
              <w:textAlignment w:val="bottom"/>
            </w:pPr>
            <w:r>
              <w:rPr>
                <w:rFonts w:ascii="sans-serif" w:eastAsia="sans-serif" w:hAnsi="sans-serif" w:cs="sans-serif"/>
                <w:b/>
                <w:bCs/>
                <w:color w:val="000000"/>
                <w:sz w:val="17"/>
                <w:szCs w:val="17"/>
              </w:rPr>
              <w:t>LOCATION OF GAIN (LOSS)</w:t>
            </w:r>
            <w:r>
              <w:rPr>
                <w:rFonts w:ascii="sans-serif" w:eastAsia="sans-serif" w:hAnsi="sans-serif" w:cs="sans-serif"/>
                <w:b/>
                <w:bCs/>
                <w:color w:val="000000"/>
                <w:sz w:val="17"/>
                <w:szCs w:val="17"/>
              </w:rPr>
              <w:br/>
              <w:t>RECOGNIZED IN INCOME</w:t>
            </w:r>
            <w:r>
              <w:rPr>
                <w:rFonts w:ascii="sans-serif" w:eastAsia="sans-serif" w:hAnsi="sans-serif" w:cs="sans-serif"/>
                <w:b/>
                <w:bCs/>
                <w:color w:val="000000"/>
                <w:sz w:val="17"/>
                <w:szCs w:val="17"/>
              </w:rPr>
              <w:br/>
              <w:t>ON DERIVATIVES</w:t>
            </w:r>
          </w:p>
        </w:tc>
      </w:tr>
      <w:tr w:rsidR="00066C63" w14:paraId="669C6743" w14:textId="77777777">
        <w:trPr>
          <w:trHeight w:val="240"/>
        </w:trPr>
        <w:tc>
          <w:tcPr>
            <w:tcW w:w="0" w:type="auto"/>
            <w:gridSpan w:val="3"/>
            <w:shd w:val="clear" w:color="auto" w:fill="auto"/>
            <w:tcMar>
              <w:top w:w="0" w:type="dxa"/>
              <w:left w:w="20" w:type="dxa"/>
              <w:bottom w:w="0" w:type="dxa"/>
              <w:right w:w="20" w:type="dxa"/>
            </w:tcMar>
          </w:tcPr>
          <w:p w14:paraId="669C673E" w14:textId="77777777" w:rsidR="00066C63" w:rsidRDefault="00066C63">
            <w:pPr>
              <w:rPr>
                <w:rFonts w:ascii="宋体"/>
              </w:rPr>
            </w:pPr>
          </w:p>
        </w:tc>
        <w:tc>
          <w:tcPr>
            <w:tcW w:w="0" w:type="auto"/>
            <w:gridSpan w:val="6"/>
            <w:tcBorders>
              <w:top w:val="single" w:sz="8" w:space="0" w:color="E87722"/>
            </w:tcBorders>
            <w:shd w:val="clear" w:color="auto" w:fill="auto"/>
            <w:tcMar>
              <w:top w:w="40" w:type="dxa"/>
              <w:left w:w="20" w:type="dxa"/>
              <w:bottom w:w="40" w:type="dxa"/>
              <w:right w:w="20" w:type="dxa"/>
            </w:tcMar>
            <w:vAlign w:val="bottom"/>
          </w:tcPr>
          <w:p w14:paraId="669C673F" w14:textId="77777777" w:rsidR="00066C63" w:rsidRDefault="009656F6">
            <w:pPr>
              <w:jc w:val="center"/>
              <w:textAlignment w:val="bottom"/>
            </w:pPr>
            <w:r>
              <w:rPr>
                <w:rFonts w:ascii="sans-serif" w:eastAsia="sans-serif" w:hAnsi="sans-serif" w:cs="sans-serif"/>
                <w:b/>
                <w:bCs/>
                <w:color w:val="000000"/>
                <w:sz w:val="17"/>
                <w:szCs w:val="17"/>
              </w:rPr>
              <w:t xml:space="preserve">THREE MONTHS ENDED </w:t>
            </w:r>
          </w:p>
        </w:tc>
        <w:tc>
          <w:tcPr>
            <w:tcW w:w="0" w:type="auto"/>
            <w:gridSpan w:val="3"/>
            <w:tcBorders>
              <w:top w:val="single" w:sz="8" w:space="0" w:color="E87722"/>
            </w:tcBorders>
            <w:shd w:val="clear" w:color="auto" w:fill="auto"/>
            <w:tcMar>
              <w:top w:w="0" w:type="dxa"/>
              <w:left w:w="20" w:type="dxa"/>
              <w:bottom w:w="0" w:type="dxa"/>
              <w:right w:w="20" w:type="dxa"/>
            </w:tcMar>
          </w:tcPr>
          <w:p w14:paraId="669C6740" w14:textId="77777777" w:rsidR="00066C63" w:rsidRDefault="00066C63">
            <w:pPr>
              <w:rPr>
                <w:rFonts w:ascii="宋体"/>
              </w:rPr>
            </w:pPr>
          </w:p>
        </w:tc>
        <w:tc>
          <w:tcPr>
            <w:tcW w:w="0" w:type="auto"/>
            <w:gridSpan w:val="6"/>
            <w:tcBorders>
              <w:top w:val="single" w:sz="8" w:space="0" w:color="E87722"/>
            </w:tcBorders>
            <w:shd w:val="clear" w:color="auto" w:fill="auto"/>
            <w:tcMar>
              <w:top w:w="40" w:type="dxa"/>
              <w:left w:w="20" w:type="dxa"/>
              <w:bottom w:w="40" w:type="dxa"/>
              <w:right w:w="20" w:type="dxa"/>
            </w:tcMar>
            <w:vAlign w:val="bottom"/>
          </w:tcPr>
          <w:p w14:paraId="669C6741" w14:textId="77777777" w:rsidR="00066C63" w:rsidRDefault="009656F6">
            <w:pPr>
              <w:jc w:val="center"/>
              <w:textAlignment w:val="bottom"/>
            </w:pPr>
            <w:r>
              <w:rPr>
                <w:rFonts w:ascii="sans-serif" w:eastAsia="sans-serif" w:hAnsi="sans-serif" w:cs="sans-serif"/>
                <w:b/>
                <w:bCs/>
                <w:color w:val="000000"/>
                <w:sz w:val="17"/>
                <w:szCs w:val="17"/>
              </w:rPr>
              <w:t xml:space="preserve">NINE MONTHS ENDED </w:t>
            </w:r>
          </w:p>
        </w:tc>
        <w:tc>
          <w:tcPr>
            <w:tcW w:w="0" w:type="auto"/>
            <w:gridSpan w:val="3"/>
            <w:vMerge/>
            <w:shd w:val="clear" w:color="auto" w:fill="auto"/>
            <w:tcMar>
              <w:top w:w="40" w:type="dxa"/>
              <w:left w:w="20" w:type="dxa"/>
              <w:bottom w:w="40" w:type="dxa"/>
              <w:right w:w="20" w:type="dxa"/>
            </w:tcMar>
            <w:vAlign w:val="bottom"/>
          </w:tcPr>
          <w:p w14:paraId="669C6742" w14:textId="77777777" w:rsidR="00066C63" w:rsidRDefault="00066C63">
            <w:pPr>
              <w:jc w:val="right"/>
              <w:rPr>
                <w:rFonts w:ascii="宋体"/>
              </w:rPr>
            </w:pPr>
          </w:p>
        </w:tc>
      </w:tr>
      <w:tr w:rsidR="00066C63" w14:paraId="669C674B" w14:textId="77777777">
        <w:trPr>
          <w:trHeight w:val="400"/>
        </w:trPr>
        <w:tc>
          <w:tcPr>
            <w:tcW w:w="0" w:type="auto"/>
            <w:gridSpan w:val="3"/>
            <w:shd w:val="clear" w:color="auto" w:fill="auto"/>
            <w:tcMar>
              <w:top w:w="40" w:type="dxa"/>
              <w:left w:w="20" w:type="dxa"/>
              <w:bottom w:w="40" w:type="dxa"/>
              <w:right w:w="20" w:type="dxa"/>
            </w:tcMar>
            <w:vAlign w:val="bottom"/>
          </w:tcPr>
          <w:p w14:paraId="669C6744" w14:textId="77777777" w:rsidR="00066C63" w:rsidRDefault="009656F6">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745" w14:textId="77777777" w:rsidR="00066C63" w:rsidRDefault="009656F6">
            <w:pPr>
              <w:jc w:val="center"/>
              <w:textAlignment w:val="bottom"/>
            </w:pPr>
            <w:r>
              <w:rPr>
                <w:rFonts w:ascii="sans-serif" w:eastAsia="sans-serif" w:hAnsi="sans-serif" w:cs="sans-serif"/>
                <w:b/>
                <w:bCs/>
                <w:color w:val="000000"/>
                <w:sz w:val="17"/>
                <w:szCs w:val="17"/>
              </w:rPr>
              <w:t>FEBRUARY 28, 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746" w14:textId="77777777" w:rsidR="00066C63" w:rsidRDefault="009656F6">
            <w:pPr>
              <w:jc w:val="center"/>
              <w:textAlignment w:val="bottom"/>
            </w:pPr>
            <w:r>
              <w:rPr>
                <w:rFonts w:ascii="sans-serif" w:eastAsia="sans-serif" w:hAnsi="sans-serif" w:cs="sans-serif"/>
                <w:b/>
                <w:bCs/>
                <w:color w:val="000000"/>
                <w:sz w:val="17"/>
                <w:szCs w:val="17"/>
              </w:rPr>
              <w:t>FEBRUARY 29, 2020</w:t>
            </w:r>
          </w:p>
        </w:tc>
        <w:tc>
          <w:tcPr>
            <w:tcW w:w="0" w:type="auto"/>
            <w:gridSpan w:val="3"/>
            <w:shd w:val="clear" w:color="auto" w:fill="auto"/>
            <w:tcMar>
              <w:top w:w="0" w:type="dxa"/>
              <w:left w:w="20" w:type="dxa"/>
              <w:bottom w:w="0" w:type="dxa"/>
              <w:right w:w="20" w:type="dxa"/>
            </w:tcMar>
          </w:tcPr>
          <w:p w14:paraId="669C6747" w14:textId="77777777" w:rsidR="00066C63" w:rsidRDefault="00066C63">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748" w14:textId="77777777" w:rsidR="00066C63" w:rsidRDefault="009656F6">
            <w:pPr>
              <w:jc w:val="center"/>
              <w:textAlignment w:val="bottom"/>
            </w:pPr>
            <w:r>
              <w:rPr>
                <w:rFonts w:ascii="sans-serif" w:eastAsia="sans-serif" w:hAnsi="sans-serif" w:cs="sans-serif"/>
                <w:b/>
                <w:bCs/>
                <w:color w:val="000000"/>
                <w:sz w:val="17"/>
                <w:szCs w:val="17"/>
              </w:rPr>
              <w:t>FEBRUARY 28, 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749" w14:textId="77777777" w:rsidR="00066C63" w:rsidRDefault="009656F6">
            <w:pPr>
              <w:jc w:val="center"/>
              <w:textAlignment w:val="bottom"/>
            </w:pPr>
            <w:r>
              <w:rPr>
                <w:rFonts w:ascii="sans-serif" w:eastAsia="sans-serif" w:hAnsi="sans-serif" w:cs="sans-serif"/>
                <w:b/>
                <w:bCs/>
                <w:color w:val="000000"/>
                <w:sz w:val="17"/>
                <w:szCs w:val="17"/>
              </w:rPr>
              <w:t>FEBRUARY 29, 2020</w:t>
            </w:r>
          </w:p>
        </w:tc>
        <w:tc>
          <w:tcPr>
            <w:tcW w:w="0" w:type="auto"/>
            <w:gridSpan w:val="3"/>
            <w:vMerge/>
            <w:shd w:val="clear" w:color="auto" w:fill="auto"/>
            <w:tcMar>
              <w:top w:w="40" w:type="dxa"/>
              <w:left w:w="20" w:type="dxa"/>
              <w:bottom w:w="40" w:type="dxa"/>
              <w:right w:w="20" w:type="dxa"/>
            </w:tcMar>
            <w:vAlign w:val="bottom"/>
          </w:tcPr>
          <w:p w14:paraId="669C674A" w14:textId="77777777" w:rsidR="00066C63" w:rsidRDefault="00066C63">
            <w:pPr>
              <w:jc w:val="right"/>
              <w:rPr>
                <w:rFonts w:ascii="宋体"/>
              </w:rPr>
            </w:pPr>
          </w:p>
        </w:tc>
      </w:tr>
      <w:tr w:rsidR="00066C63" w14:paraId="669C6753" w14:textId="77777777">
        <w:trPr>
          <w:hidden/>
        </w:trPr>
        <w:tc>
          <w:tcPr>
            <w:tcW w:w="0" w:type="auto"/>
            <w:gridSpan w:val="3"/>
            <w:shd w:val="clear" w:color="auto" w:fill="auto"/>
          </w:tcPr>
          <w:p w14:paraId="669C674C" w14:textId="77777777" w:rsidR="00066C63" w:rsidRDefault="00066C63">
            <w:pPr>
              <w:rPr>
                <w:rFonts w:ascii="宋体"/>
                <w:vanish/>
              </w:rPr>
            </w:pPr>
          </w:p>
        </w:tc>
        <w:tc>
          <w:tcPr>
            <w:tcW w:w="0" w:type="auto"/>
            <w:gridSpan w:val="3"/>
            <w:shd w:val="clear" w:color="auto" w:fill="auto"/>
          </w:tcPr>
          <w:p w14:paraId="669C674D" w14:textId="77777777" w:rsidR="00066C63" w:rsidRDefault="00066C63">
            <w:pPr>
              <w:rPr>
                <w:rFonts w:ascii="宋体"/>
                <w:vanish/>
              </w:rPr>
            </w:pPr>
          </w:p>
        </w:tc>
        <w:tc>
          <w:tcPr>
            <w:tcW w:w="0" w:type="auto"/>
            <w:gridSpan w:val="3"/>
            <w:shd w:val="clear" w:color="auto" w:fill="auto"/>
          </w:tcPr>
          <w:p w14:paraId="669C674E" w14:textId="77777777" w:rsidR="00066C63" w:rsidRDefault="00066C63">
            <w:pPr>
              <w:rPr>
                <w:rFonts w:ascii="宋体"/>
                <w:vanish/>
              </w:rPr>
            </w:pPr>
          </w:p>
        </w:tc>
        <w:tc>
          <w:tcPr>
            <w:tcW w:w="0" w:type="auto"/>
            <w:gridSpan w:val="3"/>
            <w:shd w:val="clear" w:color="auto" w:fill="auto"/>
          </w:tcPr>
          <w:p w14:paraId="669C674F" w14:textId="77777777" w:rsidR="00066C63" w:rsidRDefault="00066C63">
            <w:pPr>
              <w:rPr>
                <w:rFonts w:ascii="宋体"/>
                <w:vanish/>
              </w:rPr>
            </w:pPr>
          </w:p>
        </w:tc>
        <w:tc>
          <w:tcPr>
            <w:tcW w:w="0" w:type="auto"/>
            <w:gridSpan w:val="3"/>
            <w:shd w:val="clear" w:color="auto" w:fill="auto"/>
          </w:tcPr>
          <w:p w14:paraId="669C6750" w14:textId="77777777" w:rsidR="00066C63" w:rsidRDefault="00066C63">
            <w:pPr>
              <w:rPr>
                <w:rFonts w:ascii="宋体"/>
                <w:vanish/>
              </w:rPr>
            </w:pPr>
          </w:p>
        </w:tc>
        <w:tc>
          <w:tcPr>
            <w:tcW w:w="0" w:type="auto"/>
            <w:gridSpan w:val="3"/>
            <w:shd w:val="clear" w:color="auto" w:fill="auto"/>
          </w:tcPr>
          <w:p w14:paraId="669C6751" w14:textId="77777777" w:rsidR="00066C63" w:rsidRDefault="00066C63">
            <w:pPr>
              <w:rPr>
                <w:rFonts w:ascii="宋体"/>
                <w:vanish/>
              </w:rPr>
            </w:pPr>
          </w:p>
        </w:tc>
        <w:tc>
          <w:tcPr>
            <w:tcW w:w="0" w:type="auto"/>
            <w:gridSpan w:val="3"/>
            <w:shd w:val="clear" w:color="auto" w:fill="auto"/>
          </w:tcPr>
          <w:p w14:paraId="669C6752" w14:textId="77777777" w:rsidR="00066C63" w:rsidRDefault="00066C63">
            <w:pPr>
              <w:rPr>
                <w:rFonts w:ascii="宋体"/>
                <w:vanish/>
              </w:rPr>
            </w:pPr>
          </w:p>
        </w:tc>
      </w:tr>
      <w:tr w:rsidR="00066C63" w14:paraId="669C675B" w14:textId="77777777">
        <w:trPr>
          <w:hidden/>
        </w:trPr>
        <w:tc>
          <w:tcPr>
            <w:tcW w:w="0" w:type="auto"/>
            <w:gridSpan w:val="3"/>
            <w:shd w:val="clear" w:color="auto" w:fill="auto"/>
          </w:tcPr>
          <w:p w14:paraId="669C6754" w14:textId="77777777" w:rsidR="00066C63" w:rsidRDefault="00066C63">
            <w:pPr>
              <w:rPr>
                <w:rFonts w:ascii="宋体"/>
                <w:vanish/>
              </w:rPr>
            </w:pPr>
          </w:p>
        </w:tc>
        <w:tc>
          <w:tcPr>
            <w:tcW w:w="0" w:type="auto"/>
            <w:gridSpan w:val="3"/>
            <w:shd w:val="clear" w:color="auto" w:fill="auto"/>
          </w:tcPr>
          <w:p w14:paraId="669C6755" w14:textId="77777777" w:rsidR="00066C63" w:rsidRDefault="00066C63">
            <w:pPr>
              <w:rPr>
                <w:rFonts w:ascii="宋体"/>
                <w:vanish/>
              </w:rPr>
            </w:pPr>
          </w:p>
        </w:tc>
        <w:tc>
          <w:tcPr>
            <w:tcW w:w="0" w:type="auto"/>
            <w:gridSpan w:val="3"/>
            <w:shd w:val="clear" w:color="auto" w:fill="auto"/>
          </w:tcPr>
          <w:p w14:paraId="669C6756" w14:textId="77777777" w:rsidR="00066C63" w:rsidRDefault="00066C63">
            <w:pPr>
              <w:rPr>
                <w:rFonts w:ascii="宋体"/>
                <w:vanish/>
              </w:rPr>
            </w:pPr>
          </w:p>
        </w:tc>
        <w:tc>
          <w:tcPr>
            <w:tcW w:w="0" w:type="auto"/>
            <w:gridSpan w:val="3"/>
            <w:shd w:val="clear" w:color="auto" w:fill="auto"/>
          </w:tcPr>
          <w:p w14:paraId="669C6757" w14:textId="77777777" w:rsidR="00066C63" w:rsidRDefault="00066C63">
            <w:pPr>
              <w:rPr>
                <w:rFonts w:ascii="宋体"/>
                <w:vanish/>
              </w:rPr>
            </w:pPr>
          </w:p>
        </w:tc>
        <w:tc>
          <w:tcPr>
            <w:tcW w:w="0" w:type="auto"/>
            <w:gridSpan w:val="3"/>
            <w:shd w:val="clear" w:color="auto" w:fill="auto"/>
          </w:tcPr>
          <w:p w14:paraId="669C6758" w14:textId="77777777" w:rsidR="00066C63" w:rsidRDefault="00066C63">
            <w:pPr>
              <w:rPr>
                <w:rFonts w:ascii="宋体"/>
                <w:vanish/>
              </w:rPr>
            </w:pPr>
          </w:p>
        </w:tc>
        <w:tc>
          <w:tcPr>
            <w:tcW w:w="0" w:type="auto"/>
            <w:gridSpan w:val="3"/>
            <w:shd w:val="clear" w:color="auto" w:fill="auto"/>
          </w:tcPr>
          <w:p w14:paraId="669C6759" w14:textId="77777777" w:rsidR="00066C63" w:rsidRDefault="00066C63">
            <w:pPr>
              <w:rPr>
                <w:rFonts w:ascii="宋体"/>
                <w:vanish/>
              </w:rPr>
            </w:pPr>
          </w:p>
        </w:tc>
        <w:tc>
          <w:tcPr>
            <w:tcW w:w="0" w:type="auto"/>
            <w:gridSpan w:val="3"/>
            <w:shd w:val="clear" w:color="auto" w:fill="auto"/>
          </w:tcPr>
          <w:p w14:paraId="669C675A" w14:textId="77777777" w:rsidR="00066C63" w:rsidRDefault="00066C63">
            <w:pPr>
              <w:rPr>
                <w:rFonts w:ascii="宋体"/>
                <w:vanish/>
              </w:rPr>
            </w:pPr>
          </w:p>
        </w:tc>
      </w:tr>
      <w:tr w:rsidR="00066C63" w14:paraId="669C6763"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75C" w14:textId="77777777" w:rsidR="00066C63" w:rsidRDefault="009656F6">
            <w:pPr>
              <w:textAlignment w:val="bottom"/>
            </w:pPr>
            <w:r>
              <w:rPr>
                <w:rFonts w:ascii="Arial" w:eastAsia="宋体" w:hAnsi="Arial" w:cs="Arial"/>
                <w:color w:val="000000"/>
                <w:sz w:val="17"/>
                <w:szCs w:val="17"/>
              </w:rPr>
              <w:t>Derivatives not designated as hedging instruments:</w:t>
            </w:r>
          </w:p>
        </w:tc>
        <w:tc>
          <w:tcPr>
            <w:tcW w:w="0" w:type="auto"/>
            <w:gridSpan w:val="3"/>
            <w:tcBorders>
              <w:top w:val="single" w:sz="8" w:space="0" w:color="E87722"/>
            </w:tcBorders>
            <w:shd w:val="clear" w:color="auto" w:fill="FFF1E7"/>
            <w:tcMar>
              <w:top w:w="0" w:type="dxa"/>
              <w:left w:w="20" w:type="dxa"/>
              <w:bottom w:w="0" w:type="dxa"/>
              <w:right w:w="20" w:type="dxa"/>
            </w:tcMar>
          </w:tcPr>
          <w:p w14:paraId="669C675D"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675E"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675F" w14:textId="77777777" w:rsidR="00066C63" w:rsidRDefault="00066C63">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669C6760"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6761"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6762" w14:textId="77777777" w:rsidR="00066C63" w:rsidRDefault="00066C63">
            <w:pPr>
              <w:rPr>
                <w:rFonts w:ascii="宋体"/>
              </w:rPr>
            </w:pPr>
          </w:p>
        </w:tc>
      </w:tr>
      <w:tr w:rsidR="00066C63" w14:paraId="669C6773"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6764" w14:textId="77777777" w:rsidR="00066C63" w:rsidRDefault="009656F6">
            <w:pPr>
              <w:textAlignment w:val="bottom"/>
            </w:pPr>
            <w:r>
              <w:rPr>
                <w:rFonts w:ascii="Arial" w:eastAsia="宋体" w:hAnsi="Arial" w:cs="Arial"/>
                <w:color w:val="000000"/>
                <w:sz w:val="17"/>
                <w:szCs w:val="17"/>
              </w:rPr>
              <w:t>Foreign exchange forwards and options</w:t>
            </w:r>
          </w:p>
        </w:tc>
        <w:tc>
          <w:tcPr>
            <w:tcW w:w="0" w:type="auto"/>
            <w:tcBorders>
              <w:top w:val="single" w:sz="8" w:space="0" w:color="808080"/>
            </w:tcBorders>
            <w:shd w:val="clear" w:color="auto" w:fill="FFF1E7"/>
            <w:tcMar>
              <w:top w:w="40" w:type="dxa"/>
              <w:left w:w="20" w:type="dxa"/>
              <w:bottom w:w="40" w:type="dxa"/>
              <w:right w:w="0" w:type="dxa"/>
            </w:tcMar>
            <w:vAlign w:val="bottom"/>
          </w:tcPr>
          <w:p w14:paraId="669C6765"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669C6766" w14:textId="77777777" w:rsidR="00066C63" w:rsidRDefault="009656F6">
            <w:pPr>
              <w:jc w:val="right"/>
              <w:textAlignment w:val="bottom"/>
            </w:pPr>
            <w:r>
              <w:rPr>
                <w:rFonts w:ascii="Arial" w:eastAsia="宋体" w:hAnsi="Arial" w:cs="Arial"/>
                <w:color w:val="000000"/>
                <w:sz w:val="17"/>
                <w:szCs w:val="17"/>
              </w:rPr>
              <w:t>(11)</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767" w14:textId="77777777" w:rsidR="00066C63" w:rsidRDefault="00066C63">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669C6768"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669C6769" w14:textId="77777777" w:rsidR="00066C63" w:rsidRDefault="009656F6">
            <w:pPr>
              <w:jc w:val="right"/>
              <w:textAlignment w:val="bottom"/>
            </w:pPr>
            <w:r>
              <w:rPr>
                <w:rFonts w:ascii="Arial" w:eastAsia="宋体" w:hAnsi="Arial" w:cs="Arial"/>
                <w:color w:val="000000"/>
                <w:sz w:val="17"/>
                <w:szCs w:val="17"/>
              </w:rPr>
              <w:t>12 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76A" w14:textId="77777777" w:rsidR="00066C63" w:rsidRDefault="00066C63">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676B" w14:textId="77777777" w:rsidR="00066C63" w:rsidRDefault="00066C63">
            <w:pPr>
              <w:rPr>
                <w:rFonts w:ascii="宋体"/>
              </w:rPr>
            </w:pPr>
          </w:p>
        </w:tc>
        <w:tc>
          <w:tcPr>
            <w:tcW w:w="0" w:type="auto"/>
            <w:tcBorders>
              <w:top w:val="single" w:sz="8" w:space="0" w:color="808080"/>
            </w:tcBorders>
            <w:shd w:val="clear" w:color="auto" w:fill="FFF1E7"/>
            <w:tcMar>
              <w:top w:w="40" w:type="dxa"/>
              <w:left w:w="20" w:type="dxa"/>
              <w:bottom w:w="40" w:type="dxa"/>
              <w:right w:w="0" w:type="dxa"/>
            </w:tcMar>
            <w:vAlign w:val="bottom"/>
          </w:tcPr>
          <w:p w14:paraId="669C676C"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669C676D" w14:textId="77777777" w:rsidR="00066C63" w:rsidRDefault="009656F6">
            <w:pPr>
              <w:jc w:val="right"/>
              <w:textAlignment w:val="bottom"/>
            </w:pPr>
            <w:r>
              <w:rPr>
                <w:rFonts w:ascii="Arial" w:eastAsia="宋体" w:hAnsi="Arial" w:cs="Arial"/>
                <w:color w:val="000000"/>
                <w:sz w:val="17"/>
                <w:szCs w:val="17"/>
              </w:rPr>
              <w:t>(98)</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76E" w14:textId="77777777" w:rsidR="00066C63" w:rsidRDefault="00066C63">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669C676F"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669C6770" w14:textId="77777777" w:rsidR="00066C63" w:rsidRDefault="009656F6">
            <w:pPr>
              <w:jc w:val="right"/>
              <w:textAlignment w:val="bottom"/>
            </w:pPr>
            <w:r>
              <w:rPr>
                <w:rFonts w:ascii="Arial" w:eastAsia="宋体" w:hAnsi="Arial" w:cs="Arial"/>
                <w:color w:val="000000"/>
                <w:sz w:val="17"/>
                <w:szCs w:val="17"/>
              </w:rPr>
              <w:t>(9)</w:t>
            </w:r>
          </w:p>
        </w:tc>
        <w:tc>
          <w:tcPr>
            <w:tcW w:w="0" w:type="auto"/>
            <w:tcBorders>
              <w:top w:val="single" w:sz="8" w:space="0" w:color="808080"/>
            </w:tcBorders>
            <w:shd w:val="clear" w:color="auto" w:fill="auto"/>
            <w:tcMar>
              <w:top w:w="40" w:type="dxa"/>
              <w:left w:w="0" w:type="dxa"/>
              <w:bottom w:w="40" w:type="dxa"/>
              <w:right w:w="20" w:type="dxa"/>
            </w:tcMar>
            <w:vAlign w:val="bottom"/>
          </w:tcPr>
          <w:p w14:paraId="669C6771" w14:textId="77777777" w:rsidR="00066C63" w:rsidRDefault="00066C63">
            <w:pPr>
              <w:jc w:val="right"/>
              <w:rPr>
                <w:rFonts w:ascii="宋体"/>
              </w:rPr>
            </w:pP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6772" w14:textId="77777777" w:rsidR="00066C63" w:rsidRDefault="009656F6">
            <w:pPr>
              <w:jc w:val="right"/>
              <w:textAlignment w:val="bottom"/>
            </w:pPr>
            <w:r>
              <w:rPr>
                <w:rFonts w:ascii="Arial" w:eastAsia="宋体" w:hAnsi="Arial" w:cs="Arial"/>
                <w:color w:val="000000"/>
                <w:sz w:val="17"/>
                <w:szCs w:val="17"/>
              </w:rPr>
              <w:t>Other (income) expense, net</w:t>
            </w:r>
          </w:p>
        </w:tc>
      </w:tr>
      <w:tr w:rsidR="00066C63" w14:paraId="669C677F" w14:textId="77777777">
        <w:tc>
          <w:tcPr>
            <w:tcW w:w="0" w:type="auto"/>
            <w:gridSpan w:val="3"/>
            <w:tcBorders>
              <w:top w:val="single" w:sz="8" w:space="0" w:color="808080"/>
              <w:bottom w:val="single" w:sz="8" w:space="0" w:color="E87722"/>
            </w:tcBorders>
            <w:shd w:val="clear" w:color="auto" w:fill="auto"/>
            <w:tcMar>
              <w:top w:w="40" w:type="dxa"/>
              <w:left w:w="155" w:type="dxa"/>
              <w:bottom w:w="40" w:type="dxa"/>
              <w:right w:w="20" w:type="dxa"/>
            </w:tcMar>
            <w:vAlign w:val="bottom"/>
          </w:tcPr>
          <w:p w14:paraId="669C6774" w14:textId="77777777" w:rsidR="00066C63" w:rsidRDefault="009656F6">
            <w:pPr>
              <w:textAlignment w:val="bottom"/>
            </w:pPr>
            <w:r>
              <w:rPr>
                <w:rFonts w:ascii="Arial" w:eastAsia="宋体" w:hAnsi="Arial" w:cs="Arial"/>
                <w:color w:val="000000"/>
                <w:sz w:val="17"/>
                <w:szCs w:val="17"/>
              </w:rPr>
              <w:t>Embedded derivatives</w:t>
            </w:r>
          </w:p>
        </w:tc>
        <w:tc>
          <w:tcPr>
            <w:tcW w:w="0" w:type="auto"/>
            <w:gridSpan w:val="2"/>
            <w:tcBorders>
              <w:top w:val="single" w:sz="8" w:space="0" w:color="808080"/>
              <w:bottom w:val="single" w:sz="8" w:space="0" w:color="E87722"/>
            </w:tcBorders>
            <w:shd w:val="clear" w:color="auto" w:fill="FFF1E7"/>
            <w:tcMar>
              <w:top w:w="40" w:type="dxa"/>
              <w:left w:w="20" w:type="dxa"/>
              <w:bottom w:w="40" w:type="dxa"/>
              <w:right w:w="0" w:type="dxa"/>
            </w:tcMar>
            <w:vAlign w:val="bottom"/>
          </w:tcPr>
          <w:p w14:paraId="669C6775" w14:textId="77777777" w:rsidR="00066C63" w:rsidRDefault="009656F6">
            <w:pPr>
              <w:jc w:val="right"/>
              <w:textAlignment w:val="bottom"/>
            </w:pPr>
            <w:r>
              <w:rPr>
                <w:rFonts w:ascii="Arial" w:eastAsia="宋体" w:hAnsi="Arial" w:cs="Arial"/>
                <w:color w:val="000000"/>
                <w:sz w:val="17"/>
                <w:szCs w:val="17"/>
              </w:rPr>
              <w:t>(4)</w:t>
            </w:r>
          </w:p>
        </w:tc>
        <w:tc>
          <w:tcPr>
            <w:tcW w:w="0" w:type="auto"/>
            <w:tcBorders>
              <w:top w:val="single" w:sz="8" w:space="0" w:color="808080"/>
              <w:bottom w:val="single" w:sz="8" w:space="0" w:color="E87722"/>
            </w:tcBorders>
            <w:shd w:val="clear" w:color="auto" w:fill="FFF1E7"/>
            <w:tcMar>
              <w:top w:w="40" w:type="dxa"/>
              <w:left w:w="0" w:type="dxa"/>
              <w:bottom w:w="40" w:type="dxa"/>
              <w:right w:w="20" w:type="dxa"/>
            </w:tcMar>
            <w:vAlign w:val="bottom"/>
          </w:tcPr>
          <w:p w14:paraId="669C6776" w14:textId="77777777" w:rsidR="00066C63" w:rsidRDefault="00066C63">
            <w:pPr>
              <w:jc w:val="right"/>
              <w:rPr>
                <w:rFonts w:ascii="宋体"/>
              </w:rPr>
            </w:pPr>
          </w:p>
        </w:tc>
        <w:tc>
          <w:tcPr>
            <w:tcW w:w="0" w:type="auto"/>
            <w:gridSpan w:val="2"/>
            <w:tcBorders>
              <w:top w:val="single" w:sz="8" w:space="0" w:color="808080"/>
              <w:bottom w:val="single" w:sz="8" w:space="0" w:color="E87722"/>
            </w:tcBorders>
            <w:shd w:val="clear" w:color="auto" w:fill="auto"/>
            <w:tcMar>
              <w:top w:w="40" w:type="dxa"/>
              <w:left w:w="20" w:type="dxa"/>
              <w:bottom w:w="40" w:type="dxa"/>
              <w:right w:w="0" w:type="dxa"/>
            </w:tcMar>
            <w:vAlign w:val="bottom"/>
          </w:tcPr>
          <w:p w14:paraId="669C6777" w14:textId="77777777" w:rsidR="00066C63" w:rsidRDefault="009656F6">
            <w:pPr>
              <w:jc w:val="right"/>
              <w:textAlignment w:val="bottom"/>
            </w:pPr>
            <w:r>
              <w:rPr>
                <w:rFonts w:ascii="Arial" w:eastAsia="宋体" w:hAnsi="Arial" w:cs="Arial"/>
                <w:color w:val="000000"/>
                <w:sz w:val="17"/>
                <w:szCs w:val="17"/>
              </w:rPr>
              <w:t>(2)</w:t>
            </w:r>
          </w:p>
        </w:tc>
        <w:tc>
          <w:tcPr>
            <w:tcW w:w="0" w:type="auto"/>
            <w:tcBorders>
              <w:top w:val="single" w:sz="8" w:space="0" w:color="808080"/>
              <w:bottom w:val="single" w:sz="8" w:space="0" w:color="E87722"/>
            </w:tcBorders>
            <w:shd w:val="clear" w:color="auto" w:fill="auto"/>
            <w:tcMar>
              <w:top w:w="40" w:type="dxa"/>
              <w:left w:w="0" w:type="dxa"/>
              <w:bottom w:w="40" w:type="dxa"/>
              <w:right w:w="20" w:type="dxa"/>
            </w:tcMar>
            <w:vAlign w:val="bottom"/>
          </w:tcPr>
          <w:p w14:paraId="669C6778" w14:textId="77777777" w:rsidR="00066C63" w:rsidRDefault="00066C63">
            <w:pPr>
              <w:jc w:val="right"/>
              <w:rPr>
                <w:rFonts w:ascii="宋体"/>
              </w:rPr>
            </w:pPr>
          </w:p>
        </w:tc>
        <w:tc>
          <w:tcPr>
            <w:tcW w:w="0" w:type="auto"/>
            <w:gridSpan w:val="3"/>
            <w:tcBorders>
              <w:top w:val="single" w:sz="8" w:space="0" w:color="808080"/>
              <w:bottom w:val="single" w:sz="8" w:space="0" w:color="E87722"/>
            </w:tcBorders>
            <w:shd w:val="clear" w:color="auto" w:fill="auto"/>
            <w:tcMar>
              <w:top w:w="0" w:type="dxa"/>
              <w:left w:w="20" w:type="dxa"/>
              <w:bottom w:w="0" w:type="dxa"/>
              <w:right w:w="20" w:type="dxa"/>
            </w:tcMar>
          </w:tcPr>
          <w:p w14:paraId="669C6779" w14:textId="77777777" w:rsidR="00066C63" w:rsidRDefault="00066C63">
            <w:pPr>
              <w:rPr>
                <w:rFonts w:ascii="宋体"/>
              </w:rPr>
            </w:pPr>
          </w:p>
        </w:tc>
        <w:tc>
          <w:tcPr>
            <w:tcW w:w="0" w:type="auto"/>
            <w:gridSpan w:val="2"/>
            <w:tcBorders>
              <w:top w:val="single" w:sz="8" w:space="0" w:color="808080"/>
              <w:bottom w:val="single" w:sz="8" w:space="0" w:color="E87722"/>
            </w:tcBorders>
            <w:shd w:val="clear" w:color="auto" w:fill="FFF1E7"/>
            <w:tcMar>
              <w:top w:w="40" w:type="dxa"/>
              <w:left w:w="20" w:type="dxa"/>
              <w:bottom w:w="40" w:type="dxa"/>
              <w:right w:w="0" w:type="dxa"/>
            </w:tcMar>
            <w:vAlign w:val="bottom"/>
          </w:tcPr>
          <w:p w14:paraId="669C677A" w14:textId="77777777" w:rsidR="00066C63" w:rsidRDefault="009656F6">
            <w:pPr>
              <w:jc w:val="right"/>
              <w:textAlignment w:val="bottom"/>
            </w:pPr>
            <w:r>
              <w:rPr>
                <w:rFonts w:ascii="Arial" w:eastAsia="宋体" w:hAnsi="Arial" w:cs="Arial"/>
                <w:color w:val="000000"/>
                <w:sz w:val="17"/>
                <w:szCs w:val="17"/>
              </w:rPr>
              <w:t>(17)</w:t>
            </w:r>
          </w:p>
        </w:tc>
        <w:tc>
          <w:tcPr>
            <w:tcW w:w="0" w:type="auto"/>
            <w:tcBorders>
              <w:top w:val="single" w:sz="8" w:space="0" w:color="808080"/>
              <w:bottom w:val="single" w:sz="8" w:space="0" w:color="E87722"/>
            </w:tcBorders>
            <w:shd w:val="clear" w:color="auto" w:fill="FFF1E7"/>
            <w:tcMar>
              <w:top w:w="40" w:type="dxa"/>
              <w:left w:w="0" w:type="dxa"/>
              <w:bottom w:w="40" w:type="dxa"/>
              <w:right w:w="20" w:type="dxa"/>
            </w:tcMar>
            <w:vAlign w:val="bottom"/>
          </w:tcPr>
          <w:p w14:paraId="669C677B" w14:textId="77777777" w:rsidR="00066C63" w:rsidRDefault="00066C63">
            <w:pPr>
              <w:jc w:val="right"/>
              <w:rPr>
                <w:rFonts w:ascii="宋体"/>
              </w:rPr>
            </w:pPr>
          </w:p>
        </w:tc>
        <w:tc>
          <w:tcPr>
            <w:tcW w:w="0" w:type="auto"/>
            <w:gridSpan w:val="2"/>
            <w:tcBorders>
              <w:top w:val="single" w:sz="8" w:space="0" w:color="808080"/>
              <w:bottom w:val="single" w:sz="8" w:space="0" w:color="E87722"/>
            </w:tcBorders>
            <w:shd w:val="clear" w:color="auto" w:fill="auto"/>
            <w:tcMar>
              <w:top w:w="40" w:type="dxa"/>
              <w:left w:w="20" w:type="dxa"/>
              <w:bottom w:w="40" w:type="dxa"/>
              <w:right w:w="0" w:type="dxa"/>
            </w:tcMar>
            <w:vAlign w:val="bottom"/>
          </w:tcPr>
          <w:p w14:paraId="669C677C" w14:textId="77777777" w:rsidR="00066C63" w:rsidRDefault="009656F6">
            <w:pPr>
              <w:jc w:val="right"/>
              <w:textAlignment w:val="bottom"/>
            </w:pPr>
            <w:r>
              <w:rPr>
                <w:rFonts w:ascii="Arial" w:eastAsia="宋体" w:hAnsi="Arial" w:cs="Arial"/>
                <w:color w:val="000000"/>
                <w:sz w:val="17"/>
                <w:szCs w:val="17"/>
              </w:rPr>
              <w:t>(7)</w:t>
            </w:r>
          </w:p>
        </w:tc>
        <w:tc>
          <w:tcPr>
            <w:tcW w:w="0" w:type="auto"/>
            <w:tcBorders>
              <w:top w:val="single" w:sz="8" w:space="0" w:color="808080"/>
              <w:bottom w:val="single" w:sz="8" w:space="0" w:color="E87722"/>
            </w:tcBorders>
            <w:shd w:val="clear" w:color="auto" w:fill="auto"/>
            <w:tcMar>
              <w:top w:w="40" w:type="dxa"/>
              <w:left w:w="0" w:type="dxa"/>
              <w:bottom w:w="40" w:type="dxa"/>
              <w:right w:w="20" w:type="dxa"/>
            </w:tcMar>
            <w:vAlign w:val="bottom"/>
          </w:tcPr>
          <w:p w14:paraId="669C677D" w14:textId="77777777" w:rsidR="00066C63" w:rsidRDefault="00066C63">
            <w:pPr>
              <w:jc w:val="right"/>
              <w:rPr>
                <w:rFonts w:ascii="宋体"/>
              </w:rPr>
            </w:pPr>
          </w:p>
        </w:tc>
        <w:tc>
          <w:tcPr>
            <w:tcW w:w="0" w:type="auto"/>
            <w:gridSpan w:val="3"/>
            <w:tcBorders>
              <w:top w:val="single" w:sz="8" w:space="0" w:color="808080"/>
              <w:bottom w:val="single" w:sz="8" w:space="0" w:color="E87722"/>
            </w:tcBorders>
            <w:shd w:val="clear" w:color="auto" w:fill="auto"/>
            <w:tcMar>
              <w:top w:w="40" w:type="dxa"/>
              <w:left w:w="20" w:type="dxa"/>
              <w:bottom w:w="40" w:type="dxa"/>
              <w:right w:w="20" w:type="dxa"/>
            </w:tcMar>
            <w:vAlign w:val="bottom"/>
          </w:tcPr>
          <w:p w14:paraId="669C677E" w14:textId="77777777" w:rsidR="00066C63" w:rsidRDefault="009656F6">
            <w:pPr>
              <w:jc w:val="right"/>
              <w:textAlignment w:val="bottom"/>
            </w:pPr>
            <w:r>
              <w:rPr>
                <w:rFonts w:ascii="Arial" w:eastAsia="宋体" w:hAnsi="Arial" w:cs="Arial"/>
                <w:color w:val="000000"/>
                <w:sz w:val="17"/>
                <w:szCs w:val="17"/>
              </w:rPr>
              <w:t>Other (income) expense, net</w:t>
            </w:r>
          </w:p>
        </w:tc>
      </w:tr>
    </w:tbl>
    <w:p w14:paraId="669C6780" w14:textId="77777777" w:rsidR="00066C63" w:rsidRDefault="009656F6">
      <w:pPr>
        <w:spacing w:before="240" w:after="120"/>
      </w:pPr>
      <w:r>
        <w:rPr>
          <w:rFonts w:ascii="sans-serif" w:eastAsia="sans-serif" w:hAnsi="sans-serif" w:cs="sans-serif"/>
          <w:b/>
          <w:bCs/>
          <w:color w:val="000000"/>
          <w:sz w:val="28"/>
          <w:szCs w:val="28"/>
        </w:rPr>
        <w:t>CASH FLOW HEDGES</w:t>
      </w:r>
    </w:p>
    <w:p w14:paraId="669C6781" w14:textId="77777777" w:rsidR="00066C63" w:rsidRDefault="009656F6">
      <w:pPr>
        <w:spacing w:before="120" w:after="120"/>
      </w:pPr>
      <w:r>
        <w:rPr>
          <w:rFonts w:ascii="Arial" w:eastAsia="宋体" w:hAnsi="Arial" w:cs="Arial"/>
          <w:color w:val="000000"/>
          <w:sz w:val="17"/>
          <w:szCs w:val="17"/>
        </w:rPr>
        <w:t>All changes in fair value of derivatives designated as cash flow hedges are recorded in Accumulated other comprehensive income (loss) until Net income is affected by the variability of cash flows of the hedged transaction. Effective hedge results are class</w:t>
      </w:r>
      <w:r>
        <w:rPr>
          <w:rFonts w:ascii="Arial" w:eastAsia="宋体" w:hAnsi="Arial" w:cs="Arial"/>
          <w:color w:val="000000"/>
          <w:sz w:val="17"/>
          <w:szCs w:val="17"/>
        </w:rPr>
        <w:t>ified in the Unaudited Condensed Consolidated Statements of Income in the same manner as the underlying exposure. Derivative instruments designated as cash flow hedges must be discontinued when it is no longer probable the forecasted hedged transaction wil</w:t>
      </w:r>
      <w:r>
        <w:rPr>
          <w:rFonts w:ascii="Arial" w:eastAsia="宋体" w:hAnsi="Arial" w:cs="Arial"/>
          <w:color w:val="000000"/>
          <w:sz w:val="17"/>
          <w:szCs w:val="17"/>
        </w:rPr>
        <w:t xml:space="preserve">l occur in the initially identified time period. The gains and losses associated with discontinued derivative instruments in Accumulated other comprehensive income (loss) will be recognized immediately in Other (income) expense, net, if it is probable the </w:t>
      </w:r>
      <w:r>
        <w:rPr>
          <w:rFonts w:ascii="Arial" w:eastAsia="宋体" w:hAnsi="Arial" w:cs="Arial"/>
          <w:color w:val="000000"/>
          <w:sz w:val="17"/>
          <w:szCs w:val="17"/>
        </w:rPr>
        <w:t>forecasted hedged transaction will not occur by the end of the initially identified time period or within an additional two-month period thereafter. In rare circumstances, the additional period of time may exceed two months due to extenuating circumstances</w:t>
      </w:r>
      <w:r>
        <w:rPr>
          <w:rFonts w:ascii="Arial" w:eastAsia="宋体" w:hAnsi="Arial" w:cs="Arial"/>
          <w:color w:val="000000"/>
          <w:sz w:val="17"/>
          <w:szCs w:val="17"/>
        </w:rPr>
        <w:t xml:space="preserve"> related to the nature of the forecasted transaction that are outside the control or influence of the Company. In all situations in which hedge accounting is discontinued and the derivative remains outstanding, the Company accounts for the derivative as an</w:t>
      </w:r>
      <w:r>
        <w:rPr>
          <w:rFonts w:ascii="Arial" w:eastAsia="宋体" w:hAnsi="Arial" w:cs="Arial"/>
          <w:color w:val="000000"/>
          <w:sz w:val="17"/>
          <w:szCs w:val="17"/>
        </w:rPr>
        <w:t xml:space="preserve"> undesignated instrument as discussed below. </w:t>
      </w:r>
    </w:p>
    <w:p w14:paraId="669C6782" w14:textId="77777777" w:rsidR="00066C63" w:rsidRDefault="009656F6">
      <w:pPr>
        <w:spacing w:before="120" w:after="120"/>
      </w:pPr>
      <w:r>
        <w:rPr>
          <w:rFonts w:ascii="Arial" w:eastAsia="宋体" w:hAnsi="Arial" w:cs="Arial"/>
          <w:color w:val="000000"/>
          <w:sz w:val="17"/>
          <w:szCs w:val="17"/>
        </w:rPr>
        <w:t>The total notional amount of outstanding foreign currency derivatives designated as cash flow hedges was approximately $16.5 billion as of February 28, 2021. Approximately $375 million of deferred net losses (n</w:t>
      </w:r>
      <w:r>
        <w:rPr>
          <w:rFonts w:ascii="Arial" w:eastAsia="宋体" w:hAnsi="Arial" w:cs="Arial"/>
          <w:color w:val="000000"/>
          <w:sz w:val="17"/>
          <w:szCs w:val="17"/>
        </w:rPr>
        <w:t>et of tax) on both outstanding and matured derivatives in Accumulated other comprehensive income (loss) as of February 28, 2021, are expected to be reclassified to Net income during the next 12 months concurrent with the underlying hedged transactions also</w:t>
      </w:r>
      <w:r>
        <w:rPr>
          <w:rFonts w:ascii="Arial" w:eastAsia="宋体" w:hAnsi="Arial" w:cs="Arial"/>
          <w:color w:val="000000"/>
          <w:sz w:val="17"/>
          <w:szCs w:val="17"/>
        </w:rPr>
        <w:t xml:space="preserve"> being recorded in Net income. Actual amounts ultimately reclassified to Net income are dependent on the exchange rates in effect when derivative contracts currently outstanding mature. As of February 28, 2021, the maximum term over which the Company hedge</w:t>
      </w:r>
      <w:r>
        <w:rPr>
          <w:rFonts w:ascii="Arial" w:eastAsia="宋体" w:hAnsi="Arial" w:cs="Arial"/>
          <w:color w:val="000000"/>
          <w:sz w:val="17"/>
          <w:szCs w:val="17"/>
        </w:rPr>
        <w:t xml:space="preserve">s exposures to the variability of cash flows for its forecasted transactions was 24 months. </w:t>
      </w:r>
    </w:p>
    <w:p w14:paraId="669C6783" w14:textId="77777777" w:rsidR="00066C63" w:rsidRDefault="009656F6">
      <w:pPr>
        <w:spacing w:before="120" w:after="120"/>
        <w:jc w:val="right"/>
      </w:pPr>
      <w:r>
        <w:rPr>
          <w:rFonts w:ascii="Arial" w:eastAsia="宋体" w:hAnsi="Arial" w:cs="Arial"/>
          <w:color w:val="E87722"/>
          <w:sz w:val="17"/>
          <w:szCs w:val="17"/>
        </w:rPr>
        <w:t>15</w:t>
      </w:r>
    </w:p>
    <w:p w14:paraId="669C6784" w14:textId="77777777" w:rsidR="00066C63" w:rsidRDefault="009656F6">
      <w:r>
        <w:pict w14:anchorId="669C7E3F">
          <v:rect id="_x0000_i1041" style="width:415.3pt;height:1.5pt" o:hralign="center" o:hrstd="t" o:hr="t" fillcolor="#a0a0a0" stroked="f"/>
        </w:pict>
      </w:r>
    </w:p>
    <w:p w14:paraId="669C6785" w14:textId="77777777" w:rsidR="00066C63" w:rsidRDefault="00066C63"/>
    <w:p w14:paraId="669C6786" w14:textId="77777777" w:rsidR="00066C63" w:rsidRDefault="009656F6">
      <w:hyperlink r:id="rId86" w:anchor="i1e99cb26debe49fe8b698d0f0eb1273a_7" w:history="1">
        <w:r>
          <w:rPr>
            <w:rStyle w:val="a5"/>
            <w:rFonts w:ascii="sans-serif" w:eastAsia="sans-serif" w:hAnsi="sans-serif" w:cs="sans-serif"/>
            <w:sz w:val="17"/>
            <w:szCs w:val="17"/>
          </w:rPr>
          <w:t>Table of</w:t>
        </w:r>
        <w:r>
          <w:rPr>
            <w:rStyle w:val="a5"/>
            <w:rFonts w:ascii="sans-serif" w:eastAsia="sans-serif" w:hAnsi="sans-serif" w:cs="sans-serif"/>
            <w:sz w:val="17"/>
            <w:szCs w:val="17"/>
          </w:rPr>
          <w:t xml:space="preserve"> Contents</w:t>
        </w:r>
      </w:hyperlink>
    </w:p>
    <w:p w14:paraId="669C6787" w14:textId="77777777" w:rsidR="00066C63" w:rsidRDefault="00066C63"/>
    <w:p w14:paraId="669C6788" w14:textId="77777777" w:rsidR="00066C63" w:rsidRDefault="009656F6">
      <w:pPr>
        <w:spacing w:before="240" w:after="120"/>
      </w:pPr>
      <w:r>
        <w:rPr>
          <w:rFonts w:ascii="sans-serif" w:eastAsia="sans-serif" w:hAnsi="sans-serif" w:cs="sans-serif"/>
          <w:b/>
          <w:bCs/>
          <w:color w:val="000000"/>
          <w:sz w:val="28"/>
          <w:szCs w:val="28"/>
        </w:rPr>
        <w:t>UNDESIGNATED DERIVATIVE INSTRUMENTS</w:t>
      </w:r>
    </w:p>
    <w:p w14:paraId="669C6789" w14:textId="77777777" w:rsidR="00066C63" w:rsidRDefault="009656F6">
      <w:pPr>
        <w:spacing w:before="120" w:after="120"/>
      </w:pPr>
      <w:r>
        <w:rPr>
          <w:rFonts w:ascii="Arial" w:eastAsia="宋体" w:hAnsi="Arial" w:cs="Arial"/>
          <w:color w:val="000000"/>
          <w:sz w:val="17"/>
          <w:szCs w:val="17"/>
        </w:rPr>
        <w:t>The Company may elect to enter into foreign exchange forwards to mitigate the change in fair value of specific assets and liabilities on the Unaudited Condensed Consolidated Balance Sheets and/or the embedd</w:t>
      </w:r>
      <w:r>
        <w:rPr>
          <w:rFonts w:ascii="Arial" w:eastAsia="宋体" w:hAnsi="Arial" w:cs="Arial"/>
          <w:color w:val="000000"/>
          <w:sz w:val="17"/>
          <w:szCs w:val="17"/>
        </w:rPr>
        <w:t>ed derivative contracts. These undesignated instruments are recorded at fair value as a derivative asset or liability on the Unaudited Condensed Consolidated Balance Sheets with their corresponding change in fair value recognized in Other (income) expense,</w:t>
      </w:r>
      <w:r>
        <w:rPr>
          <w:rFonts w:ascii="Arial" w:eastAsia="宋体" w:hAnsi="Arial" w:cs="Arial"/>
          <w:color w:val="000000"/>
          <w:sz w:val="17"/>
          <w:szCs w:val="17"/>
        </w:rPr>
        <w:t xml:space="preserve"> net, together with the re-measurement gain or loss from the hedged balance sheet position and/or embedded derivative contract. The total notional amount of outstanding undesignated derivative instruments was $4.5 billion as of February 28, 2021.</w:t>
      </w:r>
    </w:p>
    <w:p w14:paraId="669C678A" w14:textId="77777777" w:rsidR="00066C63" w:rsidRDefault="009656F6">
      <w:pPr>
        <w:spacing w:before="240" w:after="120"/>
      </w:pPr>
      <w:r>
        <w:rPr>
          <w:rFonts w:ascii="sans-serif" w:eastAsia="sans-serif" w:hAnsi="sans-serif" w:cs="sans-serif"/>
          <w:b/>
          <w:bCs/>
          <w:color w:val="000000"/>
          <w:sz w:val="28"/>
          <w:szCs w:val="28"/>
        </w:rPr>
        <w:t xml:space="preserve">EMBEDDED </w:t>
      </w:r>
      <w:r>
        <w:rPr>
          <w:rFonts w:ascii="sans-serif" w:eastAsia="sans-serif" w:hAnsi="sans-serif" w:cs="sans-serif"/>
          <w:b/>
          <w:bCs/>
          <w:color w:val="000000"/>
          <w:sz w:val="28"/>
          <w:szCs w:val="28"/>
        </w:rPr>
        <w:t>DERIVATIVES</w:t>
      </w:r>
    </w:p>
    <w:p w14:paraId="669C678B" w14:textId="77777777" w:rsidR="00066C63" w:rsidRDefault="009656F6">
      <w:pPr>
        <w:spacing w:before="120" w:after="120"/>
      </w:pPr>
      <w:r>
        <w:rPr>
          <w:rFonts w:ascii="Arial" w:eastAsia="宋体" w:hAnsi="Arial" w:cs="Arial"/>
          <w:color w:val="000000"/>
          <w:sz w:val="17"/>
          <w:szCs w:val="17"/>
        </w:rPr>
        <w:t>Embedded derivative contracts are treated as foreign currency forward contracts that are bifurcated from the related contract and recorded at fair value as a derivative asset or liability on the Unaudited Condensed Consolidated Balance Sheets w</w:t>
      </w:r>
      <w:r>
        <w:rPr>
          <w:rFonts w:ascii="Arial" w:eastAsia="宋体" w:hAnsi="Arial" w:cs="Arial"/>
          <w:color w:val="000000"/>
          <w:sz w:val="17"/>
          <w:szCs w:val="17"/>
        </w:rPr>
        <w:t xml:space="preserve">ith their corresponding change in fair value recognized in Other (income) expense, net, through the date the foreign currency fluctuations cease to exist. </w:t>
      </w:r>
    </w:p>
    <w:p w14:paraId="669C678C" w14:textId="77777777" w:rsidR="00066C63" w:rsidRDefault="009656F6">
      <w:pPr>
        <w:spacing w:before="120" w:after="120"/>
      </w:pPr>
      <w:r>
        <w:rPr>
          <w:rFonts w:ascii="Arial" w:eastAsia="宋体" w:hAnsi="Arial" w:cs="Arial"/>
          <w:color w:val="000000"/>
          <w:sz w:val="17"/>
          <w:szCs w:val="17"/>
        </w:rPr>
        <w:t>As of February 28, 2021, the total notional amount of embedded derivatives outstanding was approxima</w:t>
      </w:r>
      <w:r>
        <w:rPr>
          <w:rFonts w:ascii="Arial" w:eastAsia="宋体" w:hAnsi="Arial" w:cs="Arial"/>
          <w:color w:val="000000"/>
          <w:sz w:val="17"/>
          <w:szCs w:val="17"/>
        </w:rPr>
        <w:t>tely $429 million.</w:t>
      </w:r>
    </w:p>
    <w:p w14:paraId="669C678D" w14:textId="77777777" w:rsidR="00066C63" w:rsidRDefault="009656F6">
      <w:pPr>
        <w:spacing w:before="240" w:after="120"/>
      </w:pPr>
      <w:r>
        <w:rPr>
          <w:rFonts w:ascii="sans-serif" w:eastAsia="sans-serif" w:hAnsi="sans-serif" w:cs="sans-serif"/>
          <w:b/>
          <w:bCs/>
          <w:color w:val="000000"/>
          <w:sz w:val="28"/>
          <w:szCs w:val="28"/>
        </w:rPr>
        <w:t>CREDIT RISK</w:t>
      </w:r>
    </w:p>
    <w:p w14:paraId="669C678E" w14:textId="77777777" w:rsidR="00066C63" w:rsidRDefault="009656F6">
      <w:pPr>
        <w:spacing w:before="120" w:after="120"/>
      </w:pPr>
      <w:r>
        <w:rPr>
          <w:rFonts w:ascii="Arial" w:eastAsia="宋体" w:hAnsi="Arial" w:cs="Arial"/>
          <w:color w:val="000000"/>
          <w:sz w:val="17"/>
          <w:szCs w:val="17"/>
        </w:rPr>
        <w:t>The Company's bilateral credit-related contingent features generally require the owing entity, either the Company or the derivative counterparty, to post collateral for the portion of the fair value in excess of $50 million s</w:t>
      </w:r>
      <w:r>
        <w:rPr>
          <w:rFonts w:ascii="Arial" w:eastAsia="宋体" w:hAnsi="Arial" w:cs="Arial"/>
          <w:color w:val="000000"/>
          <w:sz w:val="17"/>
          <w:szCs w:val="17"/>
        </w:rPr>
        <w:t>hould the fair value of outstanding derivatives per counterparty be greater than $50 million. Additionally, a certain level of decline in credit rating of either the Company or the counterparty could also trigger collateral requirements. As of February 28,</w:t>
      </w:r>
      <w:r>
        <w:rPr>
          <w:rFonts w:ascii="Arial" w:eastAsia="宋体" w:hAnsi="Arial" w:cs="Arial"/>
          <w:color w:val="000000"/>
          <w:sz w:val="17"/>
          <w:szCs w:val="17"/>
        </w:rPr>
        <w:t xml:space="preserve"> 2021, the Company was in compliance with all credit risk-related contingent features, and derivative instruments with such features were in a net liability position of approximately $464 million. Accordingly, the Company was required to post $183 million </w:t>
      </w:r>
      <w:r>
        <w:rPr>
          <w:rFonts w:ascii="Arial" w:eastAsia="宋体" w:hAnsi="Arial" w:cs="Arial"/>
          <w:color w:val="000000"/>
          <w:sz w:val="17"/>
          <w:szCs w:val="17"/>
        </w:rPr>
        <w:t>of cash collateral as a result of these contingent features. Further, no amount of collateral was received on the Company's derivative asset balance as of February 28, 2021. The Company considers the impact of the risk of counterparty default to be immater</w:t>
      </w:r>
      <w:r>
        <w:rPr>
          <w:rFonts w:ascii="Arial" w:eastAsia="宋体" w:hAnsi="Arial" w:cs="Arial"/>
          <w:color w:val="000000"/>
          <w:sz w:val="17"/>
          <w:szCs w:val="17"/>
        </w:rPr>
        <w:t>ial.</w:t>
      </w:r>
    </w:p>
    <w:p w14:paraId="669C678F" w14:textId="77777777" w:rsidR="00066C63" w:rsidRDefault="009656F6">
      <w:pPr>
        <w:spacing w:before="120" w:after="120"/>
      </w:pPr>
      <w:r>
        <w:rPr>
          <w:rFonts w:ascii="Arial" w:eastAsia="宋体" w:hAnsi="Arial" w:cs="Arial"/>
          <w:color w:val="000000"/>
          <w:sz w:val="17"/>
          <w:szCs w:val="17"/>
        </w:rPr>
        <w:t>For additional information related to the Company's derivative financial instruments and collateral, refer to Note 4 — Fair Value Measurements.</w:t>
      </w:r>
    </w:p>
    <w:p w14:paraId="669C6790" w14:textId="77777777" w:rsidR="00066C63" w:rsidRDefault="009656F6">
      <w:pPr>
        <w:spacing w:before="120" w:after="120"/>
      </w:pPr>
      <w:r>
        <w:rPr>
          <w:rFonts w:ascii="Arial" w:eastAsia="宋体" w:hAnsi="Arial" w:cs="Arial"/>
          <w:color w:val="E87722"/>
          <w:sz w:val="17"/>
          <w:szCs w:val="17"/>
        </w:rPr>
        <w:t>16</w:t>
      </w:r>
      <w:r>
        <w:rPr>
          <w:rFonts w:ascii="sans-serif" w:eastAsia="sans-serif" w:hAnsi="sans-serif" w:cs="sans-serif"/>
          <w:color w:val="000000"/>
          <w:sz w:val="17"/>
          <w:szCs w:val="17"/>
        </w:rPr>
        <w:t xml:space="preserve"> </w:t>
      </w:r>
    </w:p>
    <w:p w14:paraId="669C6791" w14:textId="77777777" w:rsidR="00066C63" w:rsidRDefault="009656F6">
      <w:r>
        <w:pict w14:anchorId="669C7E40">
          <v:rect id="_x0000_i1042" style="width:415.3pt;height:1.5pt" o:hralign="center" o:hrstd="t" o:hr="t" fillcolor="#a0a0a0" stroked="f"/>
        </w:pict>
      </w:r>
    </w:p>
    <w:p w14:paraId="669C6792" w14:textId="77777777" w:rsidR="00066C63" w:rsidRDefault="00066C63"/>
    <w:p w14:paraId="669C6793" w14:textId="77777777" w:rsidR="00066C63" w:rsidRDefault="009656F6">
      <w:hyperlink r:id="rId87" w:anchor="i1e99cb26debe49fe8b698d0f0eb1273a_7" w:history="1">
        <w:r>
          <w:rPr>
            <w:rStyle w:val="a5"/>
            <w:rFonts w:ascii="sans-serif" w:eastAsia="sans-serif" w:hAnsi="sans-serif" w:cs="sans-serif"/>
            <w:sz w:val="17"/>
            <w:szCs w:val="17"/>
          </w:rPr>
          <w:t>Table of Contents</w:t>
        </w:r>
      </w:hyperlink>
    </w:p>
    <w:p w14:paraId="669C6794" w14:textId="77777777" w:rsidR="00066C63" w:rsidRDefault="00066C63"/>
    <w:tbl>
      <w:tblPr>
        <w:tblW w:w="4865" w:type="pct"/>
        <w:tblCellMar>
          <w:top w:w="15" w:type="dxa"/>
          <w:left w:w="15" w:type="dxa"/>
          <w:bottom w:w="15" w:type="dxa"/>
          <w:right w:w="15" w:type="dxa"/>
        </w:tblCellMar>
        <w:tblLook w:val="04A0" w:firstRow="1" w:lastRow="0" w:firstColumn="1" w:lastColumn="0" w:noHBand="0" w:noVBand="1"/>
      </w:tblPr>
      <w:tblGrid>
        <w:gridCol w:w="67"/>
        <w:gridCol w:w="8008"/>
        <w:gridCol w:w="36"/>
      </w:tblGrid>
      <w:tr w:rsidR="00066C63" w14:paraId="669C6798" w14:textId="77777777">
        <w:tc>
          <w:tcPr>
            <w:tcW w:w="50" w:type="pct"/>
            <w:shd w:val="clear" w:color="auto" w:fill="auto"/>
          </w:tcPr>
          <w:p w14:paraId="669C6795" w14:textId="77777777" w:rsidR="00066C63" w:rsidRDefault="00066C63">
            <w:pPr>
              <w:rPr>
                <w:rFonts w:ascii="宋体"/>
              </w:rPr>
            </w:pPr>
          </w:p>
        </w:tc>
        <w:tc>
          <w:tcPr>
            <w:tcW w:w="4945" w:type="pct"/>
            <w:shd w:val="clear" w:color="auto" w:fill="auto"/>
          </w:tcPr>
          <w:p w14:paraId="669C6796" w14:textId="77777777" w:rsidR="00066C63" w:rsidRDefault="00066C63">
            <w:pPr>
              <w:rPr>
                <w:rFonts w:ascii="宋体"/>
              </w:rPr>
            </w:pPr>
          </w:p>
        </w:tc>
        <w:tc>
          <w:tcPr>
            <w:tcW w:w="5" w:type="pct"/>
            <w:shd w:val="clear" w:color="auto" w:fill="auto"/>
          </w:tcPr>
          <w:p w14:paraId="669C6797" w14:textId="77777777" w:rsidR="00066C63" w:rsidRDefault="00066C63">
            <w:pPr>
              <w:rPr>
                <w:rFonts w:ascii="宋体"/>
              </w:rPr>
            </w:pPr>
          </w:p>
        </w:tc>
      </w:tr>
      <w:tr w:rsidR="00066C63" w14:paraId="669C679A" w14:textId="77777777">
        <w:tc>
          <w:tcPr>
            <w:tcW w:w="0" w:type="auto"/>
            <w:gridSpan w:val="3"/>
            <w:shd w:val="clear" w:color="auto" w:fill="auto"/>
            <w:tcMar>
              <w:top w:w="40" w:type="dxa"/>
              <w:left w:w="20" w:type="dxa"/>
              <w:bottom w:w="40" w:type="dxa"/>
              <w:right w:w="20" w:type="dxa"/>
            </w:tcMar>
            <w:vAlign w:val="bottom"/>
          </w:tcPr>
          <w:p w14:paraId="669C6799" w14:textId="77777777" w:rsidR="00066C63" w:rsidRDefault="009656F6">
            <w:pPr>
              <w:textAlignment w:val="bottom"/>
            </w:pPr>
            <w:r>
              <w:rPr>
                <w:rFonts w:ascii="sans-serif" w:eastAsia="sans-serif" w:hAnsi="sans-serif" w:cs="sans-serif"/>
                <w:b/>
                <w:bCs/>
                <w:color w:val="E87722"/>
                <w:sz w:val="36"/>
                <w:szCs w:val="36"/>
              </w:rPr>
              <w:t>NOTE 10 — ACCUMULATED OTHER COMPREHENSIVE INCOME (LOSS)</w:t>
            </w:r>
          </w:p>
        </w:tc>
      </w:tr>
    </w:tbl>
    <w:p w14:paraId="669C679B" w14:textId="77777777" w:rsidR="00066C63" w:rsidRDefault="009656F6">
      <w:pPr>
        <w:spacing w:before="120"/>
      </w:pPr>
      <w:r>
        <w:rPr>
          <w:rFonts w:ascii="Arial" w:eastAsia="宋体" w:hAnsi="Arial" w:cs="Arial"/>
          <w:color w:val="000000"/>
          <w:sz w:val="17"/>
          <w:szCs w:val="17"/>
        </w:rPr>
        <w:t xml:space="preserve">The changes in </w:t>
      </w:r>
      <w:r>
        <w:rPr>
          <w:rFonts w:ascii="Arial" w:eastAsia="宋体" w:hAnsi="Arial" w:cs="Arial"/>
          <w:color w:val="000000"/>
          <w:sz w:val="17"/>
          <w:szCs w:val="17"/>
        </w:rPr>
        <w:t>Accumulated other comprehensive income (loss), net of tax, were as follows:</w:t>
      </w:r>
    </w:p>
    <w:tbl>
      <w:tblPr>
        <w:tblW w:w="4872" w:type="pct"/>
        <w:tblCellMar>
          <w:top w:w="15" w:type="dxa"/>
          <w:left w:w="15" w:type="dxa"/>
          <w:bottom w:w="15" w:type="dxa"/>
          <w:right w:w="15" w:type="dxa"/>
        </w:tblCellMar>
        <w:tblLook w:val="04A0" w:firstRow="1" w:lastRow="0" w:firstColumn="1" w:lastColumn="0" w:noHBand="0" w:noVBand="1"/>
      </w:tblPr>
      <w:tblGrid>
        <w:gridCol w:w="40"/>
        <w:gridCol w:w="3485"/>
        <w:gridCol w:w="39"/>
        <w:gridCol w:w="116"/>
        <w:gridCol w:w="1032"/>
        <w:gridCol w:w="36"/>
        <w:gridCol w:w="116"/>
        <w:gridCol w:w="633"/>
        <w:gridCol w:w="36"/>
        <w:gridCol w:w="116"/>
        <w:gridCol w:w="869"/>
        <w:gridCol w:w="36"/>
        <w:gridCol w:w="116"/>
        <w:gridCol w:w="633"/>
        <w:gridCol w:w="36"/>
        <w:gridCol w:w="115"/>
        <w:gridCol w:w="633"/>
        <w:gridCol w:w="36"/>
      </w:tblGrid>
      <w:tr w:rsidR="00066C63" w14:paraId="669C67AE" w14:textId="77777777">
        <w:tc>
          <w:tcPr>
            <w:tcW w:w="50" w:type="pct"/>
            <w:shd w:val="clear" w:color="auto" w:fill="auto"/>
          </w:tcPr>
          <w:p w14:paraId="669C679C" w14:textId="77777777" w:rsidR="00066C63" w:rsidRDefault="00066C63">
            <w:pPr>
              <w:rPr>
                <w:rFonts w:ascii="宋体"/>
              </w:rPr>
            </w:pPr>
          </w:p>
        </w:tc>
        <w:tc>
          <w:tcPr>
            <w:tcW w:w="2263" w:type="pct"/>
            <w:shd w:val="clear" w:color="auto" w:fill="auto"/>
          </w:tcPr>
          <w:p w14:paraId="669C679D" w14:textId="77777777" w:rsidR="00066C63" w:rsidRDefault="00066C63">
            <w:pPr>
              <w:rPr>
                <w:rFonts w:ascii="宋体"/>
              </w:rPr>
            </w:pPr>
          </w:p>
        </w:tc>
        <w:tc>
          <w:tcPr>
            <w:tcW w:w="5" w:type="pct"/>
            <w:shd w:val="clear" w:color="auto" w:fill="auto"/>
          </w:tcPr>
          <w:p w14:paraId="669C679E" w14:textId="77777777" w:rsidR="00066C63" w:rsidRDefault="00066C63">
            <w:pPr>
              <w:rPr>
                <w:rFonts w:ascii="宋体"/>
              </w:rPr>
            </w:pPr>
          </w:p>
        </w:tc>
        <w:tc>
          <w:tcPr>
            <w:tcW w:w="50" w:type="pct"/>
            <w:shd w:val="clear" w:color="auto" w:fill="auto"/>
          </w:tcPr>
          <w:p w14:paraId="669C679F" w14:textId="77777777" w:rsidR="00066C63" w:rsidRDefault="00066C63">
            <w:pPr>
              <w:rPr>
                <w:rFonts w:ascii="宋体"/>
              </w:rPr>
            </w:pPr>
          </w:p>
        </w:tc>
        <w:tc>
          <w:tcPr>
            <w:tcW w:w="561" w:type="pct"/>
            <w:shd w:val="clear" w:color="auto" w:fill="auto"/>
          </w:tcPr>
          <w:p w14:paraId="669C67A0" w14:textId="77777777" w:rsidR="00066C63" w:rsidRDefault="00066C63">
            <w:pPr>
              <w:rPr>
                <w:rFonts w:ascii="宋体"/>
              </w:rPr>
            </w:pPr>
          </w:p>
        </w:tc>
        <w:tc>
          <w:tcPr>
            <w:tcW w:w="5" w:type="pct"/>
            <w:shd w:val="clear" w:color="auto" w:fill="auto"/>
          </w:tcPr>
          <w:p w14:paraId="669C67A1" w14:textId="77777777" w:rsidR="00066C63" w:rsidRDefault="00066C63">
            <w:pPr>
              <w:rPr>
                <w:rFonts w:ascii="宋体"/>
              </w:rPr>
            </w:pPr>
          </w:p>
        </w:tc>
        <w:tc>
          <w:tcPr>
            <w:tcW w:w="50" w:type="pct"/>
            <w:shd w:val="clear" w:color="auto" w:fill="auto"/>
          </w:tcPr>
          <w:p w14:paraId="669C67A2" w14:textId="77777777" w:rsidR="00066C63" w:rsidRDefault="00066C63">
            <w:pPr>
              <w:rPr>
                <w:rFonts w:ascii="宋体"/>
              </w:rPr>
            </w:pPr>
          </w:p>
        </w:tc>
        <w:tc>
          <w:tcPr>
            <w:tcW w:w="461" w:type="pct"/>
            <w:shd w:val="clear" w:color="auto" w:fill="auto"/>
          </w:tcPr>
          <w:p w14:paraId="669C67A3" w14:textId="77777777" w:rsidR="00066C63" w:rsidRDefault="00066C63">
            <w:pPr>
              <w:rPr>
                <w:rFonts w:ascii="宋体"/>
              </w:rPr>
            </w:pPr>
          </w:p>
        </w:tc>
        <w:tc>
          <w:tcPr>
            <w:tcW w:w="5" w:type="pct"/>
            <w:shd w:val="clear" w:color="auto" w:fill="auto"/>
          </w:tcPr>
          <w:p w14:paraId="669C67A4" w14:textId="77777777" w:rsidR="00066C63" w:rsidRDefault="00066C63">
            <w:pPr>
              <w:rPr>
                <w:rFonts w:ascii="宋体"/>
              </w:rPr>
            </w:pPr>
          </w:p>
        </w:tc>
        <w:tc>
          <w:tcPr>
            <w:tcW w:w="50" w:type="pct"/>
            <w:shd w:val="clear" w:color="auto" w:fill="auto"/>
          </w:tcPr>
          <w:p w14:paraId="669C67A5" w14:textId="77777777" w:rsidR="00066C63" w:rsidRDefault="00066C63">
            <w:pPr>
              <w:rPr>
                <w:rFonts w:ascii="宋体"/>
              </w:rPr>
            </w:pPr>
          </w:p>
        </w:tc>
        <w:tc>
          <w:tcPr>
            <w:tcW w:w="461" w:type="pct"/>
            <w:shd w:val="clear" w:color="auto" w:fill="auto"/>
          </w:tcPr>
          <w:p w14:paraId="669C67A6" w14:textId="77777777" w:rsidR="00066C63" w:rsidRDefault="00066C63">
            <w:pPr>
              <w:rPr>
                <w:rFonts w:ascii="宋体"/>
              </w:rPr>
            </w:pPr>
          </w:p>
        </w:tc>
        <w:tc>
          <w:tcPr>
            <w:tcW w:w="5" w:type="pct"/>
            <w:shd w:val="clear" w:color="auto" w:fill="auto"/>
          </w:tcPr>
          <w:p w14:paraId="669C67A7" w14:textId="77777777" w:rsidR="00066C63" w:rsidRDefault="00066C63">
            <w:pPr>
              <w:rPr>
                <w:rFonts w:ascii="宋体"/>
              </w:rPr>
            </w:pPr>
          </w:p>
        </w:tc>
        <w:tc>
          <w:tcPr>
            <w:tcW w:w="50" w:type="pct"/>
            <w:shd w:val="clear" w:color="auto" w:fill="auto"/>
          </w:tcPr>
          <w:p w14:paraId="669C67A8" w14:textId="77777777" w:rsidR="00066C63" w:rsidRDefault="00066C63">
            <w:pPr>
              <w:rPr>
                <w:rFonts w:ascii="宋体"/>
              </w:rPr>
            </w:pPr>
          </w:p>
        </w:tc>
        <w:tc>
          <w:tcPr>
            <w:tcW w:w="461" w:type="pct"/>
            <w:shd w:val="clear" w:color="auto" w:fill="auto"/>
          </w:tcPr>
          <w:p w14:paraId="669C67A9" w14:textId="77777777" w:rsidR="00066C63" w:rsidRDefault="00066C63">
            <w:pPr>
              <w:rPr>
                <w:rFonts w:ascii="宋体"/>
              </w:rPr>
            </w:pPr>
          </w:p>
        </w:tc>
        <w:tc>
          <w:tcPr>
            <w:tcW w:w="5" w:type="pct"/>
            <w:shd w:val="clear" w:color="auto" w:fill="auto"/>
          </w:tcPr>
          <w:p w14:paraId="669C67AA" w14:textId="77777777" w:rsidR="00066C63" w:rsidRDefault="00066C63">
            <w:pPr>
              <w:rPr>
                <w:rFonts w:ascii="宋体"/>
              </w:rPr>
            </w:pPr>
          </w:p>
        </w:tc>
        <w:tc>
          <w:tcPr>
            <w:tcW w:w="50" w:type="pct"/>
            <w:shd w:val="clear" w:color="auto" w:fill="auto"/>
          </w:tcPr>
          <w:p w14:paraId="669C67AB" w14:textId="77777777" w:rsidR="00066C63" w:rsidRDefault="00066C63">
            <w:pPr>
              <w:rPr>
                <w:rFonts w:ascii="宋体"/>
              </w:rPr>
            </w:pPr>
          </w:p>
        </w:tc>
        <w:tc>
          <w:tcPr>
            <w:tcW w:w="461" w:type="pct"/>
            <w:shd w:val="clear" w:color="auto" w:fill="auto"/>
          </w:tcPr>
          <w:p w14:paraId="669C67AC" w14:textId="77777777" w:rsidR="00066C63" w:rsidRDefault="00066C63">
            <w:pPr>
              <w:rPr>
                <w:rFonts w:ascii="宋体"/>
              </w:rPr>
            </w:pPr>
          </w:p>
        </w:tc>
        <w:tc>
          <w:tcPr>
            <w:tcW w:w="5" w:type="pct"/>
            <w:shd w:val="clear" w:color="auto" w:fill="auto"/>
          </w:tcPr>
          <w:p w14:paraId="669C67AD" w14:textId="77777777" w:rsidR="00066C63" w:rsidRDefault="00066C63">
            <w:pPr>
              <w:rPr>
                <w:rFonts w:ascii="宋体"/>
              </w:rPr>
            </w:pPr>
          </w:p>
        </w:tc>
      </w:tr>
      <w:tr w:rsidR="00066C63" w14:paraId="669C67B5" w14:textId="77777777">
        <w:tc>
          <w:tcPr>
            <w:tcW w:w="0" w:type="auto"/>
            <w:gridSpan w:val="3"/>
            <w:shd w:val="clear" w:color="auto" w:fill="auto"/>
            <w:tcMar>
              <w:top w:w="40" w:type="dxa"/>
              <w:left w:w="20" w:type="dxa"/>
              <w:bottom w:w="40" w:type="dxa"/>
              <w:right w:w="20" w:type="dxa"/>
            </w:tcMar>
            <w:vAlign w:val="bottom"/>
          </w:tcPr>
          <w:p w14:paraId="669C67AF" w14:textId="77777777" w:rsidR="00066C63" w:rsidRDefault="009656F6">
            <w:pPr>
              <w:textAlignment w:val="bottom"/>
            </w:pPr>
            <w:r>
              <w:rPr>
                <w:rFonts w:ascii="Arial Narrow" w:eastAsia="Arial Narrow" w:hAnsi="Arial Narrow" w:cs="Arial Narrow"/>
                <w:i/>
                <w:iCs/>
                <w:color w:val="000000"/>
                <w:sz w:val="17"/>
                <w:szCs w:val="17"/>
              </w:rPr>
              <w:t>(Dollars i</w:t>
            </w:r>
            <w:r>
              <w:rPr>
                <w:rFonts w:ascii="Arial Narrow" w:eastAsia="Arial Narrow" w:hAnsi="Arial Narrow" w:cs="Arial Narrow"/>
                <w:i/>
                <w:iCs/>
                <w:color w:val="000000"/>
                <w:sz w:val="17"/>
                <w:szCs w:val="17"/>
              </w:rPr>
              <w:t>n millions)</w:t>
            </w:r>
          </w:p>
        </w:tc>
        <w:tc>
          <w:tcPr>
            <w:tcW w:w="0" w:type="auto"/>
            <w:gridSpan w:val="3"/>
            <w:shd w:val="clear" w:color="auto" w:fill="auto"/>
            <w:tcMar>
              <w:top w:w="40" w:type="dxa"/>
              <w:left w:w="20" w:type="dxa"/>
              <w:bottom w:w="40" w:type="dxa"/>
              <w:right w:w="20" w:type="dxa"/>
            </w:tcMar>
            <w:vAlign w:val="bottom"/>
          </w:tcPr>
          <w:p w14:paraId="669C67B0" w14:textId="77777777" w:rsidR="00066C63" w:rsidRDefault="009656F6">
            <w:pPr>
              <w:jc w:val="right"/>
              <w:textAlignment w:val="bottom"/>
            </w:pPr>
            <w:r>
              <w:rPr>
                <w:rFonts w:ascii="sans-serif" w:eastAsia="sans-serif" w:hAnsi="sans-serif" w:cs="sans-serif"/>
                <w:b/>
                <w:bCs/>
                <w:color w:val="000000"/>
                <w:sz w:val="17"/>
                <w:szCs w:val="17"/>
              </w:rPr>
              <w:t>FOREIGN CURRENCY TRANSLATION ADJUSTMENT</w:t>
            </w:r>
            <w:r>
              <w:rPr>
                <w:rFonts w:ascii="sans-serif" w:eastAsia="sans-serif" w:hAnsi="sans-serif" w:cs="sans-serif"/>
                <w:b/>
                <w:bCs/>
                <w:color w:val="000000"/>
                <w:sz w:val="11"/>
                <w:szCs w:val="11"/>
              </w:rPr>
              <w:t>(1)</w:t>
            </w:r>
          </w:p>
        </w:tc>
        <w:tc>
          <w:tcPr>
            <w:tcW w:w="0" w:type="auto"/>
            <w:gridSpan w:val="3"/>
            <w:shd w:val="clear" w:color="auto" w:fill="auto"/>
            <w:tcMar>
              <w:top w:w="40" w:type="dxa"/>
              <w:left w:w="20" w:type="dxa"/>
              <w:bottom w:w="40" w:type="dxa"/>
              <w:right w:w="20" w:type="dxa"/>
            </w:tcMar>
            <w:vAlign w:val="bottom"/>
          </w:tcPr>
          <w:p w14:paraId="669C67B1" w14:textId="77777777" w:rsidR="00066C63" w:rsidRDefault="009656F6">
            <w:pPr>
              <w:jc w:val="right"/>
              <w:textAlignment w:val="bottom"/>
            </w:pPr>
            <w:r>
              <w:rPr>
                <w:rFonts w:ascii="sans-serif" w:eastAsia="sans-serif" w:hAnsi="sans-serif" w:cs="sans-serif"/>
                <w:b/>
                <w:bCs/>
                <w:color w:val="000000"/>
                <w:sz w:val="17"/>
                <w:szCs w:val="17"/>
              </w:rPr>
              <w:t>CASH FLOW HEDGES</w:t>
            </w:r>
          </w:p>
        </w:tc>
        <w:tc>
          <w:tcPr>
            <w:tcW w:w="0" w:type="auto"/>
            <w:gridSpan w:val="3"/>
            <w:shd w:val="clear" w:color="auto" w:fill="auto"/>
            <w:tcMar>
              <w:top w:w="40" w:type="dxa"/>
              <w:left w:w="20" w:type="dxa"/>
              <w:bottom w:w="40" w:type="dxa"/>
              <w:right w:w="20" w:type="dxa"/>
            </w:tcMar>
            <w:vAlign w:val="bottom"/>
          </w:tcPr>
          <w:p w14:paraId="669C67B2" w14:textId="77777777" w:rsidR="00066C63" w:rsidRDefault="009656F6">
            <w:pPr>
              <w:jc w:val="right"/>
              <w:textAlignment w:val="bottom"/>
            </w:pPr>
            <w:r>
              <w:rPr>
                <w:rFonts w:ascii="sans-serif" w:eastAsia="sans-serif" w:hAnsi="sans-serif" w:cs="sans-serif"/>
                <w:b/>
                <w:bCs/>
                <w:color w:val="000000"/>
                <w:sz w:val="17"/>
                <w:szCs w:val="17"/>
              </w:rPr>
              <w:t>NET INVESTMENT HEDGES</w:t>
            </w:r>
            <w:r>
              <w:rPr>
                <w:rFonts w:ascii="sans-serif" w:eastAsia="sans-serif" w:hAnsi="sans-serif" w:cs="sans-serif"/>
                <w:b/>
                <w:bCs/>
                <w:color w:val="000000"/>
                <w:sz w:val="11"/>
                <w:szCs w:val="11"/>
              </w:rPr>
              <w:t>(1)</w:t>
            </w:r>
          </w:p>
        </w:tc>
        <w:tc>
          <w:tcPr>
            <w:tcW w:w="0" w:type="auto"/>
            <w:gridSpan w:val="3"/>
            <w:shd w:val="clear" w:color="auto" w:fill="auto"/>
            <w:tcMar>
              <w:top w:w="40" w:type="dxa"/>
              <w:left w:w="20" w:type="dxa"/>
              <w:bottom w:w="40" w:type="dxa"/>
              <w:right w:w="20" w:type="dxa"/>
            </w:tcMar>
            <w:vAlign w:val="bottom"/>
          </w:tcPr>
          <w:p w14:paraId="669C67B3" w14:textId="77777777" w:rsidR="00066C63" w:rsidRDefault="009656F6">
            <w:pPr>
              <w:jc w:val="right"/>
              <w:textAlignment w:val="bottom"/>
            </w:pPr>
            <w:r>
              <w:rPr>
                <w:rFonts w:ascii="sans-serif" w:eastAsia="sans-serif" w:hAnsi="sans-serif" w:cs="sans-serif"/>
                <w:b/>
                <w:bCs/>
                <w:color w:val="000000"/>
                <w:sz w:val="17"/>
                <w:szCs w:val="17"/>
              </w:rPr>
              <w:t>OTHER</w:t>
            </w:r>
          </w:p>
        </w:tc>
        <w:tc>
          <w:tcPr>
            <w:tcW w:w="0" w:type="auto"/>
            <w:gridSpan w:val="3"/>
            <w:shd w:val="clear" w:color="auto" w:fill="auto"/>
            <w:tcMar>
              <w:top w:w="40" w:type="dxa"/>
              <w:left w:w="20" w:type="dxa"/>
              <w:bottom w:w="40" w:type="dxa"/>
              <w:right w:w="20" w:type="dxa"/>
            </w:tcMar>
            <w:vAlign w:val="bottom"/>
          </w:tcPr>
          <w:p w14:paraId="669C67B4" w14:textId="77777777" w:rsidR="00066C63" w:rsidRDefault="009656F6">
            <w:pPr>
              <w:jc w:val="right"/>
              <w:textAlignment w:val="bottom"/>
            </w:pPr>
            <w:r>
              <w:rPr>
                <w:rFonts w:ascii="sans-serif" w:eastAsia="sans-serif" w:hAnsi="sans-serif" w:cs="sans-serif"/>
                <w:b/>
                <w:bCs/>
                <w:color w:val="000000"/>
                <w:sz w:val="17"/>
                <w:szCs w:val="17"/>
              </w:rPr>
              <w:t>TOTAL</w:t>
            </w:r>
          </w:p>
        </w:tc>
      </w:tr>
      <w:tr w:rsidR="00066C63" w14:paraId="669C67C6"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7B6" w14:textId="77777777" w:rsidR="00066C63" w:rsidRDefault="009656F6">
            <w:pPr>
              <w:textAlignment w:val="bottom"/>
            </w:pPr>
            <w:r>
              <w:rPr>
                <w:rFonts w:ascii="Arial" w:eastAsia="宋体" w:hAnsi="Arial" w:cs="Arial"/>
                <w:b/>
                <w:bCs/>
                <w:color w:val="000000"/>
                <w:sz w:val="17"/>
                <w:szCs w:val="17"/>
              </w:rPr>
              <w:t>Balance at November 30, 2020</w:t>
            </w:r>
          </w:p>
        </w:tc>
        <w:tc>
          <w:tcPr>
            <w:tcW w:w="0" w:type="auto"/>
            <w:tcBorders>
              <w:top w:val="single" w:sz="8" w:space="0" w:color="E87722"/>
            </w:tcBorders>
            <w:shd w:val="clear" w:color="auto" w:fill="auto"/>
            <w:tcMar>
              <w:top w:w="40" w:type="dxa"/>
              <w:left w:w="20" w:type="dxa"/>
              <w:bottom w:w="40" w:type="dxa"/>
              <w:right w:w="0" w:type="dxa"/>
            </w:tcMar>
            <w:vAlign w:val="bottom"/>
          </w:tcPr>
          <w:p w14:paraId="669C67B7"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69C67B8" w14:textId="77777777" w:rsidR="00066C63" w:rsidRDefault="009656F6">
            <w:pPr>
              <w:jc w:val="right"/>
              <w:textAlignment w:val="bottom"/>
            </w:pPr>
            <w:r>
              <w:rPr>
                <w:rFonts w:ascii="Arial" w:eastAsia="宋体" w:hAnsi="Arial" w:cs="Arial"/>
                <w:b/>
                <w:bCs/>
                <w:color w:val="000000"/>
                <w:sz w:val="17"/>
                <w:szCs w:val="17"/>
              </w:rPr>
              <w:t>(98)</w:t>
            </w:r>
          </w:p>
        </w:tc>
        <w:tc>
          <w:tcPr>
            <w:tcW w:w="0" w:type="auto"/>
            <w:tcBorders>
              <w:top w:val="single" w:sz="8" w:space="0" w:color="E87722"/>
            </w:tcBorders>
            <w:shd w:val="clear" w:color="auto" w:fill="auto"/>
            <w:tcMar>
              <w:top w:w="40" w:type="dxa"/>
              <w:left w:w="0" w:type="dxa"/>
              <w:bottom w:w="40" w:type="dxa"/>
              <w:right w:w="20" w:type="dxa"/>
            </w:tcMar>
            <w:vAlign w:val="bottom"/>
          </w:tcPr>
          <w:p w14:paraId="669C67B9" w14:textId="77777777" w:rsidR="00066C63" w:rsidRDefault="00066C63">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69C67BA"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69C67BB" w14:textId="77777777" w:rsidR="00066C63" w:rsidRDefault="009656F6">
            <w:pPr>
              <w:jc w:val="right"/>
              <w:textAlignment w:val="bottom"/>
            </w:pPr>
            <w:r>
              <w:rPr>
                <w:rFonts w:ascii="Arial" w:eastAsia="宋体" w:hAnsi="Arial" w:cs="Arial"/>
                <w:b/>
                <w:bCs/>
                <w:color w:val="000000"/>
                <w:sz w:val="17"/>
                <w:szCs w:val="17"/>
              </w:rPr>
              <w:t>(371)</w:t>
            </w:r>
          </w:p>
        </w:tc>
        <w:tc>
          <w:tcPr>
            <w:tcW w:w="0" w:type="auto"/>
            <w:tcBorders>
              <w:top w:val="single" w:sz="8" w:space="0" w:color="E87722"/>
            </w:tcBorders>
            <w:shd w:val="clear" w:color="auto" w:fill="auto"/>
            <w:tcMar>
              <w:top w:w="40" w:type="dxa"/>
              <w:left w:w="0" w:type="dxa"/>
              <w:bottom w:w="40" w:type="dxa"/>
              <w:right w:w="20" w:type="dxa"/>
            </w:tcMar>
            <w:vAlign w:val="bottom"/>
          </w:tcPr>
          <w:p w14:paraId="669C67BC" w14:textId="77777777" w:rsidR="00066C63" w:rsidRDefault="00066C63">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69C67BD"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69C67BE" w14:textId="77777777" w:rsidR="00066C63" w:rsidRDefault="009656F6">
            <w:pPr>
              <w:jc w:val="right"/>
              <w:textAlignment w:val="bottom"/>
            </w:pPr>
            <w:r>
              <w:rPr>
                <w:rFonts w:ascii="Arial" w:eastAsia="宋体" w:hAnsi="Arial" w:cs="Arial"/>
                <w:b/>
                <w:bCs/>
                <w:color w:val="000000"/>
                <w:sz w:val="17"/>
                <w:szCs w:val="17"/>
              </w:rPr>
              <w:t>115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67BF" w14:textId="77777777" w:rsidR="00066C63" w:rsidRDefault="00066C63">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69C67C0"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69C67C1" w14:textId="77777777" w:rsidR="00066C63" w:rsidRDefault="009656F6">
            <w:pPr>
              <w:jc w:val="right"/>
              <w:textAlignment w:val="bottom"/>
            </w:pPr>
            <w:r>
              <w:rPr>
                <w:rFonts w:ascii="Arial" w:eastAsia="宋体" w:hAnsi="Arial" w:cs="Arial"/>
                <w:b/>
                <w:bCs/>
                <w:color w:val="000000"/>
                <w:sz w:val="17"/>
                <w:szCs w:val="17"/>
              </w:rPr>
              <w:t>(75)</w:t>
            </w:r>
          </w:p>
        </w:tc>
        <w:tc>
          <w:tcPr>
            <w:tcW w:w="0" w:type="auto"/>
            <w:tcBorders>
              <w:top w:val="single" w:sz="8" w:space="0" w:color="E87722"/>
            </w:tcBorders>
            <w:shd w:val="clear" w:color="auto" w:fill="auto"/>
            <w:tcMar>
              <w:top w:w="40" w:type="dxa"/>
              <w:left w:w="0" w:type="dxa"/>
              <w:bottom w:w="40" w:type="dxa"/>
              <w:right w:w="20" w:type="dxa"/>
            </w:tcMar>
            <w:vAlign w:val="bottom"/>
          </w:tcPr>
          <w:p w14:paraId="669C67C2" w14:textId="77777777" w:rsidR="00066C63" w:rsidRDefault="00066C63">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69C67C3"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69C67C4" w14:textId="77777777" w:rsidR="00066C63" w:rsidRDefault="009656F6">
            <w:pPr>
              <w:jc w:val="right"/>
              <w:textAlignment w:val="bottom"/>
            </w:pPr>
            <w:r>
              <w:rPr>
                <w:rFonts w:ascii="Arial" w:eastAsia="宋体" w:hAnsi="Arial" w:cs="Arial"/>
                <w:b/>
                <w:bCs/>
                <w:color w:val="000000"/>
                <w:sz w:val="17"/>
                <w:szCs w:val="17"/>
              </w:rPr>
              <w:t>(429)</w:t>
            </w:r>
          </w:p>
        </w:tc>
        <w:tc>
          <w:tcPr>
            <w:tcW w:w="0" w:type="auto"/>
            <w:tcBorders>
              <w:top w:val="single" w:sz="8" w:space="0" w:color="E87722"/>
            </w:tcBorders>
            <w:shd w:val="clear" w:color="auto" w:fill="auto"/>
            <w:tcMar>
              <w:top w:w="40" w:type="dxa"/>
              <w:left w:w="0" w:type="dxa"/>
              <w:bottom w:w="40" w:type="dxa"/>
              <w:right w:w="20" w:type="dxa"/>
            </w:tcMar>
            <w:vAlign w:val="bottom"/>
          </w:tcPr>
          <w:p w14:paraId="669C67C5" w14:textId="77777777" w:rsidR="00066C63" w:rsidRDefault="00066C63">
            <w:pPr>
              <w:jc w:val="right"/>
              <w:rPr>
                <w:rFonts w:ascii="宋体"/>
              </w:rPr>
            </w:pPr>
          </w:p>
        </w:tc>
      </w:tr>
      <w:tr w:rsidR="00066C63" w14:paraId="669C67CD" w14:textId="77777777">
        <w:tc>
          <w:tcPr>
            <w:tcW w:w="0" w:type="auto"/>
            <w:gridSpan w:val="3"/>
            <w:tcBorders>
              <w:top w:val="single" w:sz="8" w:space="0" w:color="E87722"/>
            </w:tcBorders>
            <w:shd w:val="clear" w:color="auto" w:fill="auto"/>
            <w:tcMar>
              <w:top w:w="40" w:type="dxa"/>
              <w:left w:w="20" w:type="dxa"/>
              <w:bottom w:w="40" w:type="dxa"/>
              <w:right w:w="20" w:type="dxa"/>
            </w:tcMar>
            <w:vAlign w:val="center"/>
          </w:tcPr>
          <w:p w14:paraId="669C67C7" w14:textId="77777777" w:rsidR="00066C63" w:rsidRDefault="009656F6">
            <w:pPr>
              <w:textAlignment w:val="center"/>
            </w:pPr>
            <w:r>
              <w:rPr>
                <w:rFonts w:ascii="Arial" w:eastAsia="宋体" w:hAnsi="Arial" w:cs="Arial"/>
                <w:color w:val="000000"/>
                <w:sz w:val="17"/>
                <w:szCs w:val="17"/>
              </w:rPr>
              <w:t>Other comprehensive income (loss):</w:t>
            </w:r>
          </w:p>
        </w:tc>
        <w:tc>
          <w:tcPr>
            <w:tcW w:w="0" w:type="auto"/>
            <w:gridSpan w:val="3"/>
            <w:tcBorders>
              <w:top w:val="single" w:sz="8" w:space="0" w:color="E87722"/>
            </w:tcBorders>
            <w:shd w:val="clear" w:color="auto" w:fill="FFF1E7"/>
            <w:tcMar>
              <w:top w:w="0" w:type="dxa"/>
              <w:left w:w="20" w:type="dxa"/>
              <w:bottom w:w="0" w:type="dxa"/>
              <w:right w:w="20" w:type="dxa"/>
            </w:tcMar>
          </w:tcPr>
          <w:p w14:paraId="669C67C8" w14:textId="77777777" w:rsidR="00066C63" w:rsidRDefault="00066C63">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669C67C9" w14:textId="77777777" w:rsidR="00066C63" w:rsidRDefault="00066C63">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669C67CA" w14:textId="77777777" w:rsidR="00066C63" w:rsidRDefault="00066C63">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669C67CB" w14:textId="77777777" w:rsidR="00066C63" w:rsidRDefault="00066C63">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669C67CC" w14:textId="77777777" w:rsidR="00066C63" w:rsidRDefault="00066C63">
            <w:pPr>
              <w:rPr>
                <w:rFonts w:ascii="宋体"/>
              </w:rPr>
            </w:pPr>
          </w:p>
        </w:tc>
      </w:tr>
      <w:tr w:rsidR="00066C63" w14:paraId="669C67D9" w14:textId="77777777">
        <w:tc>
          <w:tcPr>
            <w:tcW w:w="0" w:type="auto"/>
            <w:gridSpan w:val="3"/>
            <w:tcBorders>
              <w:top w:val="single" w:sz="8" w:space="0" w:color="808080"/>
            </w:tcBorders>
            <w:shd w:val="clear" w:color="auto" w:fill="auto"/>
            <w:tcMar>
              <w:top w:w="40" w:type="dxa"/>
              <w:left w:w="20" w:type="dxa"/>
              <w:bottom w:w="40" w:type="dxa"/>
              <w:right w:w="20" w:type="dxa"/>
            </w:tcMar>
            <w:vAlign w:val="center"/>
          </w:tcPr>
          <w:p w14:paraId="669C67CE" w14:textId="77777777" w:rsidR="00066C63" w:rsidRDefault="009656F6">
            <w:pPr>
              <w:textAlignment w:val="center"/>
            </w:pPr>
            <w:r>
              <w:rPr>
                <w:rFonts w:ascii="Arial" w:eastAsia="宋体" w:hAnsi="Arial" w:cs="Arial"/>
                <w:color w:val="000000"/>
                <w:sz w:val="17"/>
                <w:szCs w:val="17"/>
              </w:rPr>
              <w:t>Other comprehensive gains (losses) before reclassifications</w:t>
            </w:r>
            <w:r>
              <w:rPr>
                <w:rFonts w:ascii="Arial" w:eastAsia="宋体" w:hAnsi="Arial" w:cs="Arial"/>
                <w:color w:val="000000"/>
                <w:sz w:val="11"/>
                <w:szCs w:val="11"/>
              </w:rPr>
              <w:t>(2)</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7CF" w14:textId="77777777" w:rsidR="00066C63" w:rsidRDefault="009656F6">
            <w:pPr>
              <w:jc w:val="right"/>
              <w:textAlignment w:val="bottom"/>
            </w:pPr>
            <w:r>
              <w:rPr>
                <w:rFonts w:ascii="Arial" w:eastAsia="宋体" w:hAnsi="Arial" w:cs="Arial"/>
                <w:color w:val="000000"/>
                <w:sz w:val="17"/>
                <w:szCs w:val="17"/>
              </w:rPr>
              <w:t>99 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7D0" w14:textId="77777777" w:rsidR="00066C63" w:rsidRDefault="00066C63">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7D1" w14:textId="77777777" w:rsidR="00066C63" w:rsidRDefault="009656F6">
            <w:pPr>
              <w:jc w:val="right"/>
              <w:textAlignment w:val="bottom"/>
            </w:pPr>
            <w:r>
              <w:rPr>
                <w:rFonts w:ascii="Arial" w:eastAsia="宋体" w:hAnsi="Arial" w:cs="Arial"/>
                <w:color w:val="000000"/>
                <w:sz w:val="17"/>
                <w:szCs w:val="17"/>
              </w:rPr>
              <w:t>(163)</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7D2" w14:textId="77777777" w:rsidR="00066C63" w:rsidRDefault="00066C63">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7D3" w14:textId="77777777" w:rsidR="00066C63" w:rsidRDefault="009656F6">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7D4" w14:textId="77777777" w:rsidR="00066C63" w:rsidRDefault="00066C63">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7D5" w14:textId="77777777" w:rsidR="00066C63" w:rsidRDefault="009656F6">
            <w:pPr>
              <w:jc w:val="right"/>
              <w:textAlignment w:val="bottom"/>
            </w:pPr>
            <w:r>
              <w:rPr>
                <w:rFonts w:ascii="Arial" w:eastAsia="宋体" w:hAnsi="Arial" w:cs="Arial"/>
                <w:color w:val="000000"/>
                <w:sz w:val="17"/>
                <w:szCs w:val="17"/>
              </w:rPr>
              <w:t>(6)</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7D6" w14:textId="77777777" w:rsidR="00066C63" w:rsidRDefault="00066C63">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7D7" w14:textId="77777777" w:rsidR="00066C63" w:rsidRDefault="009656F6">
            <w:pPr>
              <w:jc w:val="right"/>
              <w:textAlignment w:val="bottom"/>
            </w:pPr>
            <w:r>
              <w:rPr>
                <w:rFonts w:ascii="Arial" w:eastAsia="宋体" w:hAnsi="Arial" w:cs="Arial"/>
                <w:color w:val="000000"/>
                <w:sz w:val="17"/>
                <w:szCs w:val="17"/>
              </w:rPr>
              <w:t>(70)</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7D8" w14:textId="77777777" w:rsidR="00066C63" w:rsidRDefault="00066C63">
            <w:pPr>
              <w:jc w:val="right"/>
              <w:rPr>
                <w:rFonts w:ascii="宋体"/>
              </w:rPr>
            </w:pPr>
          </w:p>
        </w:tc>
      </w:tr>
      <w:tr w:rsidR="00066C63" w14:paraId="669C67E5" w14:textId="77777777">
        <w:tc>
          <w:tcPr>
            <w:tcW w:w="0" w:type="auto"/>
            <w:gridSpan w:val="3"/>
            <w:tcBorders>
              <w:top w:val="single" w:sz="8" w:space="0" w:color="808080"/>
            </w:tcBorders>
            <w:shd w:val="clear" w:color="auto" w:fill="auto"/>
            <w:tcMar>
              <w:top w:w="40" w:type="dxa"/>
              <w:left w:w="20" w:type="dxa"/>
              <w:bottom w:w="40" w:type="dxa"/>
              <w:right w:w="20" w:type="dxa"/>
            </w:tcMar>
            <w:vAlign w:val="center"/>
          </w:tcPr>
          <w:p w14:paraId="669C67DA" w14:textId="77777777" w:rsidR="00066C63" w:rsidRDefault="009656F6">
            <w:pPr>
              <w:textAlignment w:val="center"/>
            </w:pPr>
            <w:r>
              <w:rPr>
                <w:rFonts w:ascii="Arial" w:eastAsia="宋体" w:hAnsi="Arial" w:cs="Arial"/>
                <w:color w:val="000000"/>
                <w:sz w:val="17"/>
                <w:szCs w:val="17"/>
              </w:rPr>
              <w:t>Reclassifications to net income of previously deferred (gains) losses</w:t>
            </w:r>
            <w:r>
              <w:rPr>
                <w:rFonts w:ascii="Arial" w:eastAsia="宋体" w:hAnsi="Arial" w:cs="Arial"/>
                <w:color w:val="000000"/>
                <w:sz w:val="11"/>
                <w:szCs w:val="11"/>
              </w:rPr>
              <w:t>(3)</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7DB" w14:textId="77777777" w:rsidR="00066C63" w:rsidRDefault="009656F6">
            <w:pPr>
              <w:jc w:val="right"/>
              <w:textAlignment w:val="bottom"/>
            </w:pPr>
            <w:r>
              <w:rPr>
                <w:rFonts w:ascii="Arial" w:eastAsia="宋体" w:hAnsi="Arial" w:cs="Arial"/>
                <w:color w:val="000000"/>
                <w:sz w:val="17"/>
                <w:szCs w:val="17"/>
              </w:rPr>
              <w:t>(1)</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7DC" w14:textId="77777777" w:rsidR="00066C63" w:rsidRDefault="00066C63">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7DD" w14:textId="77777777" w:rsidR="00066C63" w:rsidRDefault="009656F6">
            <w:pPr>
              <w:jc w:val="right"/>
              <w:textAlignment w:val="bottom"/>
            </w:pPr>
            <w:r>
              <w:rPr>
                <w:rFonts w:ascii="Arial" w:eastAsia="宋体" w:hAnsi="Arial" w:cs="Arial"/>
                <w:color w:val="000000"/>
                <w:sz w:val="17"/>
                <w:szCs w:val="17"/>
              </w:rPr>
              <w:t>46 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7DE" w14:textId="77777777" w:rsidR="00066C63" w:rsidRDefault="00066C63">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7DF" w14:textId="77777777" w:rsidR="00066C63" w:rsidRDefault="009656F6">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7E0" w14:textId="77777777" w:rsidR="00066C63" w:rsidRDefault="00066C63">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7E1" w14:textId="77777777" w:rsidR="00066C63" w:rsidRDefault="009656F6">
            <w:pPr>
              <w:jc w:val="right"/>
              <w:textAlignment w:val="bottom"/>
            </w:pPr>
            <w:r>
              <w:rPr>
                <w:rFonts w:ascii="Arial" w:eastAsia="宋体" w:hAnsi="Arial" w:cs="Arial"/>
                <w:color w:val="000000"/>
                <w:sz w:val="17"/>
                <w:szCs w:val="17"/>
              </w:rPr>
              <w:t>8 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7E2" w14:textId="77777777" w:rsidR="00066C63" w:rsidRDefault="00066C63">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7E3" w14:textId="77777777" w:rsidR="00066C63" w:rsidRDefault="009656F6">
            <w:pPr>
              <w:jc w:val="right"/>
              <w:textAlignment w:val="bottom"/>
            </w:pPr>
            <w:r>
              <w:rPr>
                <w:rFonts w:ascii="Arial" w:eastAsia="宋体" w:hAnsi="Arial" w:cs="Arial"/>
                <w:color w:val="000000"/>
                <w:sz w:val="17"/>
                <w:szCs w:val="17"/>
              </w:rPr>
              <w:t>53 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7E4" w14:textId="77777777" w:rsidR="00066C63" w:rsidRDefault="00066C63">
            <w:pPr>
              <w:jc w:val="right"/>
              <w:rPr>
                <w:rFonts w:ascii="宋体"/>
              </w:rPr>
            </w:pPr>
          </w:p>
        </w:tc>
      </w:tr>
      <w:tr w:rsidR="00066C63" w14:paraId="669C67F1"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7E6" w14:textId="77777777" w:rsidR="00066C63" w:rsidRDefault="009656F6">
            <w:pPr>
              <w:textAlignment w:val="bottom"/>
            </w:pPr>
            <w:r>
              <w:rPr>
                <w:rFonts w:ascii="Arial" w:eastAsia="宋体" w:hAnsi="Arial" w:cs="Arial"/>
                <w:color w:val="000000"/>
                <w:sz w:val="17"/>
                <w:szCs w:val="17"/>
              </w:rPr>
              <w:t>Total other comprehensive income (loss)</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669C67E7" w14:textId="77777777" w:rsidR="00066C63" w:rsidRDefault="009656F6">
            <w:pPr>
              <w:jc w:val="right"/>
              <w:textAlignment w:val="bottom"/>
            </w:pPr>
            <w:r>
              <w:rPr>
                <w:rFonts w:ascii="Arial" w:eastAsia="宋体" w:hAnsi="Arial" w:cs="Arial"/>
                <w:color w:val="000000"/>
                <w:sz w:val="17"/>
                <w:szCs w:val="17"/>
              </w:rPr>
              <w:t>98 </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67E8" w14:textId="77777777" w:rsidR="00066C63" w:rsidRDefault="00066C63">
            <w:pPr>
              <w:jc w:val="right"/>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669C67E9" w14:textId="77777777" w:rsidR="00066C63" w:rsidRDefault="009656F6">
            <w:pPr>
              <w:jc w:val="right"/>
              <w:textAlignment w:val="bottom"/>
            </w:pPr>
            <w:r>
              <w:rPr>
                <w:rFonts w:ascii="Arial" w:eastAsia="宋体" w:hAnsi="Arial" w:cs="Arial"/>
                <w:color w:val="000000"/>
                <w:sz w:val="17"/>
                <w:szCs w:val="17"/>
              </w:rPr>
              <w:t>(117)</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67EA" w14:textId="77777777" w:rsidR="00066C63" w:rsidRDefault="00066C63">
            <w:pPr>
              <w:jc w:val="right"/>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669C67EB" w14:textId="77777777" w:rsidR="00066C63" w:rsidRDefault="009656F6">
            <w:pPr>
              <w:jc w:val="right"/>
              <w:textAlignment w:val="bottom"/>
            </w:pP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67EC" w14:textId="77777777" w:rsidR="00066C63" w:rsidRDefault="00066C63">
            <w:pPr>
              <w:jc w:val="right"/>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669C67ED" w14:textId="77777777" w:rsidR="00066C63" w:rsidRDefault="009656F6">
            <w:pPr>
              <w:jc w:val="right"/>
              <w:textAlignment w:val="bottom"/>
            </w:pPr>
            <w:r>
              <w:rPr>
                <w:rFonts w:ascii="Arial" w:eastAsia="宋体" w:hAnsi="Arial" w:cs="Arial"/>
                <w:color w:val="000000"/>
                <w:sz w:val="17"/>
                <w:szCs w:val="17"/>
              </w:rPr>
              <w:t>2 </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67EE" w14:textId="77777777" w:rsidR="00066C63" w:rsidRDefault="00066C63">
            <w:pPr>
              <w:jc w:val="right"/>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669C67EF" w14:textId="77777777" w:rsidR="00066C63" w:rsidRDefault="009656F6">
            <w:pPr>
              <w:jc w:val="right"/>
              <w:textAlignment w:val="bottom"/>
            </w:pPr>
            <w:r>
              <w:rPr>
                <w:rFonts w:ascii="Arial" w:eastAsia="宋体" w:hAnsi="Arial" w:cs="Arial"/>
                <w:color w:val="000000"/>
                <w:sz w:val="17"/>
                <w:szCs w:val="17"/>
              </w:rPr>
              <w:t>(17)</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67F0" w14:textId="77777777" w:rsidR="00066C63" w:rsidRDefault="00066C63">
            <w:pPr>
              <w:jc w:val="right"/>
              <w:rPr>
                <w:rFonts w:ascii="宋体"/>
              </w:rPr>
            </w:pPr>
          </w:p>
        </w:tc>
      </w:tr>
      <w:tr w:rsidR="00066C63" w14:paraId="669C6802"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669C67F2" w14:textId="77777777" w:rsidR="00066C63" w:rsidRDefault="009656F6">
            <w:pPr>
              <w:textAlignment w:val="bottom"/>
            </w:pPr>
            <w:r>
              <w:rPr>
                <w:rFonts w:ascii="Arial" w:eastAsia="宋体" w:hAnsi="Arial" w:cs="Arial"/>
                <w:b/>
                <w:bCs/>
                <w:color w:val="000000"/>
                <w:sz w:val="17"/>
                <w:szCs w:val="17"/>
              </w:rPr>
              <w:t>Balance at February 28, 2021</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69C67F3"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669C67F4" w14:textId="77777777" w:rsidR="00066C63" w:rsidRDefault="009656F6">
            <w:pPr>
              <w:jc w:val="right"/>
              <w:textAlignment w:val="bottom"/>
            </w:pPr>
            <w:r>
              <w:rPr>
                <w:rFonts w:ascii="Arial" w:eastAsia="宋体" w:hAnsi="Arial" w:cs="Arial"/>
                <w:b/>
                <w:bCs/>
                <w:color w:val="000000"/>
                <w:sz w:val="17"/>
                <w:szCs w:val="17"/>
              </w:rPr>
              <w:t>—</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69C67F5" w14:textId="77777777" w:rsidR="00066C63" w:rsidRDefault="00066C63">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69C67F6"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669C67F7" w14:textId="77777777" w:rsidR="00066C63" w:rsidRDefault="009656F6">
            <w:pPr>
              <w:jc w:val="right"/>
              <w:textAlignment w:val="bottom"/>
            </w:pPr>
            <w:r>
              <w:rPr>
                <w:rFonts w:ascii="Arial" w:eastAsia="宋体" w:hAnsi="Arial" w:cs="Arial"/>
                <w:b/>
                <w:bCs/>
                <w:color w:val="000000"/>
                <w:sz w:val="17"/>
                <w:szCs w:val="17"/>
              </w:rPr>
              <w:t>(488)</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69C67F8" w14:textId="77777777" w:rsidR="00066C63" w:rsidRDefault="00066C63">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69C67F9"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669C67FA" w14:textId="77777777" w:rsidR="00066C63" w:rsidRDefault="009656F6">
            <w:pPr>
              <w:jc w:val="right"/>
              <w:textAlignment w:val="bottom"/>
            </w:pPr>
            <w:r>
              <w:rPr>
                <w:rFonts w:ascii="Arial" w:eastAsia="宋体" w:hAnsi="Arial" w:cs="Arial"/>
                <w:b/>
                <w:bCs/>
                <w:color w:val="000000"/>
                <w:sz w:val="17"/>
                <w:szCs w:val="17"/>
              </w:rPr>
              <w:t>115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69C67FB" w14:textId="77777777" w:rsidR="00066C63" w:rsidRDefault="00066C63">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69C67FC"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669C67FD" w14:textId="77777777" w:rsidR="00066C63" w:rsidRDefault="009656F6">
            <w:pPr>
              <w:jc w:val="right"/>
              <w:textAlignment w:val="bottom"/>
            </w:pPr>
            <w:r>
              <w:rPr>
                <w:rFonts w:ascii="Arial" w:eastAsia="宋体" w:hAnsi="Arial" w:cs="Arial"/>
                <w:b/>
                <w:bCs/>
                <w:color w:val="000000"/>
                <w:sz w:val="17"/>
                <w:szCs w:val="17"/>
              </w:rPr>
              <w:t>(73)</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69C67FE" w14:textId="77777777" w:rsidR="00066C63" w:rsidRDefault="00066C63">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69C67FF"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669C6800" w14:textId="77777777" w:rsidR="00066C63" w:rsidRDefault="009656F6">
            <w:pPr>
              <w:jc w:val="right"/>
              <w:textAlignment w:val="bottom"/>
            </w:pPr>
            <w:r>
              <w:rPr>
                <w:rFonts w:ascii="Arial" w:eastAsia="宋体" w:hAnsi="Arial" w:cs="Arial"/>
                <w:b/>
                <w:bCs/>
                <w:color w:val="000000"/>
                <w:sz w:val="17"/>
                <w:szCs w:val="17"/>
              </w:rPr>
              <w:t>(446)</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69C6801" w14:textId="77777777" w:rsidR="00066C63" w:rsidRDefault="00066C63">
            <w:pPr>
              <w:jc w:val="right"/>
              <w:rPr>
                <w:rFonts w:ascii="宋体"/>
              </w:rPr>
            </w:pPr>
          </w:p>
        </w:tc>
      </w:tr>
    </w:tbl>
    <w:p w14:paraId="669C6803" w14:textId="77777777" w:rsidR="00066C63" w:rsidRDefault="009656F6">
      <w:pPr>
        <w:spacing w:before="60" w:after="60"/>
        <w:ind w:hanging="360"/>
      </w:pPr>
      <w:r>
        <w:rPr>
          <w:rFonts w:ascii="Arial" w:eastAsia="宋体" w:hAnsi="Arial" w:cs="Arial"/>
          <w:i/>
          <w:iCs/>
          <w:color w:val="000000"/>
          <w:sz w:val="14"/>
          <w:szCs w:val="14"/>
        </w:rPr>
        <w:t>(1)The accumulated foreign currency translation adjustment and</w:t>
      </w:r>
      <w:r>
        <w:rPr>
          <w:rFonts w:ascii="Arial" w:eastAsia="宋体" w:hAnsi="Arial" w:cs="Arial"/>
          <w:i/>
          <w:iCs/>
          <w:color w:val="000000"/>
          <w:sz w:val="14"/>
          <w:szCs w:val="14"/>
        </w:rPr>
        <w:t xml:space="preserve"> net investment hedge gains/losses related to an investment in a foreign subsidiary are reclassified to Net income upon sale or upon complete or substantially complete liquidation of the respective entity.</w:t>
      </w:r>
    </w:p>
    <w:p w14:paraId="669C6804" w14:textId="77777777" w:rsidR="00066C63" w:rsidRDefault="009656F6">
      <w:pPr>
        <w:spacing w:before="60" w:after="60"/>
        <w:ind w:hanging="360"/>
      </w:pPr>
      <w:r>
        <w:rPr>
          <w:rFonts w:ascii="Arial" w:eastAsia="宋体" w:hAnsi="Arial" w:cs="Arial"/>
          <w:i/>
          <w:iCs/>
          <w:color w:val="000000"/>
          <w:sz w:val="14"/>
          <w:szCs w:val="14"/>
        </w:rPr>
        <w:t xml:space="preserve">(2)Net of tax benefit (expense) of $0 </w:t>
      </w:r>
      <w:r>
        <w:rPr>
          <w:rFonts w:ascii="Arial" w:eastAsia="宋体" w:hAnsi="Arial" w:cs="Arial"/>
          <w:i/>
          <w:iCs/>
          <w:color w:val="000000"/>
          <w:sz w:val="14"/>
          <w:szCs w:val="14"/>
        </w:rPr>
        <w:t>million, $(3) million, $0 million, $1 million, and $(2) million, respectively.</w:t>
      </w:r>
    </w:p>
    <w:p w14:paraId="669C6805" w14:textId="77777777" w:rsidR="00066C63" w:rsidRDefault="009656F6">
      <w:pPr>
        <w:spacing w:before="60" w:after="60"/>
        <w:ind w:hanging="360"/>
      </w:pPr>
      <w:r>
        <w:rPr>
          <w:rFonts w:ascii="Arial" w:eastAsia="宋体" w:hAnsi="Arial" w:cs="Arial"/>
          <w:i/>
          <w:iCs/>
          <w:color w:val="000000"/>
          <w:sz w:val="14"/>
          <w:szCs w:val="14"/>
        </w:rPr>
        <w:t>(3)Net of tax (benefit) expense of $0 million, $0 million, $0 million, $0 million and $0 million, respectively.</w:t>
      </w:r>
    </w:p>
    <w:tbl>
      <w:tblPr>
        <w:tblW w:w="4872" w:type="pct"/>
        <w:tblCellMar>
          <w:top w:w="15" w:type="dxa"/>
          <w:left w:w="15" w:type="dxa"/>
          <w:bottom w:w="15" w:type="dxa"/>
          <w:right w:w="15" w:type="dxa"/>
        </w:tblCellMar>
        <w:tblLook w:val="04A0" w:firstRow="1" w:lastRow="0" w:firstColumn="1" w:lastColumn="0" w:noHBand="0" w:noVBand="1"/>
      </w:tblPr>
      <w:tblGrid>
        <w:gridCol w:w="40"/>
        <w:gridCol w:w="3485"/>
        <w:gridCol w:w="39"/>
        <w:gridCol w:w="116"/>
        <w:gridCol w:w="1032"/>
        <w:gridCol w:w="36"/>
        <w:gridCol w:w="116"/>
        <w:gridCol w:w="632"/>
        <w:gridCol w:w="36"/>
        <w:gridCol w:w="116"/>
        <w:gridCol w:w="869"/>
        <w:gridCol w:w="36"/>
        <w:gridCol w:w="116"/>
        <w:gridCol w:w="633"/>
        <w:gridCol w:w="36"/>
        <w:gridCol w:w="116"/>
        <w:gridCol w:w="633"/>
        <w:gridCol w:w="36"/>
      </w:tblGrid>
      <w:tr w:rsidR="00066C63" w14:paraId="669C6818" w14:textId="77777777">
        <w:tc>
          <w:tcPr>
            <w:tcW w:w="50" w:type="pct"/>
            <w:shd w:val="clear" w:color="auto" w:fill="auto"/>
          </w:tcPr>
          <w:p w14:paraId="669C6806" w14:textId="77777777" w:rsidR="00066C63" w:rsidRDefault="00066C63">
            <w:pPr>
              <w:rPr>
                <w:rFonts w:ascii="宋体"/>
              </w:rPr>
            </w:pPr>
          </w:p>
        </w:tc>
        <w:tc>
          <w:tcPr>
            <w:tcW w:w="2263" w:type="pct"/>
            <w:shd w:val="clear" w:color="auto" w:fill="auto"/>
          </w:tcPr>
          <w:p w14:paraId="669C6807" w14:textId="77777777" w:rsidR="00066C63" w:rsidRDefault="00066C63">
            <w:pPr>
              <w:rPr>
                <w:rFonts w:ascii="宋体"/>
              </w:rPr>
            </w:pPr>
          </w:p>
        </w:tc>
        <w:tc>
          <w:tcPr>
            <w:tcW w:w="5" w:type="pct"/>
            <w:shd w:val="clear" w:color="auto" w:fill="auto"/>
          </w:tcPr>
          <w:p w14:paraId="669C6808" w14:textId="77777777" w:rsidR="00066C63" w:rsidRDefault="00066C63">
            <w:pPr>
              <w:rPr>
                <w:rFonts w:ascii="宋体"/>
              </w:rPr>
            </w:pPr>
          </w:p>
        </w:tc>
        <w:tc>
          <w:tcPr>
            <w:tcW w:w="50" w:type="pct"/>
            <w:shd w:val="clear" w:color="auto" w:fill="auto"/>
          </w:tcPr>
          <w:p w14:paraId="669C6809" w14:textId="77777777" w:rsidR="00066C63" w:rsidRDefault="00066C63">
            <w:pPr>
              <w:rPr>
                <w:rFonts w:ascii="宋体"/>
              </w:rPr>
            </w:pPr>
          </w:p>
        </w:tc>
        <w:tc>
          <w:tcPr>
            <w:tcW w:w="561" w:type="pct"/>
            <w:shd w:val="clear" w:color="auto" w:fill="auto"/>
          </w:tcPr>
          <w:p w14:paraId="669C680A" w14:textId="77777777" w:rsidR="00066C63" w:rsidRDefault="00066C63">
            <w:pPr>
              <w:rPr>
                <w:rFonts w:ascii="宋体"/>
              </w:rPr>
            </w:pPr>
          </w:p>
        </w:tc>
        <w:tc>
          <w:tcPr>
            <w:tcW w:w="5" w:type="pct"/>
            <w:shd w:val="clear" w:color="auto" w:fill="auto"/>
          </w:tcPr>
          <w:p w14:paraId="669C680B" w14:textId="77777777" w:rsidR="00066C63" w:rsidRDefault="00066C63">
            <w:pPr>
              <w:rPr>
                <w:rFonts w:ascii="宋体"/>
              </w:rPr>
            </w:pPr>
          </w:p>
        </w:tc>
        <w:tc>
          <w:tcPr>
            <w:tcW w:w="50" w:type="pct"/>
            <w:shd w:val="clear" w:color="auto" w:fill="auto"/>
          </w:tcPr>
          <w:p w14:paraId="669C680C" w14:textId="77777777" w:rsidR="00066C63" w:rsidRDefault="00066C63">
            <w:pPr>
              <w:rPr>
                <w:rFonts w:ascii="宋体"/>
              </w:rPr>
            </w:pPr>
          </w:p>
        </w:tc>
        <w:tc>
          <w:tcPr>
            <w:tcW w:w="461" w:type="pct"/>
            <w:shd w:val="clear" w:color="auto" w:fill="auto"/>
          </w:tcPr>
          <w:p w14:paraId="669C680D" w14:textId="77777777" w:rsidR="00066C63" w:rsidRDefault="00066C63">
            <w:pPr>
              <w:rPr>
                <w:rFonts w:ascii="宋体"/>
              </w:rPr>
            </w:pPr>
          </w:p>
        </w:tc>
        <w:tc>
          <w:tcPr>
            <w:tcW w:w="5" w:type="pct"/>
            <w:shd w:val="clear" w:color="auto" w:fill="auto"/>
          </w:tcPr>
          <w:p w14:paraId="669C680E" w14:textId="77777777" w:rsidR="00066C63" w:rsidRDefault="00066C63">
            <w:pPr>
              <w:rPr>
                <w:rFonts w:ascii="宋体"/>
              </w:rPr>
            </w:pPr>
          </w:p>
        </w:tc>
        <w:tc>
          <w:tcPr>
            <w:tcW w:w="50" w:type="pct"/>
            <w:shd w:val="clear" w:color="auto" w:fill="auto"/>
          </w:tcPr>
          <w:p w14:paraId="669C680F" w14:textId="77777777" w:rsidR="00066C63" w:rsidRDefault="00066C63">
            <w:pPr>
              <w:rPr>
                <w:rFonts w:ascii="宋体"/>
              </w:rPr>
            </w:pPr>
          </w:p>
        </w:tc>
        <w:tc>
          <w:tcPr>
            <w:tcW w:w="461" w:type="pct"/>
            <w:shd w:val="clear" w:color="auto" w:fill="auto"/>
          </w:tcPr>
          <w:p w14:paraId="669C6810" w14:textId="77777777" w:rsidR="00066C63" w:rsidRDefault="00066C63">
            <w:pPr>
              <w:rPr>
                <w:rFonts w:ascii="宋体"/>
              </w:rPr>
            </w:pPr>
          </w:p>
        </w:tc>
        <w:tc>
          <w:tcPr>
            <w:tcW w:w="5" w:type="pct"/>
            <w:shd w:val="clear" w:color="auto" w:fill="auto"/>
          </w:tcPr>
          <w:p w14:paraId="669C6811" w14:textId="77777777" w:rsidR="00066C63" w:rsidRDefault="00066C63">
            <w:pPr>
              <w:rPr>
                <w:rFonts w:ascii="宋体"/>
              </w:rPr>
            </w:pPr>
          </w:p>
        </w:tc>
        <w:tc>
          <w:tcPr>
            <w:tcW w:w="50" w:type="pct"/>
            <w:shd w:val="clear" w:color="auto" w:fill="auto"/>
          </w:tcPr>
          <w:p w14:paraId="669C6812" w14:textId="77777777" w:rsidR="00066C63" w:rsidRDefault="00066C63">
            <w:pPr>
              <w:rPr>
                <w:rFonts w:ascii="宋体"/>
              </w:rPr>
            </w:pPr>
          </w:p>
        </w:tc>
        <w:tc>
          <w:tcPr>
            <w:tcW w:w="461" w:type="pct"/>
            <w:shd w:val="clear" w:color="auto" w:fill="auto"/>
          </w:tcPr>
          <w:p w14:paraId="669C6813" w14:textId="77777777" w:rsidR="00066C63" w:rsidRDefault="00066C63">
            <w:pPr>
              <w:rPr>
                <w:rFonts w:ascii="宋体"/>
              </w:rPr>
            </w:pPr>
          </w:p>
        </w:tc>
        <w:tc>
          <w:tcPr>
            <w:tcW w:w="5" w:type="pct"/>
            <w:shd w:val="clear" w:color="auto" w:fill="auto"/>
          </w:tcPr>
          <w:p w14:paraId="669C6814" w14:textId="77777777" w:rsidR="00066C63" w:rsidRDefault="00066C63">
            <w:pPr>
              <w:rPr>
                <w:rFonts w:ascii="宋体"/>
              </w:rPr>
            </w:pPr>
          </w:p>
        </w:tc>
        <w:tc>
          <w:tcPr>
            <w:tcW w:w="50" w:type="pct"/>
            <w:shd w:val="clear" w:color="auto" w:fill="auto"/>
          </w:tcPr>
          <w:p w14:paraId="669C6815" w14:textId="77777777" w:rsidR="00066C63" w:rsidRDefault="00066C63">
            <w:pPr>
              <w:rPr>
                <w:rFonts w:ascii="宋体"/>
              </w:rPr>
            </w:pPr>
          </w:p>
        </w:tc>
        <w:tc>
          <w:tcPr>
            <w:tcW w:w="461" w:type="pct"/>
            <w:shd w:val="clear" w:color="auto" w:fill="auto"/>
          </w:tcPr>
          <w:p w14:paraId="669C6816" w14:textId="77777777" w:rsidR="00066C63" w:rsidRDefault="00066C63">
            <w:pPr>
              <w:rPr>
                <w:rFonts w:ascii="宋体"/>
              </w:rPr>
            </w:pPr>
          </w:p>
        </w:tc>
        <w:tc>
          <w:tcPr>
            <w:tcW w:w="5" w:type="pct"/>
            <w:shd w:val="clear" w:color="auto" w:fill="auto"/>
          </w:tcPr>
          <w:p w14:paraId="669C6817" w14:textId="77777777" w:rsidR="00066C63" w:rsidRDefault="00066C63">
            <w:pPr>
              <w:rPr>
                <w:rFonts w:ascii="宋体"/>
              </w:rPr>
            </w:pPr>
          </w:p>
        </w:tc>
      </w:tr>
      <w:tr w:rsidR="00066C63" w14:paraId="669C681F" w14:textId="77777777">
        <w:tc>
          <w:tcPr>
            <w:tcW w:w="0" w:type="auto"/>
            <w:gridSpan w:val="3"/>
            <w:shd w:val="clear" w:color="auto" w:fill="auto"/>
            <w:tcMar>
              <w:top w:w="40" w:type="dxa"/>
              <w:left w:w="20" w:type="dxa"/>
              <w:bottom w:w="40" w:type="dxa"/>
              <w:right w:w="20" w:type="dxa"/>
            </w:tcMar>
            <w:vAlign w:val="bottom"/>
          </w:tcPr>
          <w:p w14:paraId="669C6819" w14:textId="77777777" w:rsidR="00066C63" w:rsidRDefault="009656F6">
            <w:pPr>
              <w:textAlignment w:val="bottom"/>
            </w:pPr>
            <w:r>
              <w:rPr>
                <w:rFonts w:ascii="Arial Narrow" w:eastAsia="Arial Narrow" w:hAnsi="Arial Narrow" w:cs="Arial Narrow"/>
                <w:i/>
                <w:iCs/>
                <w:color w:val="000000"/>
                <w:sz w:val="17"/>
                <w:szCs w:val="17"/>
              </w:rPr>
              <w:t>(Dollars in millions)</w:t>
            </w:r>
          </w:p>
        </w:tc>
        <w:tc>
          <w:tcPr>
            <w:tcW w:w="0" w:type="auto"/>
            <w:gridSpan w:val="3"/>
            <w:shd w:val="clear" w:color="auto" w:fill="auto"/>
            <w:tcMar>
              <w:top w:w="40" w:type="dxa"/>
              <w:left w:w="20" w:type="dxa"/>
              <w:bottom w:w="40" w:type="dxa"/>
              <w:right w:w="20" w:type="dxa"/>
            </w:tcMar>
            <w:vAlign w:val="bottom"/>
          </w:tcPr>
          <w:p w14:paraId="669C681A" w14:textId="77777777" w:rsidR="00066C63" w:rsidRDefault="009656F6">
            <w:pPr>
              <w:jc w:val="right"/>
              <w:textAlignment w:val="bottom"/>
            </w:pPr>
            <w:r>
              <w:rPr>
                <w:rFonts w:ascii="sans-serif" w:eastAsia="sans-serif" w:hAnsi="sans-serif" w:cs="sans-serif"/>
                <w:b/>
                <w:bCs/>
                <w:color w:val="000000"/>
                <w:sz w:val="17"/>
                <w:szCs w:val="17"/>
              </w:rPr>
              <w:t>FOREIGN CURRENCY TRANSLATION ADJUST</w:t>
            </w:r>
            <w:r>
              <w:rPr>
                <w:rFonts w:ascii="sans-serif" w:eastAsia="sans-serif" w:hAnsi="sans-serif" w:cs="sans-serif"/>
                <w:b/>
                <w:bCs/>
                <w:color w:val="000000"/>
                <w:sz w:val="17"/>
                <w:szCs w:val="17"/>
              </w:rPr>
              <w:t>MENT</w:t>
            </w:r>
            <w:r>
              <w:rPr>
                <w:rFonts w:ascii="sans-serif" w:eastAsia="sans-serif" w:hAnsi="sans-serif" w:cs="sans-serif"/>
                <w:b/>
                <w:bCs/>
                <w:color w:val="000000"/>
                <w:sz w:val="11"/>
                <w:szCs w:val="11"/>
              </w:rPr>
              <w:t>(1)</w:t>
            </w:r>
          </w:p>
        </w:tc>
        <w:tc>
          <w:tcPr>
            <w:tcW w:w="0" w:type="auto"/>
            <w:gridSpan w:val="3"/>
            <w:shd w:val="clear" w:color="auto" w:fill="auto"/>
            <w:tcMar>
              <w:top w:w="40" w:type="dxa"/>
              <w:left w:w="20" w:type="dxa"/>
              <w:bottom w:w="40" w:type="dxa"/>
              <w:right w:w="20" w:type="dxa"/>
            </w:tcMar>
            <w:vAlign w:val="bottom"/>
          </w:tcPr>
          <w:p w14:paraId="669C681B" w14:textId="77777777" w:rsidR="00066C63" w:rsidRDefault="009656F6">
            <w:pPr>
              <w:jc w:val="right"/>
              <w:textAlignment w:val="bottom"/>
            </w:pPr>
            <w:r>
              <w:rPr>
                <w:rFonts w:ascii="sans-serif" w:eastAsia="sans-serif" w:hAnsi="sans-serif" w:cs="sans-serif"/>
                <w:b/>
                <w:bCs/>
                <w:color w:val="000000"/>
                <w:sz w:val="17"/>
                <w:szCs w:val="17"/>
              </w:rPr>
              <w:t>CASH FLOW HEDGES</w:t>
            </w:r>
          </w:p>
        </w:tc>
        <w:tc>
          <w:tcPr>
            <w:tcW w:w="0" w:type="auto"/>
            <w:gridSpan w:val="3"/>
            <w:shd w:val="clear" w:color="auto" w:fill="auto"/>
            <w:tcMar>
              <w:top w:w="40" w:type="dxa"/>
              <w:left w:w="20" w:type="dxa"/>
              <w:bottom w:w="40" w:type="dxa"/>
              <w:right w:w="20" w:type="dxa"/>
            </w:tcMar>
            <w:vAlign w:val="bottom"/>
          </w:tcPr>
          <w:p w14:paraId="669C681C" w14:textId="77777777" w:rsidR="00066C63" w:rsidRDefault="009656F6">
            <w:pPr>
              <w:jc w:val="right"/>
              <w:textAlignment w:val="bottom"/>
            </w:pPr>
            <w:r>
              <w:rPr>
                <w:rFonts w:ascii="sans-serif" w:eastAsia="sans-serif" w:hAnsi="sans-serif" w:cs="sans-serif"/>
                <w:b/>
                <w:bCs/>
                <w:color w:val="000000"/>
                <w:sz w:val="17"/>
                <w:szCs w:val="17"/>
              </w:rPr>
              <w:t>NET INVESTMENT HEDGES</w:t>
            </w:r>
            <w:r>
              <w:rPr>
                <w:rFonts w:ascii="sans-serif" w:eastAsia="sans-serif" w:hAnsi="sans-serif" w:cs="sans-serif"/>
                <w:b/>
                <w:bCs/>
                <w:color w:val="000000"/>
                <w:sz w:val="11"/>
                <w:szCs w:val="11"/>
              </w:rPr>
              <w:t>(1)</w:t>
            </w:r>
          </w:p>
        </w:tc>
        <w:tc>
          <w:tcPr>
            <w:tcW w:w="0" w:type="auto"/>
            <w:gridSpan w:val="3"/>
            <w:shd w:val="clear" w:color="auto" w:fill="auto"/>
            <w:tcMar>
              <w:top w:w="40" w:type="dxa"/>
              <w:left w:w="20" w:type="dxa"/>
              <w:bottom w:w="40" w:type="dxa"/>
              <w:right w:w="20" w:type="dxa"/>
            </w:tcMar>
            <w:vAlign w:val="bottom"/>
          </w:tcPr>
          <w:p w14:paraId="669C681D" w14:textId="77777777" w:rsidR="00066C63" w:rsidRDefault="009656F6">
            <w:pPr>
              <w:jc w:val="right"/>
              <w:textAlignment w:val="bottom"/>
            </w:pPr>
            <w:r>
              <w:rPr>
                <w:rFonts w:ascii="sans-serif" w:eastAsia="sans-serif" w:hAnsi="sans-serif" w:cs="sans-serif"/>
                <w:b/>
                <w:bCs/>
                <w:color w:val="000000"/>
                <w:sz w:val="17"/>
                <w:szCs w:val="17"/>
              </w:rPr>
              <w:t>OTHER</w:t>
            </w:r>
          </w:p>
        </w:tc>
        <w:tc>
          <w:tcPr>
            <w:tcW w:w="0" w:type="auto"/>
            <w:gridSpan w:val="3"/>
            <w:shd w:val="clear" w:color="auto" w:fill="auto"/>
            <w:tcMar>
              <w:top w:w="40" w:type="dxa"/>
              <w:left w:w="20" w:type="dxa"/>
              <w:bottom w:w="40" w:type="dxa"/>
              <w:right w:w="20" w:type="dxa"/>
            </w:tcMar>
            <w:vAlign w:val="bottom"/>
          </w:tcPr>
          <w:p w14:paraId="669C681E" w14:textId="77777777" w:rsidR="00066C63" w:rsidRDefault="009656F6">
            <w:pPr>
              <w:jc w:val="right"/>
              <w:textAlignment w:val="bottom"/>
            </w:pPr>
            <w:r>
              <w:rPr>
                <w:rFonts w:ascii="sans-serif" w:eastAsia="sans-serif" w:hAnsi="sans-serif" w:cs="sans-serif"/>
                <w:b/>
                <w:bCs/>
                <w:color w:val="000000"/>
                <w:sz w:val="17"/>
                <w:szCs w:val="17"/>
              </w:rPr>
              <w:t>TOTAL</w:t>
            </w:r>
          </w:p>
        </w:tc>
      </w:tr>
      <w:tr w:rsidR="00066C63" w14:paraId="669C6830"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820" w14:textId="77777777" w:rsidR="00066C63" w:rsidRDefault="009656F6">
            <w:pPr>
              <w:textAlignment w:val="bottom"/>
            </w:pPr>
            <w:r>
              <w:rPr>
                <w:rFonts w:ascii="Arial" w:eastAsia="宋体" w:hAnsi="Arial" w:cs="Arial"/>
                <w:b/>
                <w:bCs/>
                <w:color w:val="000000"/>
                <w:sz w:val="17"/>
                <w:szCs w:val="17"/>
              </w:rPr>
              <w:t>Balance at November 30, 2019</w:t>
            </w:r>
          </w:p>
        </w:tc>
        <w:tc>
          <w:tcPr>
            <w:tcW w:w="0" w:type="auto"/>
            <w:tcBorders>
              <w:top w:val="single" w:sz="8" w:space="0" w:color="E87722"/>
            </w:tcBorders>
            <w:shd w:val="clear" w:color="auto" w:fill="auto"/>
            <w:tcMar>
              <w:top w:w="40" w:type="dxa"/>
              <w:left w:w="20" w:type="dxa"/>
              <w:bottom w:w="40" w:type="dxa"/>
              <w:right w:w="0" w:type="dxa"/>
            </w:tcMar>
            <w:vAlign w:val="bottom"/>
          </w:tcPr>
          <w:p w14:paraId="669C6821"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69C6822" w14:textId="77777777" w:rsidR="00066C63" w:rsidRDefault="009656F6">
            <w:pPr>
              <w:jc w:val="right"/>
              <w:textAlignment w:val="bottom"/>
            </w:pPr>
            <w:r>
              <w:rPr>
                <w:rFonts w:ascii="Arial" w:eastAsia="宋体" w:hAnsi="Arial" w:cs="Arial"/>
                <w:b/>
                <w:bCs/>
                <w:color w:val="000000"/>
                <w:sz w:val="17"/>
                <w:szCs w:val="17"/>
              </w:rPr>
              <w:t>(407)</w:t>
            </w:r>
          </w:p>
        </w:tc>
        <w:tc>
          <w:tcPr>
            <w:tcW w:w="0" w:type="auto"/>
            <w:tcBorders>
              <w:top w:val="single" w:sz="8" w:space="0" w:color="E87722"/>
            </w:tcBorders>
            <w:shd w:val="clear" w:color="auto" w:fill="auto"/>
            <w:tcMar>
              <w:top w:w="40" w:type="dxa"/>
              <w:left w:w="0" w:type="dxa"/>
              <w:bottom w:w="40" w:type="dxa"/>
              <w:right w:w="20" w:type="dxa"/>
            </w:tcMar>
            <w:vAlign w:val="bottom"/>
          </w:tcPr>
          <w:p w14:paraId="669C6823" w14:textId="77777777" w:rsidR="00066C63" w:rsidRDefault="00066C63">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69C6824"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69C6825" w14:textId="77777777" w:rsidR="00066C63" w:rsidRDefault="009656F6">
            <w:pPr>
              <w:jc w:val="right"/>
              <w:textAlignment w:val="bottom"/>
            </w:pPr>
            <w:r>
              <w:rPr>
                <w:rFonts w:ascii="Arial" w:eastAsia="宋体" w:hAnsi="Arial" w:cs="Arial"/>
                <w:b/>
                <w:bCs/>
                <w:color w:val="000000"/>
                <w:sz w:val="17"/>
                <w:szCs w:val="17"/>
              </w:rPr>
              <w:t>401</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6826" w14:textId="77777777" w:rsidR="00066C63" w:rsidRDefault="00066C63">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69C6827"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69C6828" w14:textId="77777777" w:rsidR="00066C63" w:rsidRDefault="009656F6">
            <w:pPr>
              <w:jc w:val="right"/>
              <w:textAlignment w:val="bottom"/>
            </w:pPr>
            <w:r>
              <w:rPr>
                <w:rFonts w:ascii="Arial" w:eastAsia="宋体" w:hAnsi="Arial" w:cs="Arial"/>
                <w:b/>
                <w:bCs/>
                <w:color w:val="000000"/>
                <w:sz w:val="17"/>
                <w:szCs w:val="17"/>
              </w:rPr>
              <w:t>115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6829" w14:textId="77777777" w:rsidR="00066C63" w:rsidRDefault="00066C63">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69C682A"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69C682B" w14:textId="77777777" w:rsidR="00066C63" w:rsidRDefault="009656F6">
            <w:pPr>
              <w:jc w:val="right"/>
              <w:textAlignment w:val="bottom"/>
            </w:pPr>
            <w:r>
              <w:rPr>
                <w:rFonts w:ascii="Arial" w:eastAsia="宋体" w:hAnsi="Arial" w:cs="Arial"/>
                <w:b/>
                <w:bCs/>
                <w:color w:val="000000"/>
                <w:sz w:val="17"/>
                <w:szCs w:val="17"/>
              </w:rPr>
              <w:t>(57)</w:t>
            </w:r>
          </w:p>
        </w:tc>
        <w:tc>
          <w:tcPr>
            <w:tcW w:w="0" w:type="auto"/>
            <w:tcBorders>
              <w:top w:val="single" w:sz="8" w:space="0" w:color="E87722"/>
            </w:tcBorders>
            <w:shd w:val="clear" w:color="auto" w:fill="auto"/>
            <w:tcMar>
              <w:top w:w="40" w:type="dxa"/>
              <w:left w:w="0" w:type="dxa"/>
              <w:bottom w:w="40" w:type="dxa"/>
              <w:right w:w="20" w:type="dxa"/>
            </w:tcMar>
            <w:vAlign w:val="bottom"/>
          </w:tcPr>
          <w:p w14:paraId="669C682C" w14:textId="77777777" w:rsidR="00066C63" w:rsidRDefault="00066C63">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69C682D"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69C682E" w14:textId="77777777" w:rsidR="00066C63" w:rsidRDefault="009656F6">
            <w:pPr>
              <w:jc w:val="right"/>
              <w:textAlignment w:val="bottom"/>
            </w:pPr>
            <w:r>
              <w:rPr>
                <w:rFonts w:ascii="Arial" w:eastAsia="宋体" w:hAnsi="Arial" w:cs="Arial"/>
                <w:b/>
                <w:bCs/>
                <w:color w:val="000000"/>
                <w:sz w:val="17"/>
                <w:szCs w:val="17"/>
              </w:rPr>
              <w:t>52</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682F" w14:textId="77777777" w:rsidR="00066C63" w:rsidRDefault="00066C63">
            <w:pPr>
              <w:jc w:val="right"/>
              <w:rPr>
                <w:rFonts w:ascii="宋体"/>
              </w:rPr>
            </w:pPr>
          </w:p>
        </w:tc>
      </w:tr>
      <w:tr w:rsidR="00066C63" w14:paraId="669C6837" w14:textId="77777777">
        <w:tc>
          <w:tcPr>
            <w:tcW w:w="0" w:type="auto"/>
            <w:gridSpan w:val="3"/>
            <w:tcBorders>
              <w:top w:val="single" w:sz="8" w:space="0" w:color="E87722"/>
            </w:tcBorders>
            <w:shd w:val="clear" w:color="auto" w:fill="auto"/>
            <w:tcMar>
              <w:top w:w="40" w:type="dxa"/>
              <w:left w:w="20" w:type="dxa"/>
              <w:bottom w:w="40" w:type="dxa"/>
              <w:right w:w="20" w:type="dxa"/>
            </w:tcMar>
            <w:vAlign w:val="center"/>
          </w:tcPr>
          <w:p w14:paraId="669C6831" w14:textId="77777777" w:rsidR="00066C63" w:rsidRDefault="009656F6">
            <w:pPr>
              <w:textAlignment w:val="center"/>
            </w:pPr>
            <w:r>
              <w:rPr>
                <w:rFonts w:ascii="Arial" w:eastAsia="宋体" w:hAnsi="Arial" w:cs="Arial"/>
                <w:color w:val="000000"/>
                <w:sz w:val="17"/>
                <w:szCs w:val="17"/>
              </w:rPr>
              <w:t>Other comprehensive income (loss):</w:t>
            </w:r>
          </w:p>
        </w:tc>
        <w:tc>
          <w:tcPr>
            <w:tcW w:w="0" w:type="auto"/>
            <w:gridSpan w:val="3"/>
            <w:tcBorders>
              <w:top w:val="single" w:sz="8" w:space="0" w:color="E87722"/>
            </w:tcBorders>
            <w:shd w:val="clear" w:color="auto" w:fill="auto"/>
            <w:tcMar>
              <w:top w:w="0" w:type="dxa"/>
              <w:left w:w="20" w:type="dxa"/>
              <w:bottom w:w="0" w:type="dxa"/>
              <w:right w:w="20" w:type="dxa"/>
            </w:tcMar>
          </w:tcPr>
          <w:p w14:paraId="669C6832"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6833"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6834"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6835"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6836" w14:textId="77777777" w:rsidR="00066C63" w:rsidRDefault="00066C63">
            <w:pPr>
              <w:rPr>
                <w:rFonts w:ascii="宋体"/>
              </w:rPr>
            </w:pPr>
          </w:p>
        </w:tc>
      </w:tr>
      <w:tr w:rsidR="00066C63" w14:paraId="669C6843" w14:textId="77777777">
        <w:tc>
          <w:tcPr>
            <w:tcW w:w="0" w:type="auto"/>
            <w:gridSpan w:val="3"/>
            <w:tcBorders>
              <w:top w:val="single" w:sz="8" w:space="0" w:color="808080"/>
            </w:tcBorders>
            <w:shd w:val="clear" w:color="auto" w:fill="auto"/>
            <w:tcMar>
              <w:top w:w="40" w:type="dxa"/>
              <w:left w:w="20" w:type="dxa"/>
              <w:bottom w:w="40" w:type="dxa"/>
              <w:right w:w="20" w:type="dxa"/>
            </w:tcMar>
            <w:vAlign w:val="center"/>
          </w:tcPr>
          <w:p w14:paraId="669C6838" w14:textId="77777777" w:rsidR="00066C63" w:rsidRDefault="009656F6">
            <w:pPr>
              <w:textAlignment w:val="center"/>
            </w:pPr>
            <w:r>
              <w:rPr>
                <w:rFonts w:ascii="Arial" w:eastAsia="宋体" w:hAnsi="Arial" w:cs="Arial"/>
                <w:color w:val="000000"/>
                <w:sz w:val="17"/>
                <w:szCs w:val="17"/>
              </w:rPr>
              <w:t>Other comprehensive gains (losses) before reclassifications</w:t>
            </w:r>
            <w:r>
              <w:rPr>
                <w:rFonts w:ascii="Arial" w:eastAsia="宋体" w:hAnsi="Arial" w:cs="Arial"/>
                <w:color w:val="000000"/>
                <w:sz w:val="11"/>
                <w:szCs w:val="11"/>
              </w:rPr>
              <w:t>(2)</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839" w14:textId="77777777" w:rsidR="00066C63" w:rsidRDefault="009656F6">
            <w:pPr>
              <w:jc w:val="right"/>
              <w:textAlignment w:val="bottom"/>
            </w:pPr>
            <w:r>
              <w:rPr>
                <w:rFonts w:ascii="Arial" w:eastAsia="宋体" w:hAnsi="Arial" w:cs="Arial"/>
                <w:color w:val="000000"/>
                <w:sz w:val="17"/>
                <w:szCs w:val="17"/>
              </w:rPr>
              <w:t>(43)</w:t>
            </w:r>
          </w:p>
        </w:tc>
        <w:tc>
          <w:tcPr>
            <w:tcW w:w="0" w:type="auto"/>
            <w:tcBorders>
              <w:top w:val="single" w:sz="8" w:space="0" w:color="808080"/>
            </w:tcBorders>
            <w:shd w:val="clear" w:color="auto" w:fill="auto"/>
            <w:tcMar>
              <w:top w:w="40" w:type="dxa"/>
              <w:left w:w="0" w:type="dxa"/>
              <w:bottom w:w="40" w:type="dxa"/>
              <w:right w:w="20" w:type="dxa"/>
            </w:tcMar>
            <w:vAlign w:val="bottom"/>
          </w:tcPr>
          <w:p w14:paraId="669C683A"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83B" w14:textId="77777777" w:rsidR="00066C63" w:rsidRDefault="009656F6">
            <w:pPr>
              <w:jc w:val="right"/>
              <w:textAlignment w:val="bottom"/>
            </w:pPr>
            <w:r>
              <w:rPr>
                <w:rFonts w:ascii="Arial" w:eastAsia="宋体" w:hAnsi="Arial" w:cs="Arial"/>
                <w:color w:val="000000"/>
                <w:sz w:val="17"/>
                <w:szCs w:val="17"/>
              </w:rPr>
              <w:t>63 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83C"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83D" w14:textId="77777777" w:rsidR="00066C63" w:rsidRDefault="009656F6">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83E"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83F" w14:textId="77777777" w:rsidR="00066C63" w:rsidRDefault="009656F6">
            <w:pPr>
              <w:jc w:val="right"/>
              <w:textAlignment w:val="bottom"/>
            </w:pPr>
            <w:r>
              <w:rPr>
                <w:rFonts w:ascii="Arial" w:eastAsia="宋体" w:hAnsi="Arial" w:cs="Arial"/>
                <w:color w:val="000000"/>
                <w:sz w:val="17"/>
                <w:szCs w:val="17"/>
              </w:rPr>
              <w:t>1 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840"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841" w14:textId="77777777" w:rsidR="00066C63" w:rsidRDefault="009656F6">
            <w:pPr>
              <w:jc w:val="right"/>
              <w:textAlignment w:val="bottom"/>
            </w:pPr>
            <w:r>
              <w:rPr>
                <w:rFonts w:ascii="Arial" w:eastAsia="宋体" w:hAnsi="Arial" w:cs="Arial"/>
                <w:color w:val="000000"/>
                <w:sz w:val="17"/>
                <w:szCs w:val="17"/>
              </w:rPr>
              <w:t>21 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842" w14:textId="77777777" w:rsidR="00066C63" w:rsidRDefault="00066C63">
            <w:pPr>
              <w:jc w:val="right"/>
              <w:rPr>
                <w:rFonts w:ascii="宋体"/>
              </w:rPr>
            </w:pPr>
          </w:p>
        </w:tc>
      </w:tr>
      <w:tr w:rsidR="00066C63" w14:paraId="669C684F" w14:textId="77777777">
        <w:tc>
          <w:tcPr>
            <w:tcW w:w="0" w:type="auto"/>
            <w:gridSpan w:val="3"/>
            <w:tcBorders>
              <w:top w:val="single" w:sz="8" w:space="0" w:color="808080"/>
            </w:tcBorders>
            <w:shd w:val="clear" w:color="auto" w:fill="auto"/>
            <w:tcMar>
              <w:top w:w="40" w:type="dxa"/>
              <w:left w:w="20" w:type="dxa"/>
              <w:bottom w:w="40" w:type="dxa"/>
              <w:right w:w="20" w:type="dxa"/>
            </w:tcMar>
            <w:vAlign w:val="center"/>
          </w:tcPr>
          <w:p w14:paraId="669C6844" w14:textId="77777777" w:rsidR="00066C63" w:rsidRDefault="009656F6">
            <w:pPr>
              <w:textAlignment w:val="center"/>
            </w:pPr>
            <w:r>
              <w:rPr>
                <w:rFonts w:ascii="Arial" w:eastAsia="宋体" w:hAnsi="Arial" w:cs="Arial"/>
                <w:color w:val="000000"/>
                <w:sz w:val="17"/>
                <w:szCs w:val="17"/>
              </w:rPr>
              <w:t>Reclassifications to net income of previously deferred (gains) losses</w:t>
            </w:r>
            <w:r>
              <w:rPr>
                <w:rFonts w:ascii="Arial" w:eastAsia="宋体" w:hAnsi="Arial" w:cs="Arial"/>
                <w:color w:val="000000"/>
                <w:sz w:val="11"/>
                <w:szCs w:val="11"/>
              </w:rPr>
              <w:t>(3)</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845" w14:textId="77777777" w:rsidR="00066C63" w:rsidRDefault="009656F6">
            <w:pPr>
              <w:jc w:val="right"/>
              <w:textAlignment w:val="bottom"/>
            </w:pPr>
            <w:r>
              <w:rPr>
                <w:rFonts w:ascii="Arial" w:eastAsia="宋体" w:hAnsi="Arial" w:cs="Arial"/>
                <w:color w:val="000000"/>
                <w:sz w:val="17"/>
                <w:szCs w:val="17"/>
              </w:rPr>
              <w:t>1 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846"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847" w14:textId="77777777" w:rsidR="00066C63" w:rsidRDefault="009656F6">
            <w:pPr>
              <w:jc w:val="right"/>
              <w:textAlignment w:val="bottom"/>
            </w:pPr>
            <w:r>
              <w:rPr>
                <w:rFonts w:ascii="Arial" w:eastAsia="宋体" w:hAnsi="Arial" w:cs="Arial"/>
                <w:color w:val="000000"/>
                <w:sz w:val="17"/>
                <w:szCs w:val="17"/>
              </w:rPr>
              <w:t>(131)</w:t>
            </w:r>
          </w:p>
        </w:tc>
        <w:tc>
          <w:tcPr>
            <w:tcW w:w="0" w:type="auto"/>
            <w:tcBorders>
              <w:top w:val="single" w:sz="8" w:space="0" w:color="808080"/>
            </w:tcBorders>
            <w:shd w:val="clear" w:color="auto" w:fill="auto"/>
            <w:tcMar>
              <w:top w:w="40" w:type="dxa"/>
              <w:left w:w="0" w:type="dxa"/>
              <w:bottom w:w="40" w:type="dxa"/>
              <w:right w:w="20" w:type="dxa"/>
            </w:tcMar>
            <w:vAlign w:val="bottom"/>
          </w:tcPr>
          <w:p w14:paraId="669C6848"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849" w14:textId="77777777" w:rsidR="00066C63" w:rsidRDefault="009656F6">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84A"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84B" w14:textId="77777777" w:rsidR="00066C63" w:rsidRDefault="009656F6">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84C"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84D" w14:textId="77777777" w:rsidR="00066C63" w:rsidRDefault="009656F6">
            <w:pPr>
              <w:jc w:val="right"/>
              <w:textAlignment w:val="bottom"/>
            </w:pPr>
            <w:r>
              <w:rPr>
                <w:rFonts w:ascii="Arial" w:eastAsia="宋体" w:hAnsi="Arial" w:cs="Arial"/>
                <w:color w:val="000000"/>
                <w:sz w:val="17"/>
                <w:szCs w:val="17"/>
              </w:rPr>
              <w:t>(130)</w:t>
            </w:r>
          </w:p>
        </w:tc>
        <w:tc>
          <w:tcPr>
            <w:tcW w:w="0" w:type="auto"/>
            <w:tcBorders>
              <w:top w:val="single" w:sz="8" w:space="0" w:color="808080"/>
            </w:tcBorders>
            <w:shd w:val="clear" w:color="auto" w:fill="auto"/>
            <w:tcMar>
              <w:top w:w="40" w:type="dxa"/>
              <w:left w:w="0" w:type="dxa"/>
              <w:bottom w:w="40" w:type="dxa"/>
              <w:right w:w="20" w:type="dxa"/>
            </w:tcMar>
            <w:vAlign w:val="bottom"/>
          </w:tcPr>
          <w:p w14:paraId="669C684E" w14:textId="77777777" w:rsidR="00066C63" w:rsidRDefault="00066C63">
            <w:pPr>
              <w:jc w:val="right"/>
              <w:rPr>
                <w:rFonts w:ascii="宋体"/>
              </w:rPr>
            </w:pPr>
          </w:p>
        </w:tc>
      </w:tr>
      <w:tr w:rsidR="00066C63" w14:paraId="669C685B"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850" w14:textId="77777777" w:rsidR="00066C63" w:rsidRDefault="009656F6">
            <w:pPr>
              <w:textAlignment w:val="bottom"/>
            </w:pPr>
            <w:r>
              <w:rPr>
                <w:rFonts w:ascii="Arial" w:eastAsia="宋体" w:hAnsi="Arial" w:cs="Arial"/>
                <w:color w:val="000000"/>
                <w:sz w:val="17"/>
                <w:szCs w:val="17"/>
              </w:rPr>
              <w:t>Total other comprehensive income (loss)</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6851" w14:textId="77777777" w:rsidR="00066C63" w:rsidRDefault="009656F6">
            <w:pPr>
              <w:jc w:val="right"/>
              <w:textAlignment w:val="bottom"/>
            </w:pPr>
            <w:r>
              <w:rPr>
                <w:rFonts w:ascii="Arial" w:eastAsia="宋体" w:hAnsi="Arial" w:cs="Arial"/>
                <w:color w:val="000000"/>
                <w:sz w:val="17"/>
                <w:szCs w:val="17"/>
              </w:rPr>
              <w:t>(42)</w:t>
            </w:r>
          </w:p>
        </w:tc>
        <w:tc>
          <w:tcPr>
            <w:tcW w:w="0" w:type="auto"/>
            <w:tcBorders>
              <w:top w:val="single" w:sz="8" w:space="0" w:color="E87722"/>
            </w:tcBorders>
            <w:shd w:val="clear" w:color="auto" w:fill="auto"/>
            <w:tcMar>
              <w:top w:w="40" w:type="dxa"/>
              <w:left w:w="0" w:type="dxa"/>
              <w:bottom w:w="40" w:type="dxa"/>
              <w:right w:w="20" w:type="dxa"/>
            </w:tcMar>
            <w:vAlign w:val="bottom"/>
          </w:tcPr>
          <w:p w14:paraId="669C6852" w14:textId="77777777" w:rsidR="00066C63" w:rsidRDefault="00066C63">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6853" w14:textId="77777777" w:rsidR="00066C63" w:rsidRDefault="009656F6">
            <w:pPr>
              <w:jc w:val="right"/>
              <w:textAlignment w:val="bottom"/>
            </w:pPr>
            <w:r>
              <w:rPr>
                <w:rFonts w:ascii="Arial" w:eastAsia="宋体" w:hAnsi="Arial" w:cs="Arial"/>
                <w:color w:val="000000"/>
                <w:sz w:val="17"/>
                <w:szCs w:val="17"/>
              </w:rPr>
              <w:t>(68)</w:t>
            </w:r>
          </w:p>
        </w:tc>
        <w:tc>
          <w:tcPr>
            <w:tcW w:w="0" w:type="auto"/>
            <w:tcBorders>
              <w:top w:val="single" w:sz="8" w:space="0" w:color="E87722"/>
            </w:tcBorders>
            <w:shd w:val="clear" w:color="auto" w:fill="auto"/>
            <w:tcMar>
              <w:top w:w="40" w:type="dxa"/>
              <w:left w:w="0" w:type="dxa"/>
              <w:bottom w:w="40" w:type="dxa"/>
              <w:right w:w="20" w:type="dxa"/>
            </w:tcMar>
            <w:vAlign w:val="bottom"/>
          </w:tcPr>
          <w:p w14:paraId="669C6854" w14:textId="77777777" w:rsidR="00066C63" w:rsidRDefault="00066C63">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6855" w14:textId="77777777" w:rsidR="00066C63" w:rsidRDefault="009656F6">
            <w:pPr>
              <w:jc w:val="right"/>
              <w:textAlignment w:val="bottom"/>
            </w:pP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6856" w14:textId="77777777" w:rsidR="00066C63" w:rsidRDefault="00066C63">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6857" w14:textId="77777777" w:rsidR="00066C63" w:rsidRDefault="009656F6">
            <w:pPr>
              <w:jc w:val="right"/>
              <w:textAlignment w:val="bottom"/>
            </w:pPr>
            <w:r>
              <w:rPr>
                <w:rFonts w:ascii="Arial" w:eastAsia="宋体" w:hAnsi="Arial" w:cs="Arial"/>
                <w:color w:val="000000"/>
                <w:sz w:val="17"/>
                <w:szCs w:val="17"/>
              </w:rPr>
              <w:t>1 </w:t>
            </w:r>
          </w:p>
        </w:tc>
        <w:tc>
          <w:tcPr>
            <w:tcW w:w="0" w:type="auto"/>
            <w:tcBorders>
              <w:top w:val="single" w:sz="8" w:space="0" w:color="E87722"/>
            </w:tcBorders>
            <w:shd w:val="clear" w:color="auto" w:fill="auto"/>
            <w:tcMar>
              <w:top w:w="40" w:type="dxa"/>
              <w:left w:w="0" w:type="dxa"/>
              <w:bottom w:w="40" w:type="dxa"/>
              <w:right w:w="20" w:type="dxa"/>
            </w:tcMar>
            <w:vAlign w:val="bottom"/>
          </w:tcPr>
          <w:p w14:paraId="669C6858" w14:textId="77777777" w:rsidR="00066C63" w:rsidRDefault="00066C63">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6859" w14:textId="77777777" w:rsidR="00066C63" w:rsidRDefault="009656F6">
            <w:pPr>
              <w:jc w:val="right"/>
              <w:textAlignment w:val="bottom"/>
            </w:pPr>
            <w:r>
              <w:rPr>
                <w:rFonts w:ascii="Arial" w:eastAsia="宋体" w:hAnsi="Arial" w:cs="Arial"/>
                <w:color w:val="000000"/>
                <w:sz w:val="17"/>
                <w:szCs w:val="17"/>
              </w:rPr>
              <w:t>(109)</w:t>
            </w:r>
          </w:p>
        </w:tc>
        <w:tc>
          <w:tcPr>
            <w:tcW w:w="0" w:type="auto"/>
            <w:tcBorders>
              <w:top w:val="single" w:sz="8" w:space="0" w:color="E87722"/>
            </w:tcBorders>
            <w:shd w:val="clear" w:color="auto" w:fill="auto"/>
            <w:tcMar>
              <w:top w:w="40" w:type="dxa"/>
              <w:left w:w="0" w:type="dxa"/>
              <w:bottom w:w="40" w:type="dxa"/>
              <w:right w:w="20" w:type="dxa"/>
            </w:tcMar>
            <w:vAlign w:val="bottom"/>
          </w:tcPr>
          <w:p w14:paraId="669C685A" w14:textId="77777777" w:rsidR="00066C63" w:rsidRDefault="00066C63">
            <w:pPr>
              <w:jc w:val="right"/>
              <w:rPr>
                <w:rFonts w:ascii="宋体"/>
              </w:rPr>
            </w:pPr>
          </w:p>
        </w:tc>
      </w:tr>
      <w:tr w:rsidR="00066C63" w14:paraId="669C686C"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669C685C" w14:textId="77777777" w:rsidR="00066C63" w:rsidRDefault="009656F6">
            <w:pPr>
              <w:textAlignment w:val="bottom"/>
            </w:pPr>
            <w:r>
              <w:rPr>
                <w:rFonts w:ascii="Arial" w:eastAsia="宋体" w:hAnsi="Arial" w:cs="Arial"/>
                <w:b/>
                <w:bCs/>
                <w:color w:val="000000"/>
                <w:sz w:val="17"/>
                <w:szCs w:val="17"/>
              </w:rPr>
              <w:t>Balance at February 29, 2020</w:t>
            </w: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69C685D"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69C685E" w14:textId="77777777" w:rsidR="00066C63" w:rsidRDefault="009656F6">
            <w:pPr>
              <w:jc w:val="right"/>
              <w:textAlignment w:val="bottom"/>
            </w:pPr>
            <w:r>
              <w:rPr>
                <w:rFonts w:ascii="Arial" w:eastAsia="宋体" w:hAnsi="Arial" w:cs="Arial"/>
                <w:b/>
                <w:bCs/>
                <w:color w:val="000000"/>
                <w:sz w:val="17"/>
                <w:szCs w:val="17"/>
              </w:rPr>
              <w:t>(449)</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69C685F" w14:textId="77777777" w:rsidR="00066C63" w:rsidRDefault="00066C63">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69C6860"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69C6861" w14:textId="77777777" w:rsidR="00066C63" w:rsidRDefault="009656F6">
            <w:pPr>
              <w:jc w:val="right"/>
              <w:textAlignment w:val="bottom"/>
            </w:pPr>
            <w:r>
              <w:rPr>
                <w:rFonts w:ascii="Arial" w:eastAsia="宋体" w:hAnsi="Arial" w:cs="Arial"/>
                <w:b/>
                <w:bCs/>
                <w:color w:val="000000"/>
                <w:sz w:val="17"/>
                <w:szCs w:val="17"/>
              </w:rPr>
              <w:t>333</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69C6862" w14:textId="77777777" w:rsidR="00066C63" w:rsidRDefault="00066C63">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69C6863"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69C6864" w14:textId="77777777" w:rsidR="00066C63" w:rsidRDefault="009656F6">
            <w:pPr>
              <w:jc w:val="right"/>
              <w:textAlignment w:val="bottom"/>
            </w:pPr>
            <w:r>
              <w:rPr>
                <w:rFonts w:ascii="Arial" w:eastAsia="宋体" w:hAnsi="Arial" w:cs="Arial"/>
                <w:b/>
                <w:bCs/>
                <w:color w:val="000000"/>
                <w:sz w:val="17"/>
                <w:szCs w:val="17"/>
              </w:rPr>
              <w:t>115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69C6865" w14:textId="77777777" w:rsidR="00066C63" w:rsidRDefault="00066C63">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69C6866"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69C6867" w14:textId="77777777" w:rsidR="00066C63" w:rsidRDefault="009656F6">
            <w:pPr>
              <w:jc w:val="right"/>
              <w:textAlignment w:val="bottom"/>
            </w:pPr>
            <w:r>
              <w:rPr>
                <w:rFonts w:ascii="Arial" w:eastAsia="宋体" w:hAnsi="Arial" w:cs="Arial"/>
                <w:b/>
                <w:bCs/>
                <w:color w:val="000000"/>
                <w:sz w:val="17"/>
                <w:szCs w:val="17"/>
              </w:rPr>
              <w:t>(56)</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69C6868" w14:textId="77777777" w:rsidR="00066C63" w:rsidRDefault="00066C63">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69C6869"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69C686A" w14:textId="77777777" w:rsidR="00066C63" w:rsidRDefault="009656F6">
            <w:pPr>
              <w:jc w:val="right"/>
              <w:textAlignment w:val="bottom"/>
            </w:pPr>
            <w:r>
              <w:rPr>
                <w:rFonts w:ascii="Arial" w:eastAsia="宋体" w:hAnsi="Arial" w:cs="Arial"/>
                <w:b/>
                <w:bCs/>
                <w:color w:val="000000"/>
                <w:sz w:val="17"/>
                <w:szCs w:val="17"/>
              </w:rPr>
              <w:t>(57)</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69C686B" w14:textId="77777777" w:rsidR="00066C63" w:rsidRDefault="00066C63">
            <w:pPr>
              <w:jc w:val="right"/>
              <w:rPr>
                <w:rFonts w:ascii="宋体"/>
              </w:rPr>
            </w:pPr>
          </w:p>
        </w:tc>
      </w:tr>
    </w:tbl>
    <w:p w14:paraId="669C686D" w14:textId="77777777" w:rsidR="00066C63" w:rsidRDefault="009656F6">
      <w:pPr>
        <w:spacing w:before="60" w:after="60"/>
        <w:ind w:hanging="360"/>
      </w:pPr>
      <w:r>
        <w:rPr>
          <w:rFonts w:ascii="Arial" w:eastAsia="宋体" w:hAnsi="Arial" w:cs="Arial"/>
          <w:i/>
          <w:iCs/>
          <w:color w:val="000000"/>
          <w:sz w:val="14"/>
          <w:szCs w:val="14"/>
        </w:rPr>
        <w:t>(1)The accumulated foreign currency translation adjustment and net investment hedge gains/losses related to an investment in a foreign subsidiary are r</w:t>
      </w:r>
      <w:r>
        <w:rPr>
          <w:rFonts w:ascii="Arial" w:eastAsia="宋体" w:hAnsi="Arial" w:cs="Arial"/>
          <w:i/>
          <w:iCs/>
          <w:color w:val="000000"/>
          <w:sz w:val="14"/>
          <w:szCs w:val="14"/>
        </w:rPr>
        <w:t>eclassified to Net income upon sale or upon complete or substantially complete liquidation of the respective entity.</w:t>
      </w:r>
    </w:p>
    <w:p w14:paraId="669C686E" w14:textId="77777777" w:rsidR="00066C63" w:rsidRDefault="009656F6">
      <w:pPr>
        <w:spacing w:before="60" w:after="60"/>
        <w:ind w:hanging="360"/>
      </w:pPr>
      <w:r>
        <w:rPr>
          <w:rFonts w:ascii="Arial" w:eastAsia="宋体" w:hAnsi="Arial" w:cs="Arial"/>
          <w:i/>
          <w:iCs/>
          <w:color w:val="000000"/>
          <w:sz w:val="14"/>
          <w:szCs w:val="14"/>
        </w:rPr>
        <w:t>(2)Net of tax benefit (expense) of $0 million, $(1) million, $0 million, $0 million and $(1) million, respectively.</w:t>
      </w:r>
    </w:p>
    <w:p w14:paraId="669C686F" w14:textId="77777777" w:rsidR="00066C63" w:rsidRDefault="009656F6">
      <w:pPr>
        <w:spacing w:before="60" w:after="60"/>
        <w:ind w:hanging="360"/>
      </w:pPr>
      <w:r>
        <w:rPr>
          <w:rFonts w:ascii="Arial" w:eastAsia="宋体" w:hAnsi="Arial" w:cs="Arial"/>
          <w:i/>
          <w:iCs/>
          <w:color w:val="000000"/>
          <w:sz w:val="14"/>
          <w:szCs w:val="14"/>
        </w:rPr>
        <w:t xml:space="preserve">(3)Net of tax </w:t>
      </w:r>
      <w:r>
        <w:rPr>
          <w:rFonts w:ascii="Arial" w:eastAsia="宋体" w:hAnsi="Arial" w:cs="Arial"/>
          <w:i/>
          <w:iCs/>
          <w:color w:val="000000"/>
          <w:sz w:val="14"/>
          <w:szCs w:val="14"/>
        </w:rPr>
        <w:t>(benefit) expense of $0 million, $0 million, $0 million, $0 million and $0 million, respectively.</w:t>
      </w:r>
    </w:p>
    <w:tbl>
      <w:tblPr>
        <w:tblW w:w="4872" w:type="pct"/>
        <w:tblCellMar>
          <w:top w:w="15" w:type="dxa"/>
          <w:left w:w="15" w:type="dxa"/>
          <w:bottom w:w="15" w:type="dxa"/>
          <w:right w:w="15" w:type="dxa"/>
        </w:tblCellMar>
        <w:tblLook w:val="04A0" w:firstRow="1" w:lastRow="0" w:firstColumn="1" w:lastColumn="0" w:noHBand="0" w:noVBand="1"/>
      </w:tblPr>
      <w:tblGrid>
        <w:gridCol w:w="40"/>
        <w:gridCol w:w="3485"/>
        <w:gridCol w:w="39"/>
        <w:gridCol w:w="116"/>
        <w:gridCol w:w="1032"/>
        <w:gridCol w:w="36"/>
        <w:gridCol w:w="116"/>
        <w:gridCol w:w="633"/>
        <w:gridCol w:w="36"/>
        <w:gridCol w:w="116"/>
        <w:gridCol w:w="869"/>
        <w:gridCol w:w="36"/>
        <w:gridCol w:w="116"/>
        <w:gridCol w:w="633"/>
        <w:gridCol w:w="36"/>
        <w:gridCol w:w="115"/>
        <w:gridCol w:w="633"/>
        <w:gridCol w:w="36"/>
      </w:tblGrid>
      <w:tr w:rsidR="00066C63" w14:paraId="669C6882" w14:textId="77777777">
        <w:tc>
          <w:tcPr>
            <w:tcW w:w="50" w:type="pct"/>
            <w:shd w:val="clear" w:color="auto" w:fill="auto"/>
          </w:tcPr>
          <w:p w14:paraId="669C6870" w14:textId="77777777" w:rsidR="00066C63" w:rsidRDefault="00066C63">
            <w:pPr>
              <w:rPr>
                <w:rFonts w:ascii="宋体"/>
              </w:rPr>
            </w:pPr>
          </w:p>
        </w:tc>
        <w:tc>
          <w:tcPr>
            <w:tcW w:w="2263" w:type="pct"/>
            <w:shd w:val="clear" w:color="auto" w:fill="auto"/>
          </w:tcPr>
          <w:p w14:paraId="669C6871" w14:textId="77777777" w:rsidR="00066C63" w:rsidRDefault="00066C63">
            <w:pPr>
              <w:rPr>
                <w:rFonts w:ascii="宋体"/>
              </w:rPr>
            </w:pPr>
          </w:p>
        </w:tc>
        <w:tc>
          <w:tcPr>
            <w:tcW w:w="5" w:type="pct"/>
            <w:shd w:val="clear" w:color="auto" w:fill="auto"/>
          </w:tcPr>
          <w:p w14:paraId="669C6872" w14:textId="77777777" w:rsidR="00066C63" w:rsidRDefault="00066C63">
            <w:pPr>
              <w:rPr>
                <w:rFonts w:ascii="宋体"/>
              </w:rPr>
            </w:pPr>
          </w:p>
        </w:tc>
        <w:tc>
          <w:tcPr>
            <w:tcW w:w="50" w:type="pct"/>
            <w:shd w:val="clear" w:color="auto" w:fill="auto"/>
          </w:tcPr>
          <w:p w14:paraId="669C6873" w14:textId="77777777" w:rsidR="00066C63" w:rsidRDefault="00066C63">
            <w:pPr>
              <w:rPr>
                <w:rFonts w:ascii="宋体"/>
              </w:rPr>
            </w:pPr>
          </w:p>
        </w:tc>
        <w:tc>
          <w:tcPr>
            <w:tcW w:w="561" w:type="pct"/>
            <w:shd w:val="clear" w:color="auto" w:fill="auto"/>
          </w:tcPr>
          <w:p w14:paraId="669C6874" w14:textId="77777777" w:rsidR="00066C63" w:rsidRDefault="00066C63">
            <w:pPr>
              <w:rPr>
                <w:rFonts w:ascii="宋体"/>
              </w:rPr>
            </w:pPr>
          </w:p>
        </w:tc>
        <w:tc>
          <w:tcPr>
            <w:tcW w:w="5" w:type="pct"/>
            <w:shd w:val="clear" w:color="auto" w:fill="auto"/>
          </w:tcPr>
          <w:p w14:paraId="669C6875" w14:textId="77777777" w:rsidR="00066C63" w:rsidRDefault="00066C63">
            <w:pPr>
              <w:rPr>
                <w:rFonts w:ascii="宋体"/>
              </w:rPr>
            </w:pPr>
          </w:p>
        </w:tc>
        <w:tc>
          <w:tcPr>
            <w:tcW w:w="50" w:type="pct"/>
            <w:shd w:val="clear" w:color="auto" w:fill="auto"/>
          </w:tcPr>
          <w:p w14:paraId="669C6876" w14:textId="77777777" w:rsidR="00066C63" w:rsidRDefault="00066C63">
            <w:pPr>
              <w:rPr>
                <w:rFonts w:ascii="宋体"/>
              </w:rPr>
            </w:pPr>
          </w:p>
        </w:tc>
        <w:tc>
          <w:tcPr>
            <w:tcW w:w="461" w:type="pct"/>
            <w:shd w:val="clear" w:color="auto" w:fill="auto"/>
          </w:tcPr>
          <w:p w14:paraId="669C6877" w14:textId="77777777" w:rsidR="00066C63" w:rsidRDefault="00066C63">
            <w:pPr>
              <w:rPr>
                <w:rFonts w:ascii="宋体"/>
              </w:rPr>
            </w:pPr>
          </w:p>
        </w:tc>
        <w:tc>
          <w:tcPr>
            <w:tcW w:w="5" w:type="pct"/>
            <w:shd w:val="clear" w:color="auto" w:fill="auto"/>
          </w:tcPr>
          <w:p w14:paraId="669C6878" w14:textId="77777777" w:rsidR="00066C63" w:rsidRDefault="00066C63">
            <w:pPr>
              <w:rPr>
                <w:rFonts w:ascii="宋体"/>
              </w:rPr>
            </w:pPr>
          </w:p>
        </w:tc>
        <w:tc>
          <w:tcPr>
            <w:tcW w:w="50" w:type="pct"/>
            <w:shd w:val="clear" w:color="auto" w:fill="auto"/>
          </w:tcPr>
          <w:p w14:paraId="669C6879" w14:textId="77777777" w:rsidR="00066C63" w:rsidRDefault="00066C63">
            <w:pPr>
              <w:rPr>
                <w:rFonts w:ascii="宋体"/>
              </w:rPr>
            </w:pPr>
          </w:p>
        </w:tc>
        <w:tc>
          <w:tcPr>
            <w:tcW w:w="461" w:type="pct"/>
            <w:shd w:val="clear" w:color="auto" w:fill="auto"/>
          </w:tcPr>
          <w:p w14:paraId="669C687A" w14:textId="77777777" w:rsidR="00066C63" w:rsidRDefault="00066C63">
            <w:pPr>
              <w:rPr>
                <w:rFonts w:ascii="宋体"/>
              </w:rPr>
            </w:pPr>
          </w:p>
        </w:tc>
        <w:tc>
          <w:tcPr>
            <w:tcW w:w="5" w:type="pct"/>
            <w:shd w:val="clear" w:color="auto" w:fill="auto"/>
          </w:tcPr>
          <w:p w14:paraId="669C687B" w14:textId="77777777" w:rsidR="00066C63" w:rsidRDefault="00066C63">
            <w:pPr>
              <w:rPr>
                <w:rFonts w:ascii="宋体"/>
              </w:rPr>
            </w:pPr>
          </w:p>
        </w:tc>
        <w:tc>
          <w:tcPr>
            <w:tcW w:w="50" w:type="pct"/>
            <w:shd w:val="clear" w:color="auto" w:fill="auto"/>
          </w:tcPr>
          <w:p w14:paraId="669C687C" w14:textId="77777777" w:rsidR="00066C63" w:rsidRDefault="00066C63">
            <w:pPr>
              <w:rPr>
                <w:rFonts w:ascii="宋体"/>
              </w:rPr>
            </w:pPr>
          </w:p>
        </w:tc>
        <w:tc>
          <w:tcPr>
            <w:tcW w:w="461" w:type="pct"/>
            <w:shd w:val="clear" w:color="auto" w:fill="auto"/>
          </w:tcPr>
          <w:p w14:paraId="669C687D" w14:textId="77777777" w:rsidR="00066C63" w:rsidRDefault="00066C63">
            <w:pPr>
              <w:rPr>
                <w:rFonts w:ascii="宋体"/>
              </w:rPr>
            </w:pPr>
          </w:p>
        </w:tc>
        <w:tc>
          <w:tcPr>
            <w:tcW w:w="5" w:type="pct"/>
            <w:shd w:val="clear" w:color="auto" w:fill="auto"/>
          </w:tcPr>
          <w:p w14:paraId="669C687E" w14:textId="77777777" w:rsidR="00066C63" w:rsidRDefault="00066C63">
            <w:pPr>
              <w:rPr>
                <w:rFonts w:ascii="宋体"/>
              </w:rPr>
            </w:pPr>
          </w:p>
        </w:tc>
        <w:tc>
          <w:tcPr>
            <w:tcW w:w="50" w:type="pct"/>
            <w:shd w:val="clear" w:color="auto" w:fill="auto"/>
          </w:tcPr>
          <w:p w14:paraId="669C687F" w14:textId="77777777" w:rsidR="00066C63" w:rsidRDefault="00066C63">
            <w:pPr>
              <w:rPr>
                <w:rFonts w:ascii="宋体"/>
              </w:rPr>
            </w:pPr>
          </w:p>
        </w:tc>
        <w:tc>
          <w:tcPr>
            <w:tcW w:w="461" w:type="pct"/>
            <w:shd w:val="clear" w:color="auto" w:fill="auto"/>
          </w:tcPr>
          <w:p w14:paraId="669C6880" w14:textId="77777777" w:rsidR="00066C63" w:rsidRDefault="00066C63">
            <w:pPr>
              <w:rPr>
                <w:rFonts w:ascii="宋体"/>
              </w:rPr>
            </w:pPr>
          </w:p>
        </w:tc>
        <w:tc>
          <w:tcPr>
            <w:tcW w:w="5" w:type="pct"/>
            <w:shd w:val="clear" w:color="auto" w:fill="auto"/>
          </w:tcPr>
          <w:p w14:paraId="669C6881" w14:textId="77777777" w:rsidR="00066C63" w:rsidRDefault="00066C63">
            <w:pPr>
              <w:rPr>
                <w:rFonts w:ascii="宋体"/>
              </w:rPr>
            </w:pPr>
          </w:p>
        </w:tc>
      </w:tr>
      <w:tr w:rsidR="00066C63" w14:paraId="669C6889" w14:textId="77777777">
        <w:tc>
          <w:tcPr>
            <w:tcW w:w="0" w:type="auto"/>
            <w:gridSpan w:val="3"/>
            <w:shd w:val="clear" w:color="auto" w:fill="auto"/>
            <w:tcMar>
              <w:top w:w="40" w:type="dxa"/>
              <w:left w:w="20" w:type="dxa"/>
              <w:bottom w:w="40" w:type="dxa"/>
              <w:right w:w="20" w:type="dxa"/>
            </w:tcMar>
            <w:vAlign w:val="bottom"/>
          </w:tcPr>
          <w:p w14:paraId="669C6883" w14:textId="77777777" w:rsidR="00066C63" w:rsidRDefault="009656F6">
            <w:pPr>
              <w:textAlignment w:val="bottom"/>
            </w:pPr>
            <w:r>
              <w:rPr>
                <w:rFonts w:ascii="Arial Narrow" w:eastAsia="Arial Narrow" w:hAnsi="Arial Narrow" w:cs="Arial Narrow"/>
                <w:i/>
                <w:iCs/>
                <w:color w:val="000000"/>
                <w:sz w:val="17"/>
                <w:szCs w:val="17"/>
              </w:rPr>
              <w:t>(Dollars in millions)</w:t>
            </w:r>
          </w:p>
        </w:tc>
        <w:tc>
          <w:tcPr>
            <w:tcW w:w="0" w:type="auto"/>
            <w:gridSpan w:val="3"/>
            <w:shd w:val="clear" w:color="auto" w:fill="auto"/>
            <w:tcMar>
              <w:top w:w="40" w:type="dxa"/>
              <w:left w:w="20" w:type="dxa"/>
              <w:bottom w:w="40" w:type="dxa"/>
              <w:right w:w="20" w:type="dxa"/>
            </w:tcMar>
            <w:vAlign w:val="bottom"/>
          </w:tcPr>
          <w:p w14:paraId="669C6884" w14:textId="77777777" w:rsidR="00066C63" w:rsidRDefault="009656F6">
            <w:pPr>
              <w:jc w:val="right"/>
              <w:textAlignment w:val="bottom"/>
            </w:pPr>
            <w:r>
              <w:rPr>
                <w:rFonts w:ascii="sans-serif" w:eastAsia="sans-serif" w:hAnsi="sans-serif" w:cs="sans-serif"/>
                <w:b/>
                <w:bCs/>
                <w:color w:val="000000"/>
                <w:sz w:val="17"/>
                <w:szCs w:val="17"/>
              </w:rPr>
              <w:t>FOREIGN CURRENCY TRANSLATION ADJUSTMENT</w:t>
            </w:r>
            <w:r>
              <w:rPr>
                <w:rFonts w:ascii="sans-serif" w:eastAsia="sans-serif" w:hAnsi="sans-serif" w:cs="sans-serif"/>
                <w:b/>
                <w:bCs/>
                <w:color w:val="000000"/>
                <w:sz w:val="11"/>
                <w:szCs w:val="11"/>
              </w:rPr>
              <w:t>(1)</w:t>
            </w:r>
          </w:p>
        </w:tc>
        <w:tc>
          <w:tcPr>
            <w:tcW w:w="0" w:type="auto"/>
            <w:gridSpan w:val="3"/>
            <w:shd w:val="clear" w:color="auto" w:fill="auto"/>
            <w:tcMar>
              <w:top w:w="40" w:type="dxa"/>
              <w:left w:w="20" w:type="dxa"/>
              <w:bottom w:w="40" w:type="dxa"/>
              <w:right w:w="20" w:type="dxa"/>
            </w:tcMar>
            <w:vAlign w:val="bottom"/>
          </w:tcPr>
          <w:p w14:paraId="669C6885" w14:textId="77777777" w:rsidR="00066C63" w:rsidRDefault="009656F6">
            <w:pPr>
              <w:jc w:val="right"/>
              <w:textAlignment w:val="bottom"/>
            </w:pPr>
            <w:r>
              <w:rPr>
                <w:rFonts w:ascii="sans-serif" w:eastAsia="sans-serif" w:hAnsi="sans-serif" w:cs="sans-serif"/>
                <w:b/>
                <w:bCs/>
                <w:color w:val="000000"/>
                <w:sz w:val="17"/>
                <w:szCs w:val="17"/>
              </w:rPr>
              <w:t>CASH FLOW HEDGES</w:t>
            </w:r>
          </w:p>
        </w:tc>
        <w:tc>
          <w:tcPr>
            <w:tcW w:w="0" w:type="auto"/>
            <w:gridSpan w:val="3"/>
            <w:shd w:val="clear" w:color="auto" w:fill="auto"/>
            <w:tcMar>
              <w:top w:w="40" w:type="dxa"/>
              <w:left w:w="20" w:type="dxa"/>
              <w:bottom w:w="40" w:type="dxa"/>
              <w:right w:w="20" w:type="dxa"/>
            </w:tcMar>
            <w:vAlign w:val="bottom"/>
          </w:tcPr>
          <w:p w14:paraId="669C6886" w14:textId="77777777" w:rsidR="00066C63" w:rsidRDefault="009656F6">
            <w:pPr>
              <w:jc w:val="right"/>
              <w:textAlignment w:val="bottom"/>
            </w:pPr>
            <w:r>
              <w:rPr>
                <w:rFonts w:ascii="sans-serif" w:eastAsia="sans-serif" w:hAnsi="sans-serif" w:cs="sans-serif"/>
                <w:b/>
                <w:bCs/>
                <w:color w:val="000000"/>
                <w:sz w:val="17"/>
                <w:szCs w:val="17"/>
              </w:rPr>
              <w:t>NET INVESTMENT HEDGES</w:t>
            </w:r>
            <w:r>
              <w:rPr>
                <w:rFonts w:ascii="sans-serif" w:eastAsia="sans-serif" w:hAnsi="sans-serif" w:cs="sans-serif"/>
                <w:b/>
                <w:bCs/>
                <w:color w:val="000000"/>
                <w:sz w:val="11"/>
                <w:szCs w:val="11"/>
              </w:rPr>
              <w:t>(1)</w:t>
            </w:r>
          </w:p>
        </w:tc>
        <w:tc>
          <w:tcPr>
            <w:tcW w:w="0" w:type="auto"/>
            <w:gridSpan w:val="3"/>
            <w:shd w:val="clear" w:color="auto" w:fill="auto"/>
            <w:tcMar>
              <w:top w:w="40" w:type="dxa"/>
              <w:left w:w="20" w:type="dxa"/>
              <w:bottom w:w="40" w:type="dxa"/>
              <w:right w:w="20" w:type="dxa"/>
            </w:tcMar>
            <w:vAlign w:val="bottom"/>
          </w:tcPr>
          <w:p w14:paraId="669C6887" w14:textId="77777777" w:rsidR="00066C63" w:rsidRDefault="009656F6">
            <w:pPr>
              <w:jc w:val="right"/>
              <w:textAlignment w:val="bottom"/>
            </w:pPr>
            <w:r>
              <w:rPr>
                <w:rFonts w:ascii="sans-serif" w:eastAsia="sans-serif" w:hAnsi="sans-serif" w:cs="sans-serif"/>
                <w:b/>
                <w:bCs/>
                <w:color w:val="000000"/>
                <w:sz w:val="17"/>
                <w:szCs w:val="17"/>
              </w:rPr>
              <w:t>OTHER</w:t>
            </w:r>
          </w:p>
        </w:tc>
        <w:tc>
          <w:tcPr>
            <w:tcW w:w="0" w:type="auto"/>
            <w:gridSpan w:val="3"/>
            <w:shd w:val="clear" w:color="auto" w:fill="auto"/>
            <w:tcMar>
              <w:top w:w="40" w:type="dxa"/>
              <w:left w:w="20" w:type="dxa"/>
              <w:bottom w:w="40" w:type="dxa"/>
              <w:right w:w="20" w:type="dxa"/>
            </w:tcMar>
            <w:vAlign w:val="bottom"/>
          </w:tcPr>
          <w:p w14:paraId="669C6888" w14:textId="77777777" w:rsidR="00066C63" w:rsidRDefault="009656F6">
            <w:pPr>
              <w:jc w:val="right"/>
              <w:textAlignment w:val="bottom"/>
            </w:pPr>
            <w:r>
              <w:rPr>
                <w:rFonts w:ascii="sans-serif" w:eastAsia="sans-serif" w:hAnsi="sans-serif" w:cs="sans-serif"/>
                <w:b/>
                <w:bCs/>
                <w:color w:val="000000"/>
                <w:sz w:val="17"/>
                <w:szCs w:val="17"/>
              </w:rPr>
              <w:t>TOTAL</w:t>
            </w:r>
          </w:p>
        </w:tc>
      </w:tr>
      <w:tr w:rsidR="00066C63" w14:paraId="669C689A"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88A" w14:textId="77777777" w:rsidR="00066C63" w:rsidRDefault="009656F6">
            <w:pPr>
              <w:textAlignment w:val="bottom"/>
            </w:pPr>
            <w:r>
              <w:rPr>
                <w:rFonts w:ascii="Arial" w:eastAsia="宋体" w:hAnsi="Arial" w:cs="Arial"/>
                <w:b/>
                <w:bCs/>
                <w:color w:val="000000"/>
                <w:sz w:val="17"/>
                <w:szCs w:val="17"/>
              </w:rPr>
              <w:t>Balance at May 31, 2020</w:t>
            </w:r>
          </w:p>
        </w:tc>
        <w:tc>
          <w:tcPr>
            <w:tcW w:w="0" w:type="auto"/>
            <w:tcBorders>
              <w:top w:val="single" w:sz="8" w:space="0" w:color="E87722"/>
            </w:tcBorders>
            <w:shd w:val="clear" w:color="auto" w:fill="auto"/>
            <w:tcMar>
              <w:top w:w="40" w:type="dxa"/>
              <w:left w:w="20" w:type="dxa"/>
              <w:bottom w:w="40" w:type="dxa"/>
              <w:right w:w="0" w:type="dxa"/>
            </w:tcMar>
            <w:vAlign w:val="bottom"/>
          </w:tcPr>
          <w:p w14:paraId="669C688B"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69C688C" w14:textId="77777777" w:rsidR="00066C63" w:rsidRDefault="009656F6">
            <w:pPr>
              <w:jc w:val="right"/>
              <w:textAlignment w:val="bottom"/>
            </w:pPr>
            <w:r>
              <w:rPr>
                <w:rFonts w:ascii="Arial" w:eastAsia="宋体" w:hAnsi="Arial" w:cs="Arial"/>
                <w:b/>
                <w:bCs/>
                <w:color w:val="000000"/>
                <w:sz w:val="17"/>
                <w:szCs w:val="17"/>
              </w:rPr>
              <w:t>(494)</w:t>
            </w:r>
          </w:p>
        </w:tc>
        <w:tc>
          <w:tcPr>
            <w:tcW w:w="0" w:type="auto"/>
            <w:tcBorders>
              <w:top w:val="single" w:sz="8" w:space="0" w:color="E87722"/>
            </w:tcBorders>
            <w:shd w:val="clear" w:color="auto" w:fill="auto"/>
            <w:tcMar>
              <w:top w:w="40" w:type="dxa"/>
              <w:left w:w="0" w:type="dxa"/>
              <w:bottom w:w="40" w:type="dxa"/>
              <w:right w:w="20" w:type="dxa"/>
            </w:tcMar>
            <w:vAlign w:val="bottom"/>
          </w:tcPr>
          <w:p w14:paraId="669C688D" w14:textId="77777777" w:rsidR="00066C63" w:rsidRDefault="00066C63">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69C688E"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69C688F" w14:textId="77777777" w:rsidR="00066C63" w:rsidRDefault="009656F6">
            <w:pPr>
              <w:jc w:val="right"/>
              <w:textAlignment w:val="bottom"/>
            </w:pPr>
            <w:r>
              <w:rPr>
                <w:rFonts w:ascii="Arial" w:eastAsia="宋体" w:hAnsi="Arial" w:cs="Arial"/>
                <w:b/>
                <w:bCs/>
                <w:color w:val="000000"/>
                <w:sz w:val="17"/>
                <w:szCs w:val="17"/>
              </w:rPr>
              <w:t>390</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6890" w14:textId="77777777" w:rsidR="00066C63" w:rsidRDefault="00066C63">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69C6891"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69C6892" w14:textId="77777777" w:rsidR="00066C63" w:rsidRDefault="009656F6">
            <w:pPr>
              <w:jc w:val="right"/>
              <w:textAlignment w:val="bottom"/>
            </w:pPr>
            <w:r>
              <w:rPr>
                <w:rFonts w:ascii="Arial" w:eastAsia="宋体" w:hAnsi="Arial" w:cs="Arial"/>
                <w:b/>
                <w:bCs/>
                <w:color w:val="000000"/>
                <w:sz w:val="17"/>
                <w:szCs w:val="17"/>
              </w:rPr>
              <w:t>115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6893" w14:textId="77777777" w:rsidR="00066C63" w:rsidRDefault="00066C63">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69C6894"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69C6895" w14:textId="77777777" w:rsidR="00066C63" w:rsidRDefault="009656F6">
            <w:pPr>
              <w:jc w:val="right"/>
              <w:textAlignment w:val="bottom"/>
            </w:pPr>
            <w:r>
              <w:rPr>
                <w:rFonts w:ascii="Arial" w:eastAsia="宋体" w:hAnsi="Arial" w:cs="Arial"/>
                <w:b/>
                <w:bCs/>
                <w:color w:val="000000"/>
                <w:sz w:val="17"/>
                <w:szCs w:val="17"/>
              </w:rPr>
              <w:t>(67)</w:t>
            </w:r>
          </w:p>
        </w:tc>
        <w:tc>
          <w:tcPr>
            <w:tcW w:w="0" w:type="auto"/>
            <w:tcBorders>
              <w:top w:val="single" w:sz="8" w:space="0" w:color="E87722"/>
            </w:tcBorders>
            <w:shd w:val="clear" w:color="auto" w:fill="auto"/>
            <w:tcMar>
              <w:top w:w="40" w:type="dxa"/>
              <w:left w:w="0" w:type="dxa"/>
              <w:bottom w:w="40" w:type="dxa"/>
              <w:right w:w="20" w:type="dxa"/>
            </w:tcMar>
            <w:vAlign w:val="bottom"/>
          </w:tcPr>
          <w:p w14:paraId="669C6896" w14:textId="77777777" w:rsidR="00066C63" w:rsidRDefault="00066C63">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69C6897"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69C6898" w14:textId="77777777" w:rsidR="00066C63" w:rsidRDefault="009656F6">
            <w:pPr>
              <w:jc w:val="right"/>
              <w:textAlignment w:val="bottom"/>
            </w:pPr>
            <w:r>
              <w:rPr>
                <w:rFonts w:ascii="Arial" w:eastAsia="宋体" w:hAnsi="Arial" w:cs="Arial"/>
                <w:b/>
                <w:bCs/>
                <w:color w:val="000000"/>
                <w:sz w:val="17"/>
                <w:szCs w:val="17"/>
              </w:rPr>
              <w:t>(56)</w:t>
            </w:r>
          </w:p>
        </w:tc>
        <w:tc>
          <w:tcPr>
            <w:tcW w:w="0" w:type="auto"/>
            <w:tcBorders>
              <w:top w:val="single" w:sz="8" w:space="0" w:color="E87722"/>
            </w:tcBorders>
            <w:shd w:val="clear" w:color="auto" w:fill="auto"/>
            <w:tcMar>
              <w:top w:w="40" w:type="dxa"/>
              <w:left w:w="0" w:type="dxa"/>
              <w:bottom w:w="40" w:type="dxa"/>
              <w:right w:w="20" w:type="dxa"/>
            </w:tcMar>
            <w:vAlign w:val="bottom"/>
          </w:tcPr>
          <w:p w14:paraId="669C6899" w14:textId="77777777" w:rsidR="00066C63" w:rsidRDefault="00066C63">
            <w:pPr>
              <w:jc w:val="right"/>
              <w:rPr>
                <w:rFonts w:ascii="宋体"/>
              </w:rPr>
            </w:pPr>
          </w:p>
        </w:tc>
      </w:tr>
      <w:tr w:rsidR="00066C63" w14:paraId="669C68A1" w14:textId="77777777">
        <w:tc>
          <w:tcPr>
            <w:tcW w:w="0" w:type="auto"/>
            <w:gridSpan w:val="3"/>
            <w:tcBorders>
              <w:top w:val="single" w:sz="8" w:space="0" w:color="E87722"/>
            </w:tcBorders>
            <w:shd w:val="clear" w:color="auto" w:fill="auto"/>
            <w:tcMar>
              <w:top w:w="40" w:type="dxa"/>
              <w:left w:w="20" w:type="dxa"/>
              <w:bottom w:w="40" w:type="dxa"/>
              <w:right w:w="20" w:type="dxa"/>
            </w:tcMar>
            <w:vAlign w:val="center"/>
          </w:tcPr>
          <w:p w14:paraId="669C689B" w14:textId="77777777" w:rsidR="00066C63" w:rsidRDefault="009656F6">
            <w:pPr>
              <w:textAlignment w:val="center"/>
            </w:pPr>
            <w:r>
              <w:rPr>
                <w:rFonts w:ascii="Arial" w:eastAsia="宋体" w:hAnsi="Arial" w:cs="Arial"/>
                <w:color w:val="000000"/>
                <w:sz w:val="17"/>
                <w:szCs w:val="17"/>
              </w:rPr>
              <w:t>Other comprehensive income (loss):</w:t>
            </w:r>
          </w:p>
        </w:tc>
        <w:tc>
          <w:tcPr>
            <w:tcW w:w="0" w:type="auto"/>
            <w:gridSpan w:val="3"/>
            <w:tcBorders>
              <w:top w:val="single" w:sz="8" w:space="0" w:color="E87722"/>
            </w:tcBorders>
            <w:shd w:val="clear" w:color="auto" w:fill="FFF1E7"/>
            <w:tcMar>
              <w:top w:w="0" w:type="dxa"/>
              <w:left w:w="20" w:type="dxa"/>
              <w:bottom w:w="0" w:type="dxa"/>
              <w:right w:w="20" w:type="dxa"/>
            </w:tcMar>
          </w:tcPr>
          <w:p w14:paraId="669C689C" w14:textId="77777777" w:rsidR="00066C63" w:rsidRDefault="00066C63">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669C689D" w14:textId="77777777" w:rsidR="00066C63" w:rsidRDefault="00066C63">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669C689E" w14:textId="77777777" w:rsidR="00066C63" w:rsidRDefault="00066C63">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669C689F" w14:textId="77777777" w:rsidR="00066C63" w:rsidRDefault="00066C63">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669C68A0" w14:textId="77777777" w:rsidR="00066C63" w:rsidRDefault="00066C63">
            <w:pPr>
              <w:rPr>
                <w:rFonts w:ascii="宋体"/>
              </w:rPr>
            </w:pPr>
          </w:p>
        </w:tc>
      </w:tr>
      <w:tr w:rsidR="00066C63" w14:paraId="669C68AD" w14:textId="77777777">
        <w:tc>
          <w:tcPr>
            <w:tcW w:w="0" w:type="auto"/>
            <w:gridSpan w:val="3"/>
            <w:tcBorders>
              <w:top w:val="single" w:sz="8" w:space="0" w:color="808080"/>
            </w:tcBorders>
            <w:shd w:val="clear" w:color="auto" w:fill="auto"/>
            <w:tcMar>
              <w:top w:w="40" w:type="dxa"/>
              <w:left w:w="20" w:type="dxa"/>
              <w:bottom w:w="40" w:type="dxa"/>
              <w:right w:w="20" w:type="dxa"/>
            </w:tcMar>
            <w:vAlign w:val="center"/>
          </w:tcPr>
          <w:p w14:paraId="669C68A2" w14:textId="77777777" w:rsidR="00066C63" w:rsidRDefault="009656F6">
            <w:pPr>
              <w:textAlignment w:val="center"/>
            </w:pPr>
            <w:r>
              <w:rPr>
                <w:rFonts w:ascii="Arial" w:eastAsia="宋体" w:hAnsi="Arial" w:cs="Arial"/>
                <w:color w:val="000000"/>
                <w:sz w:val="17"/>
                <w:szCs w:val="17"/>
              </w:rPr>
              <w:t>Other comprehensive gains (losses) before reclassifications</w:t>
            </w:r>
            <w:r>
              <w:rPr>
                <w:rFonts w:ascii="Arial" w:eastAsia="宋体" w:hAnsi="Arial" w:cs="Arial"/>
                <w:color w:val="000000"/>
                <w:sz w:val="11"/>
                <w:szCs w:val="11"/>
              </w:rPr>
              <w:t>(2)</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8A3" w14:textId="77777777" w:rsidR="00066C63" w:rsidRDefault="009656F6">
            <w:pPr>
              <w:jc w:val="right"/>
              <w:textAlignment w:val="bottom"/>
            </w:pPr>
            <w:r>
              <w:rPr>
                <w:rFonts w:ascii="Arial" w:eastAsia="宋体" w:hAnsi="Arial" w:cs="Arial"/>
                <w:color w:val="000000"/>
                <w:sz w:val="17"/>
                <w:szCs w:val="17"/>
              </w:rPr>
              <w:t>496 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8A4" w14:textId="77777777" w:rsidR="00066C63" w:rsidRDefault="00066C63">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8A5" w14:textId="77777777" w:rsidR="00066C63" w:rsidRDefault="009656F6">
            <w:pPr>
              <w:jc w:val="right"/>
              <w:textAlignment w:val="bottom"/>
            </w:pPr>
            <w:r>
              <w:rPr>
                <w:rFonts w:ascii="Arial" w:eastAsia="宋体" w:hAnsi="Arial" w:cs="Arial"/>
                <w:color w:val="000000"/>
                <w:sz w:val="17"/>
                <w:szCs w:val="17"/>
              </w:rPr>
              <w:t>(753)</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8A6" w14:textId="77777777" w:rsidR="00066C63" w:rsidRDefault="00066C63">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8A7" w14:textId="77777777" w:rsidR="00066C63" w:rsidRDefault="009656F6">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8A8" w14:textId="77777777" w:rsidR="00066C63" w:rsidRDefault="00066C63">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8A9" w14:textId="77777777" w:rsidR="00066C63" w:rsidRDefault="009656F6">
            <w:pPr>
              <w:jc w:val="right"/>
              <w:textAlignment w:val="bottom"/>
            </w:pPr>
            <w:r>
              <w:rPr>
                <w:rFonts w:ascii="Arial" w:eastAsia="宋体" w:hAnsi="Arial" w:cs="Arial"/>
                <w:color w:val="000000"/>
                <w:sz w:val="17"/>
                <w:szCs w:val="17"/>
              </w:rPr>
              <w:t>(21)</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8AA" w14:textId="77777777" w:rsidR="00066C63" w:rsidRDefault="00066C63">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8AB" w14:textId="77777777" w:rsidR="00066C63" w:rsidRDefault="009656F6">
            <w:pPr>
              <w:jc w:val="right"/>
              <w:textAlignment w:val="bottom"/>
            </w:pPr>
            <w:r>
              <w:rPr>
                <w:rFonts w:ascii="Arial" w:eastAsia="宋体" w:hAnsi="Arial" w:cs="Arial"/>
                <w:color w:val="000000"/>
                <w:sz w:val="17"/>
                <w:szCs w:val="17"/>
              </w:rPr>
              <w:t>(278)</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8AC" w14:textId="77777777" w:rsidR="00066C63" w:rsidRDefault="00066C63">
            <w:pPr>
              <w:jc w:val="right"/>
              <w:rPr>
                <w:rFonts w:ascii="宋体"/>
              </w:rPr>
            </w:pPr>
          </w:p>
        </w:tc>
      </w:tr>
      <w:tr w:rsidR="00066C63" w14:paraId="669C68B9" w14:textId="77777777">
        <w:tc>
          <w:tcPr>
            <w:tcW w:w="0" w:type="auto"/>
            <w:gridSpan w:val="3"/>
            <w:tcBorders>
              <w:top w:val="single" w:sz="8" w:space="0" w:color="808080"/>
            </w:tcBorders>
            <w:shd w:val="clear" w:color="auto" w:fill="auto"/>
            <w:tcMar>
              <w:top w:w="40" w:type="dxa"/>
              <w:left w:w="20" w:type="dxa"/>
              <w:bottom w:w="40" w:type="dxa"/>
              <w:right w:w="20" w:type="dxa"/>
            </w:tcMar>
            <w:vAlign w:val="center"/>
          </w:tcPr>
          <w:p w14:paraId="669C68AE" w14:textId="77777777" w:rsidR="00066C63" w:rsidRDefault="009656F6">
            <w:pPr>
              <w:textAlignment w:val="center"/>
            </w:pPr>
            <w:r>
              <w:rPr>
                <w:rFonts w:ascii="Arial" w:eastAsia="宋体" w:hAnsi="Arial" w:cs="Arial"/>
                <w:color w:val="000000"/>
                <w:sz w:val="17"/>
                <w:szCs w:val="17"/>
              </w:rPr>
              <w:t>Reclassifications to net income of previously deferred (gains) losses</w:t>
            </w:r>
            <w:r>
              <w:rPr>
                <w:rFonts w:ascii="Arial" w:eastAsia="宋体" w:hAnsi="Arial" w:cs="Arial"/>
                <w:color w:val="000000"/>
                <w:sz w:val="11"/>
                <w:szCs w:val="11"/>
              </w:rPr>
              <w:t>(3)</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8AF" w14:textId="77777777" w:rsidR="00066C63" w:rsidRDefault="009656F6">
            <w:pPr>
              <w:jc w:val="right"/>
              <w:textAlignment w:val="bottom"/>
            </w:pPr>
            <w:r>
              <w:rPr>
                <w:rFonts w:ascii="Arial" w:eastAsia="宋体" w:hAnsi="Arial" w:cs="Arial"/>
                <w:color w:val="000000"/>
                <w:sz w:val="17"/>
                <w:szCs w:val="17"/>
              </w:rPr>
              <w:t>(2)</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8B0" w14:textId="77777777" w:rsidR="00066C63" w:rsidRDefault="00066C63">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8B1" w14:textId="77777777" w:rsidR="00066C63" w:rsidRDefault="009656F6">
            <w:pPr>
              <w:jc w:val="right"/>
              <w:textAlignment w:val="bottom"/>
            </w:pPr>
            <w:r>
              <w:rPr>
                <w:rFonts w:ascii="Arial" w:eastAsia="宋体" w:hAnsi="Arial" w:cs="Arial"/>
                <w:color w:val="000000"/>
                <w:sz w:val="17"/>
                <w:szCs w:val="17"/>
              </w:rPr>
              <w:t>(125)</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8B2" w14:textId="77777777" w:rsidR="00066C63" w:rsidRDefault="00066C63">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8B3" w14:textId="77777777" w:rsidR="00066C63" w:rsidRDefault="009656F6">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8B4" w14:textId="77777777" w:rsidR="00066C63" w:rsidRDefault="00066C63">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8B5" w14:textId="77777777" w:rsidR="00066C63" w:rsidRDefault="009656F6">
            <w:pPr>
              <w:jc w:val="right"/>
              <w:textAlignment w:val="bottom"/>
            </w:pPr>
            <w:r>
              <w:rPr>
                <w:rFonts w:ascii="Arial" w:eastAsia="宋体" w:hAnsi="Arial" w:cs="Arial"/>
                <w:color w:val="000000"/>
                <w:sz w:val="17"/>
                <w:szCs w:val="17"/>
              </w:rPr>
              <w:t>15 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8B6" w14:textId="77777777" w:rsidR="00066C63" w:rsidRDefault="00066C63">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8B7" w14:textId="77777777" w:rsidR="00066C63" w:rsidRDefault="009656F6">
            <w:pPr>
              <w:jc w:val="right"/>
              <w:textAlignment w:val="bottom"/>
            </w:pPr>
            <w:r>
              <w:rPr>
                <w:rFonts w:ascii="Arial" w:eastAsia="宋体" w:hAnsi="Arial" w:cs="Arial"/>
                <w:color w:val="000000"/>
                <w:sz w:val="17"/>
                <w:szCs w:val="17"/>
              </w:rPr>
              <w:t>(112)</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8B8" w14:textId="77777777" w:rsidR="00066C63" w:rsidRDefault="00066C63">
            <w:pPr>
              <w:jc w:val="right"/>
              <w:rPr>
                <w:rFonts w:ascii="宋体"/>
              </w:rPr>
            </w:pPr>
          </w:p>
        </w:tc>
      </w:tr>
      <w:tr w:rsidR="00066C63" w14:paraId="669C68C5"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8BA" w14:textId="77777777" w:rsidR="00066C63" w:rsidRDefault="009656F6">
            <w:pPr>
              <w:textAlignment w:val="bottom"/>
            </w:pPr>
            <w:r>
              <w:rPr>
                <w:rFonts w:ascii="Arial" w:eastAsia="宋体" w:hAnsi="Arial" w:cs="Arial"/>
                <w:color w:val="000000"/>
                <w:sz w:val="17"/>
                <w:szCs w:val="17"/>
              </w:rPr>
              <w:t>Total other comprehensive income (loss)</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669C68BB" w14:textId="77777777" w:rsidR="00066C63" w:rsidRDefault="009656F6">
            <w:pPr>
              <w:jc w:val="right"/>
              <w:textAlignment w:val="bottom"/>
            </w:pPr>
            <w:r>
              <w:rPr>
                <w:rFonts w:ascii="Arial" w:eastAsia="宋体" w:hAnsi="Arial" w:cs="Arial"/>
                <w:color w:val="000000"/>
                <w:sz w:val="17"/>
                <w:szCs w:val="17"/>
              </w:rPr>
              <w:t>494 </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68BC" w14:textId="77777777" w:rsidR="00066C63" w:rsidRDefault="00066C63">
            <w:pPr>
              <w:jc w:val="right"/>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669C68BD" w14:textId="77777777" w:rsidR="00066C63" w:rsidRDefault="009656F6">
            <w:pPr>
              <w:jc w:val="right"/>
              <w:textAlignment w:val="bottom"/>
            </w:pPr>
            <w:r>
              <w:rPr>
                <w:rFonts w:ascii="Arial" w:eastAsia="宋体" w:hAnsi="Arial" w:cs="Arial"/>
                <w:color w:val="000000"/>
                <w:sz w:val="17"/>
                <w:szCs w:val="17"/>
              </w:rPr>
              <w:t>(878)</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68BE" w14:textId="77777777" w:rsidR="00066C63" w:rsidRDefault="00066C63">
            <w:pPr>
              <w:jc w:val="right"/>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669C68BF" w14:textId="77777777" w:rsidR="00066C63" w:rsidRDefault="009656F6">
            <w:pPr>
              <w:jc w:val="right"/>
              <w:textAlignment w:val="bottom"/>
            </w:pP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68C0" w14:textId="77777777" w:rsidR="00066C63" w:rsidRDefault="00066C63">
            <w:pPr>
              <w:jc w:val="right"/>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669C68C1" w14:textId="77777777" w:rsidR="00066C63" w:rsidRDefault="009656F6">
            <w:pPr>
              <w:jc w:val="right"/>
              <w:textAlignment w:val="bottom"/>
            </w:pPr>
            <w:r>
              <w:rPr>
                <w:rFonts w:ascii="Arial" w:eastAsia="宋体" w:hAnsi="Arial" w:cs="Arial"/>
                <w:color w:val="000000"/>
                <w:sz w:val="17"/>
                <w:szCs w:val="17"/>
              </w:rPr>
              <w:t>(6)</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68C2" w14:textId="77777777" w:rsidR="00066C63" w:rsidRDefault="00066C63">
            <w:pPr>
              <w:jc w:val="right"/>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669C68C3" w14:textId="77777777" w:rsidR="00066C63" w:rsidRDefault="009656F6">
            <w:pPr>
              <w:jc w:val="right"/>
              <w:textAlignment w:val="bottom"/>
            </w:pPr>
            <w:r>
              <w:rPr>
                <w:rFonts w:ascii="Arial" w:eastAsia="宋体" w:hAnsi="Arial" w:cs="Arial"/>
                <w:color w:val="000000"/>
                <w:sz w:val="17"/>
                <w:szCs w:val="17"/>
              </w:rPr>
              <w:t>(390)</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68C4" w14:textId="77777777" w:rsidR="00066C63" w:rsidRDefault="00066C63">
            <w:pPr>
              <w:jc w:val="right"/>
              <w:rPr>
                <w:rFonts w:ascii="宋体"/>
              </w:rPr>
            </w:pPr>
          </w:p>
        </w:tc>
      </w:tr>
      <w:tr w:rsidR="00066C63" w14:paraId="669C68D6"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669C68C6" w14:textId="77777777" w:rsidR="00066C63" w:rsidRDefault="009656F6">
            <w:pPr>
              <w:textAlignment w:val="bottom"/>
            </w:pPr>
            <w:r>
              <w:rPr>
                <w:rFonts w:ascii="Arial" w:eastAsia="宋体" w:hAnsi="Arial" w:cs="Arial"/>
                <w:b/>
                <w:bCs/>
                <w:color w:val="000000"/>
                <w:sz w:val="17"/>
                <w:szCs w:val="17"/>
              </w:rPr>
              <w:t>Balance at February 28, 2021</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69C68C7"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669C68C8" w14:textId="77777777" w:rsidR="00066C63" w:rsidRDefault="009656F6">
            <w:pPr>
              <w:jc w:val="right"/>
              <w:textAlignment w:val="bottom"/>
            </w:pPr>
            <w:r>
              <w:rPr>
                <w:rFonts w:ascii="Arial" w:eastAsia="宋体" w:hAnsi="Arial" w:cs="Arial"/>
                <w:b/>
                <w:bCs/>
                <w:color w:val="000000"/>
                <w:sz w:val="17"/>
                <w:szCs w:val="17"/>
              </w:rPr>
              <w:t>—</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69C68C9" w14:textId="77777777" w:rsidR="00066C63" w:rsidRDefault="00066C63">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69C68CA"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669C68CB" w14:textId="77777777" w:rsidR="00066C63" w:rsidRDefault="009656F6">
            <w:pPr>
              <w:jc w:val="right"/>
              <w:textAlignment w:val="bottom"/>
            </w:pPr>
            <w:r>
              <w:rPr>
                <w:rFonts w:ascii="Arial" w:eastAsia="宋体" w:hAnsi="Arial" w:cs="Arial"/>
                <w:b/>
                <w:bCs/>
                <w:color w:val="000000"/>
                <w:sz w:val="17"/>
                <w:szCs w:val="17"/>
              </w:rPr>
              <w:t>(488)</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69C68CC" w14:textId="77777777" w:rsidR="00066C63" w:rsidRDefault="00066C63">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69C68CD"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669C68CE" w14:textId="77777777" w:rsidR="00066C63" w:rsidRDefault="009656F6">
            <w:pPr>
              <w:jc w:val="right"/>
              <w:textAlignment w:val="bottom"/>
            </w:pPr>
            <w:r>
              <w:rPr>
                <w:rFonts w:ascii="Arial" w:eastAsia="宋体" w:hAnsi="Arial" w:cs="Arial"/>
                <w:b/>
                <w:bCs/>
                <w:color w:val="000000"/>
                <w:sz w:val="17"/>
                <w:szCs w:val="17"/>
              </w:rPr>
              <w:t>115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69C68CF" w14:textId="77777777" w:rsidR="00066C63" w:rsidRDefault="00066C63">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69C68D0"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669C68D1" w14:textId="77777777" w:rsidR="00066C63" w:rsidRDefault="009656F6">
            <w:pPr>
              <w:jc w:val="right"/>
              <w:textAlignment w:val="bottom"/>
            </w:pPr>
            <w:r>
              <w:rPr>
                <w:rFonts w:ascii="Arial" w:eastAsia="宋体" w:hAnsi="Arial" w:cs="Arial"/>
                <w:b/>
                <w:bCs/>
                <w:color w:val="000000"/>
                <w:sz w:val="17"/>
                <w:szCs w:val="17"/>
              </w:rPr>
              <w:t>(73)</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69C68D2" w14:textId="77777777" w:rsidR="00066C63" w:rsidRDefault="00066C63">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69C68D3"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669C68D4" w14:textId="77777777" w:rsidR="00066C63" w:rsidRDefault="009656F6">
            <w:pPr>
              <w:jc w:val="right"/>
              <w:textAlignment w:val="bottom"/>
            </w:pPr>
            <w:r>
              <w:rPr>
                <w:rFonts w:ascii="Arial" w:eastAsia="宋体" w:hAnsi="Arial" w:cs="Arial"/>
                <w:b/>
                <w:bCs/>
                <w:color w:val="000000"/>
                <w:sz w:val="17"/>
                <w:szCs w:val="17"/>
              </w:rPr>
              <w:t>(446)</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69C68D5" w14:textId="77777777" w:rsidR="00066C63" w:rsidRDefault="00066C63">
            <w:pPr>
              <w:jc w:val="right"/>
              <w:rPr>
                <w:rFonts w:ascii="宋体"/>
              </w:rPr>
            </w:pPr>
          </w:p>
        </w:tc>
      </w:tr>
    </w:tbl>
    <w:p w14:paraId="669C68D7" w14:textId="77777777" w:rsidR="00066C63" w:rsidRDefault="009656F6">
      <w:pPr>
        <w:spacing w:before="60" w:after="60"/>
        <w:ind w:hanging="360"/>
      </w:pPr>
      <w:r>
        <w:rPr>
          <w:rFonts w:ascii="Arial" w:eastAsia="宋体" w:hAnsi="Arial" w:cs="Arial"/>
          <w:i/>
          <w:iCs/>
          <w:color w:val="000000"/>
          <w:sz w:val="14"/>
          <w:szCs w:val="14"/>
        </w:rPr>
        <w:t>(1)The accumulated foreign currency translation adjustment and</w:t>
      </w:r>
      <w:r>
        <w:rPr>
          <w:rFonts w:ascii="Arial" w:eastAsia="宋体" w:hAnsi="Arial" w:cs="Arial"/>
          <w:i/>
          <w:iCs/>
          <w:color w:val="000000"/>
          <w:sz w:val="14"/>
          <w:szCs w:val="14"/>
        </w:rPr>
        <w:t xml:space="preserve"> net investment hedge gains/losses related to an investment in a foreign subsidiary are reclassified to Net income upon sale or upon complete or substantially complete liquidation of the respective entity.</w:t>
      </w:r>
    </w:p>
    <w:p w14:paraId="669C68D8" w14:textId="77777777" w:rsidR="00066C63" w:rsidRDefault="009656F6">
      <w:pPr>
        <w:spacing w:before="60" w:after="60"/>
        <w:ind w:hanging="360"/>
      </w:pPr>
      <w:r>
        <w:rPr>
          <w:rFonts w:ascii="Arial" w:eastAsia="宋体" w:hAnsi="Arial" w:cs="Arial"/>
          <w:i/>
          <w:iCs/>
          <w:color w:val="000000"/>
          <w:sz w:val="14"/>
          <w:szCs w:val="14"/>
        </w:rPr>
        <w:t xml:space="preserve">(2)Net of tax benefit (expense) of $0 </w:t>
      </w:r>
      <w:r>
        <w:rPr>
          <w:rFonts w:ascii="Arial" w:eastAsia="宋体" w:hAnsi="Arial" w:cs="Arial"/>
          <w:i/>
          <w:iCs/>
          <w:color w:val="000000"/>
          <w:sz w:val="14"/>
          <w:szCs w:val="14"/>
        </w:rPr>
        <w:t>million, $(3) million, $0 million, $2 million and $(1) million, respectively.</w:t>
      </w:r>
    </w:p>
    <w:p w14:paraId="669C68D9" w14:textId="77777777" w:rsidR="00066C63" w:rsidRDefault="009656F6">
      <w:pPr>
        <w:spacing w:before="60" w:after="60"/>
        <w:ind w:hanging="360"/>
      </w:pPr>
      <w:r>
        <w:rPr>
          <w:rFonts w:ascii="Arial" w:eastAsia="宋体" w:hAnsi="Arial" w:cs="Arial"/>
          <w:i/>
          <w:iCs/>
          <w:color w:val="000000"/>
          <w:sz w:val="14"/>
          <w:szCs w:val="14"/>
        </w:rPr>
        <w:t>(3)Net of tax (benefit) expense of $0 million, $7 million, $0 million, $0 million and $7 million, respectively.</w:t>
      </w:r>
    </w:p>
    <w:p w14:paraId="669C68DA" w14:textId="77777777" w:rsidR="00066C63" w:rsidRDefault="009656F6">
      <w:pPr>
        <w:spacing w:before="120" w:after="120"/>
        <w:jc w:val="right"/>
      </w:pPr>
      <w:r>
        <w:rPr>
          <w:rFonts w:ascii="Arial" w:eastAsia="宋体" w:hAnsi="Arial" w:cs="Arial"/>
          <w:color w:val="E87722"/>
          <w:sz w:val="17"/>
          <w:szCs w:val="17"/>
        </w:rPr>
        <w:t>17</w:t>
      </w:r>
    </w:p>
    <w:p w14:paraId="669C68DB" w14:textId="77777777" w:rsidR="00066C63" w:rsidRDefault="009656F6">
      <w:r>
        <w:pict w14:anchorId="669C7E41">
          <v:rect id="_x0000_i1043" style="width:415.3pt;height:1.5pt" o:hralign="center" o:hrstd="t" o:hr="t" fillcolor="#a0a0a0" stroked="f"/>
        </w:pict>
      </w:r>
    </w:p>
    <w:p w14:paraId="669C68DC" w14:textId="77777777" w:rsidR="00066C63" w:rsidRDefault="00066C63"/>
    <w:p w14:paraId="669C68DD" w14:textId="77777777" w:rsidR="00066C63" w:rsidRDefault="009656F6">
      <w:hyperlink r:id="rId88" w:anchor="i1e99cb26debe49fe8b698d0f0eb1273a_7" w:history="1">
        <w:r>
          <w:rPr>
            <w:rStyle w:val="a5"/>
            <w:rFonts w:ascii="sans-serif" w:eastAsia="sans-serif" w:hAnsi="sans-serif" w:cs="sans-serif"/>
            <w:sz w:val="17"/>
            <w:szCs w:val="17"/>
          </w:rPr>
          <w:t>Table of Contents</w:t>
        </w:r>
      </w:hyperlink>
    </w:p>
    <w:p w14:paraId="669C68DE" w14:textId="77777777" w:rsidR="00066C63" w:rsidRDefault="00066C63"/>
    <w:tbl>
      <w:tblPr>
        <w:tblW w:w="4872" w:type="pct"/>
        <w:tblCellMar>
          <w:top w:w="15" w:type="dxa"/>
          <w:left w:w="15" w:type="dxa"/>
          <w:bottom w:w="15" w:type="dxa"/>
          <w:right w:w="15" w:type="dxa"/>
        </w:tblCellMar>
        <w:tblLook w:val="04A0" w:firstRow="1" w:lastRow="0" w:firstColumn="1" w:lastColumn="0" w:noHBand="0" w:noVBand="1"/>
      </w:tblPr>
      <w:tblGrid>
        <w:gridCol w:w="40"/>
        <w:gridCol w:w="3485"/>
        <w:gridCol w:w="39"/>
        <w:gridCol w:w="116"/>
        <w:gridCol w:w="1032"/>
        <w:gridCol w:w="36"/>
        <w:gridCol w:w="116"/>
        <w:gridCol w:w="632"/>
        <w:gridCol w:w="36"/>
        <w:gridCol w:w="116"/>
        <w:gridCol w:w="869"/>
        <w:gridCol w:w="36"/>
        <w:gridCol w:w="116"/>
        <w:gridCol w:w="633"/>
        <w:gridCol w:w="36"/>
        <w:gridCol w:w="116"/>
        <w:gridCol w:w="633"/>
        <w:gridCol w:w="36"/>
      </w:tblGrid>
      <w:tr w:rsidR="00066C63" w14:paraId="669C68F1" w14:textId="77777777">
        <w:tc>
          <w:tcPr>
            <w:tcW w:w="50" w:type="pct"/>
            <w:shd w:val="clear" w:color="auto" w:fill="auto"/>
          </w:tcPr>
          <w:p w14:paraId="669C68DF" w14:textId="77777777" w:rsidR="00066C63" w:rsidRDefault="00066C63">
            <w:pPr>
              <w:rPr>
                <w:rFonts w:ascii="宋体"/>
              </w:rPr>
            </w:pPr>
          </w:p>
        </w:tc>
        <w:tc>
          <w:tcPr>
            <w:tcW w:w="2263" w:type="pct"/>
            <w:shd w:val="clear" w:color="auto" w:fill="auto"/>
          </w:tcPr>
          <w:p w14:paraId="669C68E0" w14:textId="77777777" w:rsidR="00066C63" w:rsidRDefault="00066C63">
            <w:pPr>
              <w:rPr>
                <w:rFonts w:ascii="宋体"/>
              </w:rPr>
            </w:pPr>
          </w:p>
        </w:tc>
        <w:tc>
          <w:tcPr>
            <w:tcW w:w="5" w:type="pct"/>
            <w:shd w:val="clear" w:color="auto" w:fill="auto"/>
          </w:tcPr>
          <w:p w14:paraId="669C68E1" w14:textId="77777777" w:rsidR="00066C63" w:rsidRDefault="00066C63">
            <w:pPr>
              <w:rPr>
                <w:rFonts w:ascii="宋体"/>
              </w:rPr>
            </w:pPr>
          </w:p>
        </w:tc>
        <w:tc>
          <w:tcPr>
            <w:tcW w:w="50" w:type="pct"/>
            <w:shd w:val="clear" w:color="auto" w:fill="auto"/>
          </w:tcPr>
          <w:p w14:paraId="669C68E2" w14:textId="77777777" w:rsidR="00066C63" w:rsidRDefault="00066C63">
            <w:pPr>
              <w:rPr>
                <w:rFonts w:ascii="宋体"/>
              </w:rPr>
            </w:pPr>
          </w:p>
        </w:tc>
        <w:tc>
          <w:tcPr>
            <w:tcW w:w="561" w:type="pct"/>
            <w:shd w:val="clear" w:color="auto" w:fill="auto"/>
          </w:tcPr>
          <w:p w14:paraId="669C68E3" w14:textId="77777777" w:rsidR="00066C63" w:rsidRDefault="00066C63">
            <w:pPr>
              <w:rPr>
                <w:rFonts w:ascii="宋体"/>
              </w:rPr>
            </w:pPr>
          </w:p>
        </w:tc>
        <w:tc>
          <w:tcPr>
            <w:tcW w:w="5" w:type="pct"/>
            <w:shd w:val="clear" w:color="auto" w:fill="auto"/>
          </w:tcPr>
          <w:p w14:paraId="669C68E4" w14:textId="77777777" w:rsidR="00066C63" w:rsidRDefault="00066C63">
            <w:pPr>
              <w:rPr>
                <w:rFonts w:ascii="宋体"/>
              </w:rPr>
            </w:pPr>
          </w:p>
        </w:tc>
        <w:tc>
          <w:tcPr>
            <w:tcW w:w="50" w:type="pct"/>
            <w:shd w:val="clear" w:color="auto" w:fill="auto"/>
          </w:tcPr>
          <w:p w14:paraId="669C68E5" w14:textId="77777777" w:rsidR="00066C63" w:rsidRDefault="00066C63">
            <w:pPr>
              <w:rPr>
                <w:rFonts w:ascii="宋体"/>
              </w:rPr>
            </w:pPr>
          </w:p>
        </w:tc>
        <w:tc>
          <w:tcPr>
            <w:tcW w:w="461" w:type="pct"/>
            <w:shd w:val="clear" w:color="auto" w:fill="auto"/>
          </w:tcPr>
          <w:p w14:paraId="669C68E6" w14:textId="77777777" w:rsidR="00066C63" w:rsidRDefault="00066C63">
            <w:pPr>
              <w:rPr>
                <w:rFonts w:ascii="宋体"/>
              </w:rPr>
            </w:pPr>
          </w:p>
        </w:tc>
        <w:tc>
          <w:tcPr>
            <w:tcW w:w="5" w:type="pct"/>
            <w:shd w:val="clear" w:color="auto" w:fill="auto"/>
          </w:tcPr>
          <w:p w14:paraId="669C68E7" w14:textId="77777777" w:rsidR="00066C63" w:rsidRDefault="00066C63">
            <w:pPr>
              <w:rPr>
                <w:rFonts w:ascii="宋体"/>
              </w:rPr>
            </w:pPr>
          </w:p>
        </w:tc>
        <w:tc>
          <w:tcPr>
            <w:tcW w:w="50" w:type="pct"/>
            <w:shd w:val="clear" w:color="auto" w:fill="auto"/>
          </w:tcPr>
          <w:p w14:paraId="669C68E8" w14:textId="77777777" w:rsidR="00066C63" w:rsidRDefault="00066C63">
            <w:pPr>
              <w:rPr>
                <w:rFonts w:ascii="宋体"/>
              </w:rPr>
            </w:pPr>
          </w:p>
        </w:tc>
        <w:tc>
          <w:tcPr>
            <w:tcW w:w="461" w:type="pct"/>
            <w:shd w:val="clear" w:color="auto" w:fill="auto"/>
          </w:tcPr>
          <w:p w14:paraId="669C68E9" w14:textId="77777777" w:rsidR="00066C63" w:rsidRDefault="00066C63">
            <w:pPr>
              <w:rPr>
                <w:rFonts w:ascii="宋体"/>
              </w:rPr>
            </w:pPr>
          </w:p>
        </w:tc>
        <w:tc>
          <w:tcPr>
            <w:tcW w:w="5" w:type="pct"/>
            <w:shd w:val="clear" w:color="auto" w:fill="auto"/>
          </w:tcPr>
          <w:p w14:paraId="669C68EA" w14:textId="77777777" w:rsidR="00066C63" w:rsidRDefault="00066C63">
            <w:pPr>
              <w:rPr>
                <w:rFonts w:ascii="宋体"/>
              </w:rPr>
            </w:pPr>
          </w:p>
        </w:tc>
        <w:tc>
          <w:tcPr>
            <w:tcW w:w="50" w:type="pct"/>
            <w:shd w:val="clear" w:color="auto" w:fill="auto"/>
          </w:tcPr>
          <w:p w14:paraId="669C68EB" w14:textId="77777777" w:rsidR="00066C63" w:rsidRDefault="00066C63">
            <w:pPr>
              <w:rPr>
                <w:rFonts w:ascii="宋体"/>
              </w:rPr>
            </w:pPr>
          </w:p>
        </w:tc>
        <w:tc>
          <w:tcPr>
            <w:tcW w:w="461" w:type="pct"/>
            <w:shd w:val="clear" w:color="auto" w:fill="auto"/>
          </w:tcPr>
          <w:p w14:paraId="669C68EC" w14:textId="77777777" w:rsidR="00066C63" w:rsidRDefault="00066C63">
            <w:pPr>
              <w:rPr>
                <w:rFonts w:ascii="宋体"/>
              </w:rPr>
            </w:pPr>
          </w:p>
        </w:tc>
        <w:tc>
          <w:tcPr>
            <w:tcW w:w="5" w:type="pct"/>
            <w:shd w:val="clear" w:color="auto" w:fill="auto"/>
          </w:tcPr>
          <w:p w14:paraId="669C68ED" w14:textId="77777777" w:rsidR="00066C63" w:rsidRDefault="00066C63">
            <w:pPr>
              <w:rPr>
                <w:rFonts w:ascii="宋体"/>
              </w:rPr>
            </w:pPr>
          </w:p>
        </w:tc>
        <w:tc>
          <w:tcPr>
            <w:tcW w:w="50" w:type="pct"/>
            <w:shd w:val="clear" w:color="auto" w:fill="auto"/>
          </w:tcPr>
          <w:p w14:paraId="669C68EE" w14:textId="77777777" w:rsidR="00066C63" w:rsidRDefault="00066C63">
            <w:pPr>
              <w:rPr>
                <w:rFonts w:ascii="宋体"/>
              </w:rPr>
            </w:pPr>
          </w:p>
        </w:tc>
        <w:tc>
          <w:tcPr>
            <w:tcW w:w="461" w:type="pct"/>
            <w:shd w:val="clear" w:color="auto" w:fill="auto"/>
          </w:tcPr>
          <w:p w14:paraId="669C68EF" w14:textId="77777777" w:rsidR="00066C63" w:rsidRDefault="00066C63">
            <w:pPr>
              <w:rPr>
                <w:rFonts w:ascii="宋体"/>
              </w:rPr>
            </w:pPr>
          </w:p>
        </w:tc>
        <w:tc>
          <w:tcPr>
            <w:tcW w:w="5" w:type="pct"/>
            <w:shd w:val="clear" w:color="auto" w:fill="auto"/>
          </w:tcPr>
          <w:p w14:paraId="669C68F0" w14:textId="77777777" w:rsidR="00066C63" w:rsidRDefault="00066C63">
            <w:pPr>
              <w:rPr>
                <w:rFonts w:ascii="宋体"/>
              </w:rPr>
            </w:pPr>
          </w:p>
        </w:tc>
      </w:tr>
      <w:tr w:rsidR="00066C63" w14:paraId="669C68F8" w14:textId="77777777">
        <w:tc>
          <w:tcPr>
            <w:tcW w:w="0" w:type="auto"/>
            <w:gridSpan w:val="3"/>
            <w:shd w:val="clear" w:color="auto" w:fill="auto"/>
            <w:tcMar>
              <w:top w:w="40" w:type="dxa"/>
              <w:left w:w="20" w:type="dxa"/>
              <w:bottom w:w="40" w:type="dxa"/>
              <w:right w:w="20" w:type="dxa"/>
            </w:tcMar>
            <w:vAlign w:val="bottom"/>
          </w:tcPr>
          <w:p w14:paraId="669C68F2" w14:textId="77777777" w:rsidR="00066C63" w:rsidRDefault="009656F6">
            <w:pPr>
              <w:textAlignment w:val="bottom"/>
            </w:pPr>
            <w:r>
              <w:rPr>
                <w:rFonts w:ascii="Arial Narrow" w:eastAsia="Arial Narrow" w:hAnsi="Arial Narrow" w:cs="Arial Narrow"/>
                <w:i/>
                <w:iCs/>
                <w:color w:val="000000"/>
                <w:sz w:val="17"/>
                <w:szCs w:val="17"/>
              </w:rPr>
              <w:t>(Dollars in millions)</w:t>
            </w:r>
          </w:p>
        </w:tc>
        <w:tc>
          <w:tcPr>
            <w:tcW w:w="0" w:type="auto"/>
            <w:gridSpan w:val="3"/>
            <w:shd w:val="clear" w:color="auto" w:fill="auto"/>
            <w:tcMar>
              <w:top w:w="40" w:type="dxa"/>
              <w:left w:w="20" w:type="dxa"/>
              <w:bottom w:w="40" w:type="dxa"/>
              <w:right w:w="20" w:type="dxa"/>
            </w:tcMar>
            <w:vAlign w:val="bottom"/>
          </w:tcPr>
          <w:p w14:paraId="669C68F3" w14:textId="77777777" w:rsidR="00066C63" w:rsidRDefault="009656F6">
            <w:pPr>
              <w:jc w:val="right"/>
              <w:textAlignment w:val="bottom"/>
            </w:pPr>
            <w:r>
              <w:rPr>
                <w:rFonts w:ascii="sans-serif" w:eastAsia="sans-serif" w:hAnsi="sans-serif" w:cs="sans-serif"/>
                <w:b/>
                <w:bCs/>
                <w:color w:val="000000"/>
                <w:sz w:val="17"/>
                <w:szCs w:val="17"/>
              </w:rPr>
              <w:t>FOREIGN CURRENCY TRANSLATION ADJUSTMENT</w:t>
            </w:r>
            <w:r>
              <w:rPr>
                <w:rFonts w:ascii="sans-serif" w:eastAsia="sans-serif" w:hAnsi="sans-serif" w:cs="sans-serif"/>
                <w:b/>
                <w:bCs/>
                <w:color w:val="000000"/>
                <w:sz w:val="11"/>
                <w:szCs w:val="11"/>
              </w:rPr>
              <w:t>(1)</w:t>
            </w:r>
          </w:p>
        </w:tc>
        <w:tc>
          <w:tcPr>
            <w:tcW w:w="0" w:type="auto"/>
            <w:gridSpan w:val="3"/>
            <w:shd w:val="clear" w:color="auto" w:fill="auto"/>
            <w:tcMar>
              <w:top w:w="40" w:type="dxa"/>
              <w:left w:w="20" w:type="dxa"/>
              <w:bottom w:w="40" w:type="dxa"/>
              <w:right w:w="20" w:type="dxa"/>
            </w:tcMar>
            <w:vAlign w:val="bottom"/>
          </w:tcPr>
          <w:p w14:paraId="669C68F4" w14:textId="77777777" w:rsidR="00066C63" w:rsidRDefault="009656F6">
            <w:pPr>
              <w:jc w:val="right"/>
              <w:textAlignment w:val="bottom"/>
            </w:pPr>
            <w:r>
              <w:rPr>
                <w:rFonts w:ascii="sans-serif" w:eastAsia="sans-serif" w:hAnsi="sans-serif" w:cs="sans-serif"/>
                <w:b/>
                <w:bCs/>
                <w:color w:val="000000"/>
                <w:sz w:val="17"/>
                <w:szCs w:val="17"/>
              </w:rPr>
              <w:t>CASH FLOW HEDGES</w:t>
            </w:r>
          </w:p>
        </w:tc>
        <w:tc>
          <w:tcPr>
            <w:tcW w:w="0" w:type="auto"/>
            <w:gridSpan w:val="3"/>
            <w:shd w:val="clear" w:color="auto" w:fill="auto"/>
            <w:tcMar>
              <w:top w:w="40" w:type="dxa"/>
              <w:left w:w="20" w:type="dxa"/>
              <w:bottom w:w="40" w:type="dxa"/>
              <w:right w:w="20" w:type="dxa"/>
            </w:tcMar>
            <w:vAlign w:val="bottom"/>
          </w:tcPr>
          <w:p w14:paraId="669C68F5" w14:textId="77777777" w:rsidR="00066C63" w:rsidRDefault="009656F6">
            <w:pPr>
              <w:jc w:val="right"/>
              <w:textAlignment w:val="bottom"/>
            </w:pPr>
            <w:r>
              <w:rPr>
                <w:rFonts w:ascii="sans-serif" w:eastAsia="sans-serif" w:hAnsi="sans-serif" w:cs="sans-serif"/>
                <w:b/>
                <w:bCs/>
                <w:color w:val="000000"/>
                <w:sz w:val="17"/>
                <w:szCs w:val="17"/>
              </w:rPr>
              <w:t>NET INVESTMENT HEDGES</w:t>
            </w:r>
            <w:r>
              <w:rPr>
                <w:rFonts w:ascii="sans-serif" w:eastAsia="sans-serif" w:hAnsi="sans-serif" w:cs="sans-serif"/>
                <w:b/>
                <w:bCs/>
                <w:color w:val="000000"/>
                <w:sz w:val="11"/>
                <w:szCs w:val="11"/>
              </w:rPr>
              <w:t>(1)</w:t>
            </w:r>
          </w:p>
        </w:tc>
        <w:tc>
          <w:tcPr>
            <w:tcW w:w="0" w:type="auto"/>
            <w:gridSpan w:val="3"/>
            <w:shd w:val="clear" w:color="auto" w:fill="auto"/>
            <w:tcMar>
              <w:top w:w="40" w:type="dxa"/>
              <w:left w:w="20" w:type="dxa"/>
              <w:bottom w:w="40" w:type="dxa"/>
              <w:right w:w="20" w:type="dxa"/>
            </w:tcMar>
            <w:vAlign w:val="bottom"/>
          </w:tcPr>
          <w:p w14:paraId="669C68F6" w14:textId="77777777" w:rsidR="00066C63" w:rsidRDefault="009656F6">
            <w:pPr>
              <w:jc w:val="right"/>
              <w:textAlignment w:val="bottom"/>
            </w:pPr>
            <w:r>
              <w:rPr>
                <w:rFonts w:ascii="sans-serif" w:eastAsia="sans-serif" w:hAnsi="sans-serif" w:cs="sans-serif"/>
                <w:b/>
                <w:bCs/>
                <w:color w:val="000000"/>
                <w:sz w:val="17"/>
                <w:szCs w:val="17"/>
              </w:rPr>
              <w:t>OTHER</w:t>
            </w:r>
          </w:p>
        </w:tc>
        <w:tc>
          <w:tcPr>
            <w:tcW w:w="0" w:type="auto"/>
            <w:gridSpan w:val="3"/>
            <w:shd w:val="clear" w:color="auto" w:fill="auto"/>
            <w:tcMar>
              <w:top w:w="40" w:type="dxa"/>
              <w:left w:w="20" w:type="dxa"/>
              <w:bottom w:w="40" w:type="dxa"/>
              <w:right w:w="20" w:type="dxa"/>
            </w:tcMar>
            <w:vAlign w:val="bottom"/>
          </w:tcPr>
          <w:p w14:paraId="669C68F7" w14:textId="77777777" w:rsidR="00066C63" w:rsidRDefault="009656F6">
            <w:pPr>
              <w:jc w:val="right"/>
              <w:textAlignment w:val="bottom"/>
            </w:pPr>
            <w:r>
              <w:rPr>
                <w:rFonts w:ascii="sans-serif" w:eastAsia="sans-serif" w:hAnsi="sans-serif" w:cs="sans-serif"/>
                <w:b/>
                <w:bCs/>
                <w:color w:val="000000"/>
                <w:sz w:val="17"/>
                <w:szCs w:val="17"/>
              </w:rPr>
              <w:t>TOTAL</w:t>
            </w:r>
          </w:p>
        </w:tc>
      </w:tr>
      <w:tr w:rsidR="00066C63" w14:paraId="669C6909"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8F9" w14:textId="77777777" w:rsidR="00066C63" w:rsidRDefault="009656F6">
            <w:pPr>
              <w:textAlignment w:val="bottom"/>
            </w:pPr>
            <w:r>
              <w:rPr>
                <w:rFonts w:ascii="Arial" w:eastAsia="宋体" w:hAnsi="Arial" w:cs="Arial"/>
                <w:b/>
                <w:bCs/>
                <w:color w:val="000000"/>
                <w:sz w:val="17"/>
                <w:szCs w:val="17"/>
              </w:rPr>
              <w:t>Balance at May 31, 2019</w:t>
            </w:r>
          </w:p>
        </w:tc>
        <w:tc>
          <w:tcPr>
            <w:tcW w:w="0" w:type="auto"/>
            <w:tcBorders>
              <w:top w:val="single" w:sz="8" w:space="0" w:color="E87722"/>
            </w:tcBorders>
            <w:shd w:val="clear" w:color="auto" w:fill="auto"/>
            <w:tcMar>
              <w:top w:w="40" w:type="dxa"/>
              <w:left w:w="20" w:type="dxa"/>
              <w:bottom w:w="40" w:type="dxa"/>
              <w:right w:w="0" w:type="dxa"/>
            </w:tcMar>
            <w:vAlign w:val="bottom"/>
          </w:tcPr>
          <w:p w14:paraId="669C68FA"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69C68FB" w14:textId="77777777" w:rsidR="00066C63" w:rsidRDefault="009656F6">
            <w:pPr>
              <w:jc w:val="right"/>
              <w:textAlignment w:val="bottom"/>
            </w:pPr>
            <w:r>
              <w:rPr>
                <w:rFonts w:ascii="Arial" w:eastAsia="宋体" w:hAnsi="Arial" w:cs="Arial"/>
                <w:b/>
                <w:bCs/>
                <w:color w:val="000000"/>
                <w:sz w:val="17"/>
                <w:szCs w:val="17"/>
              </w:rPr>
              <w:t>(346)</w:t>
            </w:r>
          </w:p>
        </w:tc>
        <w:tc>
          <w:tcPr>
            <w:tcW w:w="0" w:type="auto"/>
            <w:tcBorders>
              <w:top w:val="single" w:sz="8" w:space="0" w:color="E87722"/>
            </w:tcBorders>
            <w:shd w:val="clear" w:color="auto" w:fill="auto"/>
            <w:tcMar>
              <w:top w:w="40" w:type="dxa"/>
              <w:left w:w="0" w:type="dxa"/>
              <w:bottom w:w="40" w:type="dxa"/>
              <w:right w:w="20" w:type="dxa"/>
            </w:tcMar>
            <w:vAlign w:val="bottom"/>
          </w:tcPr>
          <w:p w14:paraId="669C68FC" w14:textId="77777777" w:rsidR="00066C63" w:rsidRDefault="00066C63">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69C68FD"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69C68FE" w14:textId="77777777" w:rsidR="00066C63" w:rsidRDefault="009656F6">
            <w:pPr>
              <w:jc w:val="right"/>
              <w:textAlignment w:val="bottom"/>
            </w:pPr>
            <w:r>
              <w:rPr>
                <w:rFonts w:ascii="Arial" w:eastAsia="宋体" w:hAnsi="Arial" w:cs="Arial"/>
                <w:b/>
                <w:bCs/>
                <w:color w:val="000000"/>
                <w:sz w:val="17"/>
                <w:szCs w:val="17"/>
              </w:rPr>
              <w:t>520</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68FF" w14:textId="77777777" w:rsidR="00066C63" w:rsidRDefault="00066C63">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69C6900"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69C6901" w14:textId="77777777" w:rsidR="00066C63" w:rsidRDefault="009656F6">
            <w:pPr>
              <w:jc w:val="right"/>
              <w:textAlignment w:val="bottom"/>
            </w:pPr>
            <w:r>
              <w:rPr>
                <w:rFonts w:ascii="Arial" w:eastAsia="宋体" w:hAnsi="Arial" w:cs="Arial"/>
                <w:b/>
                <w:bCs/>
                <w:color w:val="000000"/>
                <w:sz w:val="17"/>
                <w:szCs w:val="17"/>
              </w:rPr>
              <w:t>115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6902" w14:textId="77777777" w:rsidR="00066C63" w:rsidRDefault="00066C63">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69C6903"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69C6904" w14:textId="77777777" w:rsidR="00066C63" w:rsidRDefault="009656F6">
            <w:pPr>
              <w:jc w:val="right"/>
              <w:textAlignment w:val="bottom"/>
            </w:pPr>
            <w:r>
              <w:rPr>
                <w:rFonts w:ascii="Arial" w:eastAsia="宋体" w:hAnsi="Arial" w:cs="Arial"/>
                <w:b/>
                <w:bCs/>
                <w:color w:val="000000"/>
                <w:sz w:val="17"/>
                <w:szCs w:val="17"/>
              </w:rPr>
              <w:t>(58)</w:t>
            </w:r>
          </w:p>
        </w:tc>
        <w:tc>
          <w:tcPr>
            <w:tcW w:w="0" w:type="auto"/>
            <w:tcBorders>
              <w:top w:val="single" w:sz="8" w:space="0" w:color="E87722"/>
            </w:tcBorders>
            <w:shd w:val="clear" w:color="auto" w:fill="auto"/>
            <w:tcMar>
              <w:top w:w="40" w:type="dxa"/>
              <w:left w:w="0" w:type="dxa"/>
              <w:bottom w:w="40" w:type="dxa"/>
              <w:right w:w="20" w:type="dxa"/>
            </w:tcMar>
            <w:vAlign w:val="bottom"/>
          </w:tcPr>
          <w:p w14:paraId="669C6905" w14:textId="77777777" w:rsidR="00066C63" w:rsidRDefault="00066C63">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69C6906"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69C6907" w14:textId="77777777" w:rsidR="00066C63" w:rsidRDefault="009656F6">
            <w:pPr>
              <w:jc w:val="right"/>
              <w:textAlignment w:val="bottom"/>
            </w:pPr>
            <w:r>
              <w:rPr>
                <w:rFonts w:ascii="Arial" w:eastAsia="宋体" w:hAnsi="Arial" w:cs="Arial"/>
                <w:b/>
                <w:bCs/>
                <w:color w:val="000000"/>
                <w:sz w:val="17"/>
                <w:szCs w:val="17"/>
              </w:rPr>
              <w:t>231</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6908" w14:textId="77777777" w:rsidR="00066C63" w:rsidRDefault="00066C63">
            <w:pPr>
              <w:jc w:val="right"/>
              <w:rPr>
                <w:rFonts w:ascii="宋体"/>
              </w:rPr>
            </w:pPr>
          </w:p>
        </w:tc>
      </w:tr>
      <w:tr w:rsidR="00066C63" w14:paraId="669C6910" w14:textId="77777777">
        <w:tc>
          <w:tcPr>
            <w:tcW w:w="0" w:type="auto"/>
            <w:gridSpan w:val="3"/>
            <w:tcBorders>
              <w:top w:val="single" w:sz="8" w:space="0" w:color="E87722"/>
            </w:tcBorders>
            <w:shd w:val="clear" w:color="auto" w:fill="auto"/>
            <w:tcMar>
              <w:top w:w="40" w:type="dxa"/>
              <w:left w:w="20" w:type="dxa"/>
              <w:bottom w:w="40" w:type="dxa"/>
              <w:right w:w="20" w:type="dxa"/>
            </w:tcMar>
            <w:vAlign w:val="center"/>
          </w:tcPr>
          <w:p w14:paraId="669C690A" w14:textId="77777777" w:rsidR="00066C63" w:rsidRDefault="009656F6">
            <w:pPr>
              <w:textAlignment w:val="center"/>
            </w:pPr>
            <w:r>
              <w:rPr>
                <w:rFonts w:ascii="Arial" w:eastAsia="宋体" w:hAnsi="Arial" w:cs="Arial"/>
                <w:color w:val="000000"/>
                <w:sz w:val="17"/>
                <w:szCs w:val="17"/>
              </w:rPr>
              <w:t>Other comprehensive income (loss):</w:t>
            </w:r>
          </w:p>
        </w:tc>
        <w:tc>
          <w:tcPr>
            <w:tcW w:w="0" w:type="auto"/>
            <w:gridSpan w:val="3"/>
            <w:tcBorders>
              <w:top w:val="single" w:sz="8" w:space="0" w:color="E87722"/>
            </w:tcBorders>
            <w:shd w:val="clear" w:color="auto" w:fill="auto"/>
            <w:tcMar>
              <w:top w:w="0" w:type="dxa"/>
              <w:left w:w="20" w:type="dxa"/>
              <w:bottom w:w="0" w:type="dxa"/>
              <w:right w:w="20" w:type="dxa"/>
            </w:tcMar>
          </w:tcPr>
          <w:p w14:paraId="669C690B"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690C"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690D"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690E"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690F" w14:textId="77777777" w:rsidR="00066C63" w:rsidRDefault="00066C63">
            <w:pPr>
              <w:rPr>
                <w:rFonts w:ascii="宋体"/>
              </w:rPr>
            </w:pPr>
          </w:p>
        </w:tc>
      </w:tr>
      <w:tr w:rsidR="00066C63" w14:paraId="669C691C" w14:textId="77777777">
        <w:tc>
          <w:tcPr>
            <w:tcW w:w="0" w:type="auto"/>
            <w:gridSpan w:val="3"/>
            <w:tcBorders>
              <w:top w:val="single" w:sz="8" w:space="0" w:color="808080"/>
            </w:tcBorders>
            <w:shd w:val="clear" w:color="auto" w:fill="auto"/>
            <w:tcMar>
              <w:top w:w="40" w:type="dxa"/>
              <w:left w:w="20" w:type="dxa"/>
              <w:bottom w:w="40" w:type="dxa"/>
              <w:right w:w="20" w:type="dxa"/>
            </w:tcMar>
            <w:vAlign w:val="center"/>
          </w:tcPr>
          <w:p w14:paraId="669C6911" w14:textId="77777777" w:rsidR="00066C63" w:rsidRDefault="009656F6">
            <w:pPr>
              <w:textAlignment w:val="center"/>
            </w:pPr>
            <w:r>
              <w:rPr>
                <w:rFonts w:ascii="Arial" w:eastAsia="宋体" w:hAnsi="Arial" w:cs="Arial"/>
                <w:color w:val="000000"/>
                <w:sz w:val="17"/>
                <w:szCs w:val="17"/>
              </w:rPr>
              <w:t>Other comprehensive gains (losses) before reclassifications</w:t>
            </w:r>
            <w:r>
              <w:rPr>
                <w:rFonts w:ascii="Arial" w:eastAsia="宋体" w:hAnsi="Arial" w:cs="Arial"/>
                <w:color w:val="000000"/>
                <w:sz w:val="11"/>
                <w:szCs w:val="11"/>
              </w:rPr>
              <w:t>(2)</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912" w14:textId="77777777" w:rsidR="00066C63" w:rsidRDefault="009656F6">
            <w:pPr>
              <w:jc w:val="right"/>
              <w:textAlignment w:val="bottom"/>
            </w:pPr>
            <w:r>
              <w:rPr>
                <w:rFonts w:ascii="Arial" w:eastAsia="宋体" w:hAnsi="Arial" w:cs="Arial"/>
                <w:color w:val="000000"/>
                <w:sz w:val="17"/>
                <w:szCs w:val="17"/>
              </w:rPr>
              <w:t>(104)</w:t>
            </w:r>
          </w:p>
        </w:tc>
        <w:tc>
          <w:tcPr>
            <w:tcW w:w="0" w:type="auto"/>
            <w:tcBorders>
              <w:top w:val="single" w:sz="8" w:space="0" w:color="808080"/>
            </w:tcBorders>
            <w:shd w:val="clear" w:color="auto" w:fill="auto"/>
            <w:tcMar>
              <w:top w:w="40" w:type="dxa"/>
              <w:left w:w="0" w:type="dxa"/>
              <w:bottom w:w="40" w:type="dxa"/>
              <w:right w:w="20" w:type="dxa"/>
            </w:tcMar>
            <w:vAlign w:val="bottom"/>
          </w:tcPr>
          <w:p w14:paraId="669C6913"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914" w14:textId="77777777" w:rsidR="00066C63" w:rsidRDefault="009656F6">
            <w:pPr>
              <w:jc w:val="right"/>
              <w:textAlignment w:val="bottom"/>
            </w:pPr>
            <w:r>
              <w:rPr>
                <w:rFonts w:ascii="Arial" w:eastAsia="宋体" w:hAnsi="Arial" w:cs="Arial"/>
                <w:color w:val="000000"/>
                <w:sz w:val="17"/>
                <w:szCs w:val="17"/>
              </w:rPr>
              <w:t>200 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915"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916" w14:textId="77777777" w:rsidR="00066C63" w:rsidRDefault="009656F6">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917"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918" w14:textId="77777777" w:rsidR="00066C63" w:rsidRDefault="009656F6">
            <w:pPr>
              <w:jc w:val="right"/>
              <w:textAlignment w:val="bottom"/>
            </w:pPr>
            <w:r>
              <w:rPr>
                <w:rFonts w:ascii="Arial" w:eastAsia="宋体" w:hAnsi="Arial" w:cs="Arial"/>
                <w:color w:val="000000"/>
                <w:sz w:val="17"/>
                <w:szCs w:val="17"/>
              </w:rPr>
              <w:t>2 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919"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91A" w14:textId="77777777" w:rsidR="00066C63" w:rsidRDefault="009656F6">
            <w:pPr>
              <w:jc w:val="right"/>
              <w:textAlignment w:val="bottom"/>
            </w:pPr>
            <w:r>
              <w:rPr>
                <w:rFonts w:ascii="Arial" w:eastAsia="宋体" w:hAnsi="Arial" w:cs="Arial"/>
                <w:color w:val="000000"/>
                <w:sz w:val="17"/>
                <w:szCs w:val="17"/>
              </w:rPr>
              <w:t>98 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91B" w14:textId="77777777" w:rsidR="00066C63" w:rsidRDefault="00066C63">
            <w:pPr>
              <w:jc w:val="right"/>
              <w:rPr>
                <w:rFonts w:ascii="宋体"/>
              </w:rPr>
            </w:pPr>
          </w:p>
        </w:tc>
      </w:tr>
      <w:tr w:rsidR="00066C63" w14:paraId="669C6928" w14:textId="77777777">
        <w:tc>
          <w:tcPr>
            <w:tcW w:w="0" w:type="auto"/>
            <w:gridSpan w:val="3"/>
            <w:tcBorders>
              <w:top w:val="single" w:sz="8" w:space="0" w:color="808080"/>
            </w:tcBorders>
            <w:shd w:val="clear" w:color="auto" w:fill="auto"/>
            <w:tcMar>
              <w:top w:w="40" w:type="dxa"/>
              <w:left w:w="20" w:type="dxa"/>
              <w:bottom w:w="40" w:type="dxa"/>
              <w:right w:w="20" w:type="dxa"/>
            </w:tcMar>
            <w:vAlign w:val="center"/>
          </w:tcPr>
          <w:p w14:paraId="669C691D" w14:textId="77777777" w:rsidR="00066C63" w:rsidRDefault="009656F6">
            <w:pPr>
              <w:textAlignment w:val="center"/>
            </w:pPr>
            <w:r>
              <w:rPr>
                <w:rFonts w:ascii="Arial" w:eastAsia="宋体" w:hAnsi="Arial" w:cs="Arial"/>
                <w:color w:val="000000"/>
                <w:sz w:val="17"/>
                <w:szCs w:val="17"/>
              </w:rPr>
              <w:t>Reclassifications to net income of previously deferred (gains) losses</w:t>
            </w:r>
            <w:r>
              <w:rPr>
                <w:rFonts w:ascii="Arial" w:eastAsia="宋体" w:hAnsi="Arial" w:cs="Arial"/>
                <w:color w:val="000000"/>
                <w:sz w:val="11"/>
                <w:szCs w:val="11"/>
              </w:rPr>
              <w:t>(3)</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91E" w14:textId="77777777" w:rsidR="00066C63" w:rsidRDefault="009656F6">
            <w:pPr>
              <w:jc w:val="right"/>
              <w:textAlignment w:val="bottom"/>
            </w:pPr>
            <w:r>
              <w:rPr>
                <w:rFonts w:ascii="Arial" w:eastAsia="宋体" w:hAnsi="Arial" w:cs="Arial"/>
                <w:color w:val="000000"/>
                <w:sz w:val="17"/>
                <w:szCs w:val="17"/>
              </w:rPr>
              <w:t>1 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91F"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920" w14:textId="77777777" w:rsidR="00066C63" w:rsidRDefault="009656F6">
            <w:pPr>
              <w:jc w:val="right"/>
              <w:textAlignment w:val="bottom"/>
            </w:pPr>
            <w:r>
              <w:rPr>
                <w:rFonts w:ascii="Arial" w:eastAsia="宋体" w:hAnsi="Arial" w:cs="Arial"/>
                <w:color w:val="000000"/>
                <w:sz w:val="17"/>
                <w:szCs w:val="17"/>
              </w:rPr>
              <w:t>(387)</w:t>
            </w:r>
          </w:p>
        </w:tc>
        <w:tc>
          <w:tcPr>
            <w:tcW w:w="0" w:type="auto"/>
            <w:tcBorders>
              <w:top w:val="single" w:sz="8" w:space="0" w:color="808080"/>
            </w:tcBorders>
            <w:shd w:val="clear" w:color="auto" w:fill="auto"/>
            <w:tcMar>
              <w:top w:w="40" w:type="dxa"/>
              <w:left w:w="0" w:type="dxa"/>
              <w:bottom w:w="40" w:type="dxa"/>
              <w:right w:w="20" w:type="dxa"/>
            </w:tcMar>
            <w:vAlign w:val="bottom"/>
          </w:tcPr>
          <w:p w14:paraId="669C6921"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922" w14:textId="77777777" w:rsidR="00066C63" w:rsidRDefault="009656F6">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923"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924" w14:textId="77777777" w:rsidR="00066C63" w:rsidRDefault="009656F6">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925"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926" w14:textId="77777777" w:rsidR="00066C63" w:rsidRDefault="009656F6">
            <w:pPr>
              <w:jc w:val="right"/>
              <w:textAlignment w:val="bottom"/>
            </w:pPr>
            <w:r>
              <w:rPr>
                <w:rFonts w:ascii="Arial" w:eastAsia="宋体" w:hAnsi="Arial" w:cs="Arial"/>
                <w:color w:val="000000"/>
                <w:sz w:val="17"/>
                <w:szCs w:val="17"/>
              </w:rPr>
              <w:t>(386)</w:t>
            </w:r>
          </w:p>
        </w:tc>
        <w:tc>
          <w:tcPr>
            <w:tcW w:w="0" w:type="auto"/>
            <w:tcBorders>
              <w:top w:val="single" w:sz="8" w:space="0" w:color="808080"/>
            </w:tcBorders>
            <w:shd w:val="clear" w:color="auto" w:fill="auto"/>
            <w:tcMar>
              <w:top w:w="40" w:type="dxa"/>
              <w:left w:w="0" w:type="dxa"/>
              <w:bottom w:w="40" w:type="dxa"/>
              <w:right w:w="20" w:type="dxa"/>
            </w:tcMar>
            <w:vAlign w:val="bottom"/>
          </w:tcPr>
          <w:p w14:paraId="669C6927" w14:textId="77777777" w:rsidR="00066C63" w:rsidRDefault="00066C63">
            <w:pPr>
              <w:jc w:val="right"/>
              <w:rPr>
                <w:rFonts w:ascii="宋体"/>
              </w:rPr>
            </w:pPr>
          </w:p>
        </w:tc>
      </w:tr>
      <w:tr w:rsidR="00066C63" w14:paraId="669C6934"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929" w14:textId="77777777" w:rsidR="00066C63" w:rsidRDefault="009656F6">
            <w:pPr>
              <w:textAlignment w:val="bottom"/>
            </w:pPr>
            <w:r>
              <w:rPr>
                <w:rFonts w:ascii="Arial" w:eastAsia="宋体" w:hAnsi="Arial" w:cs="Arial"/>
                <w:color w:val="000000"/>
                <w:sz w:val="17"/>
                <w:szCs w:val="17"/>
              </w:rPr>
              <w:t>Total other comprehensive income (loss)</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692A" w14:textId="77777777" w:rsidR="00066C63" w:rsidRDefault="009656F6">
            <w:pPr>
              <w:jc w:val="right"/>
              <w:textAlignment w:val="bottom"/>
            </w:pPr>
            <w:r>
              <w:rPr>
                <w:rFonts w:ascii="Arial" w:eastAsia="宋体" w:hAnsi="Arial" w:cs="Arial"/>
                <w:color w:val="000000"/>
                <w:sz w:val="17"/>
                <w:szCs w:val="17"/>
              </w:rPr>
              <w:t>(103)</w:t>
            </w:r>
          </w:p>
        </w:tc>
        <w:tc>
          <w:tcPr>
            <w:tcW w:w="0" w:type="auto"/>
            <w:tcBorders>
              <w:top w:val="single" w:sz="8" w:space="0" w:color="E87722"/>
            </w:tcBorders>
            <w:shd w:val="clear" w:color="auto" w:fill="auto"/>
            <w:tcMar>
              <w:top w:w="40" w:type="dxa"/>
              <w:left w:w="0" w:type="dxa"/>
              <w:bottom w:w="40" w:type="dxa"/>
              <w:right w:w="20" w:type="dxa"/>
            </w:tcMar>
            <w:vAlign w:val="bottom"/>
          </w:tcPr>
          <w:p w14:paraId="669C692B" w14:textId="77777777" w:rsidR="00066C63" w:rsidRDefault="00066C63">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692C" w14:textId="77777777" w:rsidR="00066C63" w:rsidRDefault="009656F6">
            <w:pPr>
              <w:jc w:val="right"/>
              <w:textAlignment w:val="bottom"/>
            </w:pPr>
            <w:r>
              <w:rPr>
                <w:rFonts w:ascii="Arial" w:eastAsia="宋体" w:hAnsi="Arial" w:cs="Arial"/>
                <w:color w:val="000000"/>
                <w:sz w:val="17"/>
                <w:szCs w:val="17"/>
              </w:rPr>
              <w:t>(187)</w:t>
            </w:r>
          </w:p>
        </w:tc>
        <w:tc>
          <w:tcPr>
            <w:tcW w:w="0" w:type="auto"/>
            <w:tcBorders>
              <w:top w:val="single" w:sz="8" w:space="0" w:color="E87722"/>
            </w:tcBorders>
            <w:shd w:val="clear" w:color="auto" w:fill="auto"/>
            <w:tcMar>
              <w:top w:w="40" w:type="dxa"/>
              <w:left w:w="0" w:type="dxa"/>
              <w:bottom w:w="40" w:type="dxa"/>
              <w:right w:w="20" w:type="dxa"/>
            </w:tcMar>
            <w:vAlign w:val="bottom"/>
          </w:tcPr>
          <w:p w14:paraId="669C692D" w14:textId="77777777" w:rsidR="00066C63" w:rsidRDefault="00066C63">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692E" w14:textId="77777777" w:rsidR="00066C63" w:rsidRDefault="009656F6">
            <w:pPr>
              <w:jc w:val="right"/>
              <w:textAlignment w:val="bottom"/>
            </w:pP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692F" w14:textId="77777777" w:rsidR="00066C63" w:rsidRDefault="00066C63">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6930" w14:textId="77777777" w:rsidR="00066C63" w:rsidRDefault="009656F6">
            <w:pPr>
              <w:jc w:val="right"/>
              <w:textAlignment w:val="bottom"/>
            </w:pPr>
            <w:r>
              <w:rPr>
                <w:rFonts w:ascii="Arial" w:eastAsia="宋体" w:hAnsi="Arial" w:cs="Arial"/>
                <w:color w:val="000000"/>
                <w:sz w:val="17"/>
                <w:szCs w:val="17"/>
              </w:rPr>
              <w:t>2 </w:t>
            </w:r>
          </w:p>
        </w:tc>
        <w:tc>
          <w:tcPr>
            <w:tcW w:w="0" w:type="auto"/>
            <w:tcBorders>
              <w:top w:val="single" w:sz="8" w:space="0" w:color="E87722"/>
            </w:tcBorders>
            <w:shd w:val="clear" w:color="auto" w:fill="auto"/>
            <w:tcMar>
              <w:top w:w="40" w:type="dxa"/>
              <w:left w:w="0" w:type="dxa"/>
              <w:bottom w:w="40" w:type="dxa"/>
              <w:right w:w="20" w:type="dxa"/>
            </w:tcMar>
            <w:vAlign w:val="bottom"/>
          </w:tcPr>
          <w:p w14:paraId="669C6931" w14:textId="77777777" w:rsidR="00066C63" w:rsidRDefault="00066C63">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6932" w14:textId="77777777" w:rsidR="00066C63" w:rsidRDefault="009656F6">
            <w:pPr>
              <w:jc w:val="right"/>
              <w:textAlignment w:val="bottom"/>
            </w:pPr>
            <w:r>
              <w:rPr>
                <w:rFonts w:ascii="Arial" w:eastAsia="宋体" w:hAnsi="Arial" w:cs="Arial"/>
                <w:color w:val="000000"/>
                <w:sz w:val="17"/>
                <w:szCs w:val="17"/>
              </w:rPr>
              <w:t>(288)</w:t>
            </w:r>
          </w:p>
        </w:tc>
        <w:tc>
          <w:tcPr>
            <w:tcW w:w="0" w:type="auto"/>
            <w:tcBorders>
              <w:top w:val="single" w:sz="8" w:space="0" w:color="E87722"/>
            </w:tcBorders>
            <w:shd w:val="clear" w:color="auto" w:fill="auto"/>
            <w:tcMar>
              <w:top w:w="40" w:type="dxa"/>
              <w:left w:w="0" w:type="dxa"/>
              <w:bottom w:w="40" w:type="dxa"/>
              <w:right w:w="20" w:type="dxa"/>
            </w:tcMar>
            <w:vAlign w:val="bottom"/>
          </w:tcPr>
          <w:p w14:paraId="669C6933" w14:textId="77777777" w:rsidR="00066C63" w:rsidRDefault="00066C63">
            <w:pPr>
              <w:jc w:val="right"/>
              <w:rPr>
                <w:rFonts w:ascii="宋体"/>
              </w:rPr>
            </w:pPr>
          </w:p>
        </w:tc>
      </w:tr>
      <w:tr w:rsidR="00066C63" w14:paraId="669C6945"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669C6935" w14:textId="77777777" w:rsidR="00066C63" w:rsidRDefault="009656F6">
            <w:pPr>
              <w:textAlignment w:val="bottom"/>
            </w:pPr>
            <w:r>
              <w:rPr>
                <w:rFonts w:ascii="Arial" w:eastAsia="宋体" w:hAnsi="Arial" w:cs="Arial"/>
                <w:b/>
                <w:bCs/>
                <w:color w:val="000000"/>
                <w:sz w:val="17"/>
                <w:szCs w:val="17"/>
              </w:rPr>
              <w:t>Balance at February 29, 2020</w:t>
            </w: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69C6936"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69C6937" w14:textId="77777777" w:rsidR="00066C63" w:rsidRDefault="009656F6">
            <w:pPr>
              <w:jc w:val="right"/>
              <w:textAlignment w:val="bottom"/>
            </w:pPr>
            <w:r>
              <w:rPr>
                <w:rFonts w:ascii="Arial" w:eastAsia="宋体" w:hAnsi="Arial" w:cs="Arial"/>
                <w:b/>
                <w:bCs/>
                <w:color w:val="000000"/>
                <w:sz w:val="17"/>
                <w:szCs w:val="17"/>
              </w:rPr>
              <w:t>(449)</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69C6938" w14:textId="77777777" w:rsidR="00066C63" w:rsidRDefault="00066C63">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69C6939"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69C693A" w14:textId="77777777" w:rsidR="00066C63" w:rsidRDefault="009656F6">
            <w:pPr>
              <w:jc w:val="right"/>
              <w:textAlignment w:val="bottom"/>
            </w:pPr>
            <w:r>
              <w:rPr>
                <w:rFonts w:ascii="Arial" w:eastAsia="宋体" w:hAnsi="Arial" w:cs="Arial"/>
                <w:b/>
                <w:bCs/>
                <w:color w:val="000000"/>
                <w:sz w:val="17"/>
                <w:szCs w:val="17"/>
              </w:rPr>
              <w:t>333</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69C693B" w14:textId="77777777" w:rsidR="00066C63" w:rsidRDefault="00066C63">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69C693C"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69C693D" w14:textId="77777777" w:rsidR="00066C63" w:rsidRDefault="009656F6">
            <w:pPr>
              <w:jc w:val="right"/>
              <w:textAlignment w:val="bottom"/>
            </w:pPr>
            <w:r>
              <w:rPr>
                <w:rFonts w:ascii="Arial" w:eastAsia="宋体" w:hAnsi="Arial" w:cs="Arial"/>
                <w:b/>
                <w:bCs/>
                <w:color w:val="000000"/>
                <w:sz w:val="17"/>
                <w:szCs w:val="17"/>
              </w:rPr>
              <w:t>115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69C693E" w14:textId="77777777" w:rsidR="00066C63" w:rsidRDefault="00066C63">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69C693F"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69C6940" w14:textId="77777777" w:rsidR="00066C63" w:rsidRDefault="009656F6">
            <w:pPr>
              <w:jc w:val="right"/>
              <w:textAlignment w:val="bottom"/>
            </w:pPr>
            <w:r>
              <w:rPr>
                <w:rFonts w:ascii="Arial" w:eastAsia="宋体" w:hAnsi="Arial" w:cs="Arial"/>
                <w:b/>
                <w:bCs/>
                <w:color w:val="000000"/>
                <w:sz w:val="17"/>
                <w:szCs w:val="17"/>
              </w:rPr>
              <w:t>(56)</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69C6941" w14:textId="77777777" w:rsidR="00066C63" w:rsidRDefault="00066C63">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69C6942"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69C6943" w14:textId="77777777" w:rsidR="00066C63" w:rsidRDefault="009656F6">
            <w:pPr>
              <w:jc w:val="right"/>
              <w:textAlignment w:val="bottom"/>
            </w:pPr>
            <w:r>
              <w:rPr>
                <w:rFonts w:ascii="Arial" w:eastAsia="宋体" w:hAnsi="Arial" w:cs="Arial"/>
                <w:b/>
                <w:bCs/>
                <w:color w:val="000000"/>
                <w:sz w:val="17"/>
                <w:szCs w:val="17"/>
              </w:rPr>
              <w:t>(57)</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69C6944" w14:textId="77777777" w:rsidR="00066C63" w:rsidRDefault="00066C63">
            <w:pPr>
              <w:jc w:val="right"/>
              <w:rPr>
                <w:rFonts w:ascii="宋体"/>
              </w:rPr>
            </w:pPr>
          </w:p>
        </w:tc>
      </w:tr>
    </w:tbl>
    <w:p w14:paraId="669C6946" w14:textId="77777777" w:rsidR="00066C63" w:rsidRDefault="009656F6">
      <w:pPr>
        <w:spacing w:before="60" w:after="60"/>
        <w:ind w:hanging="360"/>
      </w:pPr>
      <w:r>
        <w:rPr>
          <w:rFonts w:ascii="Arial" w:eastAsia="宋体" w:hAnsi="Arial" w:cs="Arial"/>
          <w:i/>
          <w:iCs/>
          <w:color w:val="000000"/>
          <w:sz w:val="14"/>
          <w:szCs w:val="14"/>
        </w:rPr>
        <w:t>(1)The accumulated foreign currency translation adjustment and net investment hedge gains/losses related to an investment in a foreign subsidiary are r</w:t>
      </w:r>
      <w:r>
        <w:rPr>
          <w:rFonts w:ascii="Arial" w:eastAsia="宋体" w:hAnsi="Arial" w:cs="Arial"/>
          <w:i/>
          <w:iCs/>
          <w:color w:val="000000"/>
          <w:sz w:val="14"/>
          <w:szCs w:val="14"/>
        </w:rPr>
        <w:t>eclassified to Net income upon sale or upon complete or substantially complete liquidation of the respective entity.</w:t>
      </w:r>
    </w:p>
    <w:p w14:paraId="669C6947" w14:textId="77777777" w:rsidR="00066C63" w:rsidRDefault="009656F6">
      <w:pPr>
        <w:spacing w:before="60" w:after="60"/>
        <w:ind w:hanging="360"/>
      </w:pPr>
      <w:r>
        <w:rPr>
          <w:rFonts w:ascii="Arial" w:eastAsia="宋体" w:hAnsi="Arial" w:cs="Arial"/>
          <w:i/>
          <w:iCs/>
          <w:color w:val="000000"/>
          <w:sz w:val="14"/>
          <w:szCs w:val="14"/>
        </w:rPr>
        <w:t>(2)Net of tax benefit (expense) of $0 million, $(1) million, $0 million, $0 million and (1) million respectively.</w:t>
      </w:r>
    </w:p>
    <w:p w14:paraId="669C6948" w14:textId="77777777" w:rsidR="00066C63" w:rsidRDefault="009656F6">
      <w:pPr>
        <w:spacing w:before="60" w:after="60"/>
        <w:ind w:hanging="360"/>
      </w:pPr>
      <w:r>
        <w:rPr>
          <w:rFonts w:ascii="Arial" w:eastAsia="宋体" w:hAnsi="Arial" w:cs="Arial"/>
          <w:i/>
          <w:iCs/>
          <w:color w:val="000000"/>
          <w:sz w:val="14"/>
          <w:szCs w:val="14"/>
        </w:rPr>
        <w:t xml:space="preserve">(3)Net of tax </w:t>
      </w:r>
      <w:r>
        <w:rPr>
          <w:rFonts w:ascii="Arial" w:eastAsia="宋体" w:hAnsi="Arial" w:cs="Arial"/>
          <w:i/>
          <w:iCs/>
          <w:color w:val="000000"/>
          <w:sz w:val="14"/>
          <w:szCs w:val="14"/>
        </w:rPr>
        <w:t>(benefit) expense of $0 million, $0 million, $0 million, $0 million and 0 million respectively.</w:t>
      </w:r>
    </w:p>
    <w:p w14:paraId="669C6949" w14:textId="77777777" w:rsidR="00066C63" w:rsidRDefault="009656F6">
      <w:pPr>
        <w:spacing w:before="180"/>
      </w:pPr>
      <w:r>
        <w:rPr>
          <w:rFonts w:ascii="Arial" w:eastAsia="宋体" w:hAnsi="Arial" w:cs="Arial"/>
          <w:color w:val="000000"/>
          <w:sz w:val="17"/>
          <w:szCs w:val="17"/>
        </w:rPr>
        <w:t>The following table summarizes the reclassifications from Accumulated other comprehensive income (loss) to the Unaudited Condensed Consolidated Statements of In</w:t>
      </w:r>
      <w:r>
        <w:rPr>
          <w:rFonts w:ascii="Arial" w:eastAsia="宋体" w:hAnsi="Arial" w:cs="Arial"/>
          <w:color w:val="000000"/>
          <w:sz w:val="17"/>
          <w:szCs w:val="17"/>
        </w:rPr>
        <w:t>come:</w:t>
      </w:r>
    </w:p>
    <w:tbl>
      <w:tblPr>
        <w:tblW w:w="4850" w:type="pct"/>
        <w:tblCellMar>
          <w:top w:w="15" w:type="dxa"/>
          <w:left w:w="15" w:type="dxa"/>
          <w:bottom w:w="15" w:type="dxa"/>
          <w:right w:w="15" w:type="dxa"/>
        </w:tblCellMar>
        <w:tblLook w:val="04A0" w:firstRow="1" w:lastRow="0" w:firstColumn="1" w:lastColumn="0" w:noHBand="0" w:noVBand="1"/>
      </w:tblPr>
      <w:tblGrid>
        <w:gridCol w:w="39"/>
        <w:gridCol w:w="2688"/>
        <w:gridCol w:w="38"/>
        <w:gridCol w:w="116"/>
        <w:gridCol w:w="783"/>
        <w:gridCol w:w="37"/>
        <w:gridCol w:w="116"/>
        <w:gridCol w:w="783"/>
        <w:gridCol w:w="37"/>
        <w:gridCol w:w="36"/>
        <w:gridCol w:w="36"/>
        <w:gridCol w:w="36"/>
        <w:gridCol w:w="116"/>
        <w:gridCol w:w="752"/>
        <w:gridCol w:w="37"/>
        <w:gridCol w:w="116"/>
        <w:gridCol w:w="784"/>
        <w:gridCol w:w="37"/>
        <w:gridCol w:w="67"/>
        <w:gridCol w:w="1396"/>
        <w:gridCol w:w="36"/>
      </w:tblGrid>
      <w:tr w:rsidR="00066C63" w14:paraId="669C695F" w14:textId="77777777">
        <w:tc>
          <w:tcPr>
            <w:tcW w:w="50" w:type="pct"/>
            <w:shd w:val="clear" w:color="auto" w:fill="auto"/>
          </w:tcPr>
          <w:p w14:paraId="669C694A" w14:textId="77777777" w:rsidR="00066C63" w:rsidRDefault="00066C63">
            <w:pPr>
              <w:rPr>
                <w:rFonts w:ascii="宋体"/>
              </w:rPr>
            </w:pPr>
          </w:p>
        </w:tc>
        <w:tc>
          <w:tcPr>
            <w:tcW w:w="1686" w:type="pct"/>
            <w:shd w:val="clear" w:color="auto" w:fill="auto"/>
          </w:tcPr>
          <w:p w14:paraId="669C694B" w14:textId="77777777" w:rsidR="00066C63" w:rsidRDefault="00066C63">
            <w:pPr>
              <w:rPr>
                <w:rFonts w:ascii="宋体"/>
              </w:rPr>
            </w:pPr>
          </w:p>
        </w:tc>
        <w:tc>
          <w:tcPr>
            <w:tcW w:w="5" w:type="pct"/>
            <w:shd w:val="clear" w:color="auto" w:fill="auto"/>
          </w:tcPr>
          <w:p w14:paraId="669C694C" w14:textId="77777777" w:rsidR="00066C63" w:rsidRDefault="00066C63">
            <w:pPr>
              <w:rPr>
                <w:rFonts w:ascii="宋体"/>
              </w:rPr>
            </w:pPr>
          </w:p>
        </w:tc>
        <w:tc>
          <w:tcPr>
            <w:tcW w:w="50" w:type="pct"/>
            <w:shd w:val="clear" w:color="auto" w:fill="auto"/>
          </w:tcPr>
          <w:p w14:paraId="669C694D" w14:textId="77777777" w:rsidR="00066C63" w:rsidRDefault="00066C63">
            <w:pPr>
              <w:rPr>
                <w:rFonts w:ascii="宋体"/>
              </w:rPr>
            </w:pPr>
          </w:p>
        </w:tc>
        <w:tc>
          <w:tcPr>
            <w:tcW w:w="509" w:type="pct"/>
            <w:shd w:val="clear" w:color="auto" w:fill="auto"/>
          </w:tcPr>
          <w:p w14:paraId="669C694E" w14:textId="77777777" w:rsidR="00066C63" w:rsidRDefault="00066C63">
            <w:pPr>
              <w:rPr>
                <w:rFonts w:ascii="宋体"/>
              </w:rPr>
            </w:pPr>
          </w:p>
        </w:tc>
        <w:tc>
          <w:tcPr>
            <w:tcW w:w="5" w:type="pct"/>
            <w:shd w:val="clear" w:color="auto" w:fill="auto"/>
          </w:tcPr>
          <w:p w14:paraId="669C694F" w14:textId="77777777" w:rsidR="00066C63" w:rsidRDefault="00066C63">
            <w:pPr>
              <w:rPr>
                <w:rFonts w:ascii="宋体"/>
              </w:rPr>
            </w:pPr>
          </w:p>
        </w:tc>
        <w:tc>
          <w:tcPr>
            <w:tcW w:w="50" w:type="pct"/>
            <w:shd w:val="clear" w:color="auto" w:fill="auto"/>
          </w:tcPr>
          <w:p w14:paraId="669C6950" w14:textId="77777777" w:rsidR="00066C63" w:rsidRDefault="00066C63">
            <w:pPr>
              <w:rPr>
                <w:rFonts w:ascii="宋体"/>
              </w:rPr>
            </w:pPr>
          </w:p>
        </w:tc>
        <w:tc>
          <w:tcPr>
            <w:tcW w:w="509" w:type="pct"/>
            <w:shd w:val="clear" w:color="auto" w:fill="auto"/>
          </w:tcPr>
          <w:p w14:paraId="669C6951" w14:textId="77777777" w:rsidR="00066C63" w:rsidRDefault="00066C63">
            <w:pPr>
              <w:rPr>
                <w:rFonts w:ascii="宋体"/>
              </w:rPr>
            </w:pPr>
          </w:p>
        </w:tc>
        <w:tc>
          <w:tcPr>
            <w:tcW w:w="5" w:type="pct"/>
            <w:shd w:val="clear" w:color="auto" w:fill="auto"/>
          </w:tcPr>
          <w:p w14:paraId="669C6952" w14:textId="77777777" w:rsidR="00066C63" w:rsidRDefault="00066C63">
            <w:pPr>
              <w:rPr>
                <w:rFonts w:ascii="宋体"/>
              </w:rPr>
            </w:pPr>
          </w:p>
        </w:tc>
        <w:tc>
          <w:tcPr>
            <w:tcW w:w="5" w:type="pct"/>
            <w:shd w:val="clear" w:color="auto" w:fill="auto"/>
          </w:tcPr>
          <w:p w14:paraId="669C6953" w14:textId="77777777" w:rsidR="00066C63" w:rsidRDefault="00066C63">
            <w:pPr>
              <w:rPr>
                <w:rFonts w:ascii="宋体"/>
              </w:rPr>
            </w:pPr>
          </w:p>
        </w:tc>
        <w:tc>
          <w:tcPr>
            <w:tcW w:w="28" w:type="pct"/>
            <w:shd w:val="clear" w:color="auto" w:fill="auto"/>
          </w:tcPr>
          <w:p w14:paraId="669C6954" w14:textId="77777777" w:rsidR="00066C63" w:rsidRDefault="00066C63">
            <w:pPr>
              <w:rPr>
                <w:rFonts w:ascii="宋体"/>
              </w:rPr>
            </w:pPr>
          </w:p>
        </w:tc>
        <w:tc>
          <w:tcPr>
            <w:tcW w:w="5" w:type="pct"/>
            <w:shd w:val="clear" w:color="auto" w:fill="auto"/>
          </w:tcPr>
          <w:p w14:paraId="669C6955" w14:textId="77777777" w:rsidR="00066C63" w:rsidRDefault="00066C63">
            <w:pPr>
              <w:rPr>
                <w:rFonts w:ascii="宋体"/>
              </w:rPr>
            </w:pPr>
          </w:p>
        </w:tc>
        <w:tc>
          <w:tcPr>
            <w:tcW w:w="50" w:type="pct"/>
            <w:shd w:val="clear" w:color="auto" w:fill="auto"/>
          </w:tcPr>
          <w:p w14:paraId="669C6956" w14:textId="77777777" w:rsidR="00066C63" w:rsidRDefault="00066C63">
            <w:pPr>
              <w:rPr>
                <w:rFonts w:ascii="宋体"/>
              </w:rPr>
            </w:pPr>
          </w:p>
        </w:tc>
        <w:tc>
          <w:tcPr>
            <w:tcW w:w="509" w:type="pct"/>
            <w:shd w:val="clear" w:color="auto" w:fill="auto"/>
          </w:tcPr>
          <w:p w14:paraId="669C6957" w14:textId="77777777" w:rsidR="00066C63" w:rsidRDefault="00066C63">
            <w:pPr>
              <w:rPr>
                <w:rFonts w:ascii="宋体"/>
              </w:rPr>
            </w:pPr>
          </w:p>
        </w:tc>
        <w:tc>
          <w:tcPr>
            <w:tcW w:w="5" w:type="pct"/>
            <w:shd w:val="clear" w:color="auto" w:fill="auto"/>
          </w:tcPr>
          <w:p w14:paraId="669C6958" w14:textId="77777777" w:rsidR="00066C63" w:rsidRDefault="00066C63">
            <w:pPr>
              <w:rPr>
                <w:rFonts w:ascii="宋体"/>
              </w:rPr>
            </w:pPr>
          </w:p>
        </w:tc>
        <w:tc>
          <w:tcPr>
            <w:tcW w:w="50" w:type="pct"/>
            <w:shd w:val="clear" w:color="auto" w:fill="auto"/>
          </w:tcPr>
          <w:p w14:paraId="669C6959" w14:textId="77777777" w:rsidR="00066C63" w:rsidRDefault="00066C63">
            <w:pPr>
              <w:rPr>
                <w:rFonts w:ascii="宋体"/>
              </w:rPr>
            </w:pPr>
          </w:p>
        </w:tc>
        <w:tc>
          <w:tcPr>
            <w:tcW w:w="509" w:type="pct"/>
            <w:shd w:val="clear" w:color="auto" w:fill="auto"/>
          </w:tcPr>
          <w:p w14:paraId="669C695A" w14:textId="77777777" w:rsidR="00066C63" w:rsidRDefault="00066C63">
            <w:pPr>
              <w:rPr>
                <w:rFonts w:ascii="宋体"/>
              </w:rPr>
            </w:pPr>
          </w:p>
        </w:tc>
        <w:tc>
          <w:tcPr>
            <w:tcW w:w="5" w:type="pct"/>
            <w:shd w:val="clear" w:color="auto" w:fill="auto"/>
          </w:tcPr>
          <w:p w14:paraId="669C695B" w14:textId="77777777" w:rsidR="00066C63" w:rsidRDefault="00066C63">
            <w:pPr>
              <w:rPr>
                <w:rFonts w:ascii="宋体"/>
              </w:rPr>
            </w:pPr>
          </w:p>
        </w:tc>
        <w:tc>
          <w:tcPr>
            <w:tcW w:w="50" w:type="pct"/>
            <w:shd w:val="clear" w:color="auto" w:fill="auto"/>
          </w:tcPr>
          <w:p w14:paraId="669C695C" w14:textId="77777777" w:rsidR="00066C63" w:rsidRDefault="00066C63">
            <w:pPr>
              <w:rPr>
                <w:rFonts w:ascii="宋体"/>
              </w:rPr>
            </w:pPr>
          </w:p>
        </w:tc>
        <w:tc>
          <w:tcPr>
            <w:tcW w:w="904" w:type="pct"/>
            <w:shd w:val="clear" w:color="auto" w:fill="auto"/>
          </w:tcPr>
          <w:p w14:paraId="669C695D" w14:textId="77777777" w:rsidR="00066C63" w:rsidRDefault="00066C63">
            <w:pPr>
              <w:rPr>
                <w:rFonts w:ascii="宋体"/>
              </w:rPr>
            </w:pPr>
          </w:p>
        </w:tc>
        <w:tc>
          <w:tcPr>
            <w:tcW w:w="5" w:type="pct"/>
            <w:shd w:val="clear" w:color="auto" w:fill="auto"/>
          </w:tcPr>
          <w:p w14:paraId="669C695E" w14:textId="77777777" w:rsidR="00066C63" w:rsidRDefault="00066C63">
            <w:pPr>
              <w:rPr>
                <w:rFonts w:ascii="宋体"/>
              </w:rPr>
            </w:pPr>
          </w:p>
        </w:tc>
      </w:tr>
      <w:tr w:rsidR="00066C63" w14:paraId="669C6963" w14:textId="77777777">
        <w:trPr>
          <w:trHeight w:val="420"/>
        </w:trPr>
        <w:tc>
          <w:tcPr>
            <w:tcW w:w="0" w:type="auto"/>
            <w:gridSpan w:val="3"/>
            <w:shd w:val="clear" w:color="auto" w:fill="auto"/>
            <w:tcMar>
              <w:top w:w="0" w:type="dxa"/>
              <w:left w:w="20" w:type="dxa"/>
              <w:bottom w:w="0" w:type="dxa"/>
              <w:right w:w="20" w:type="dxa"/>
            </w:tcMar>
          </w:tcPr>
          <w:p w14:paraId="669C6960" w14:textId="77777777" w:rsidR="00066C63" w:rsidRDefault="00066C63">
            <w:pPr>
              <w:rPr>
                <w:rFonts w:ascii="宋体"/>
              </w:rPr>
            </w:pPr>
          </w:p>
        </w:tc>
        <w:tc>
          <w:tcPr>
            <w:tcW w:w="0" w:type="auto"/>
            <w:gridSpan w:val="15"/>
            <w:tcBorders>
              <w:bottom w:val="single" w:sz="8" w:space="0" w:color="E87722"/>
            </w:tcBorders>
            <w:shd w:val="clear" w:color="auto" w:fill="auto"/>
            <w:tcMar>
              <w:top w:w="40" w:type="dxa"/>
              <w:left w:w="20" w:type="dxa"/>
              <w:bottom w:w="40" w:type="dxa"/>
              <w:right w:w="20" w:type="dxa"/>
            </w:tcMar>
            <w:vAlign w:val="bottom"/>
          </w:tcPr>
          <w:p w14:paraId="669C6961" w14:textId="77777777" w:rsidR="00066C63" w:rsidRDefault="009656F6">
            <w:pPr>
              <w:jc w:val="center"/>
              <w:textAlignment w:val="bottom"/>
            </w:pPr>
            <w:r>
              <w:rPr>
                <w:rFonts w:ascii="sans-serif" w:eastAsia="sans-serif" w:hAnsi="sans-serif" w:cs="sans-serif"/>
                <w:b/>
                <w:bCs/>
                <w:color w:val="000000"/>
                <w:sz w:val="17"/>
                <w:szCs w:val="17"/>
              </w:rPr>
              <w:t>AMOUNT OF GAIN (LOSS) RECLASSIFIED FROM ACCUMULATED OTHER COMPREHENSIVE INCOME (LOSS) INTO INCOME</w:t>
            </w:r>
          </w:p>
        </w:tc>
        <w:tc>
          <w:tcPr>
            <w:tcW w:w="0" w:type="auto"/>
            <w:gridSpan w:val="3"/>
            <w:vMerge w:val="restart"/>
            <w:shd w:val="clear" w:color="auto" w:fill="auto"/>
            <w:tcMar>
              <w:top w:w="40" w:type="dxa"/>
              <w:left w:w="20" w:type="dxa"/>
              <w:bottom w:w="40" w:type="dxa"/>
              <w:right w:w="20" w:type="dxa"/>
            </w:tcMar>
            <w:vAlign w:val="bottom"/>
          </w:tcPr>
          <w:p w14:paraId="669C6962" w14:textId="77777777" w:rsidR="00066C63" w:rsidRDefault="009656F6">
            <w:pPr>
              <w:jc w:val="right"/>
              <w:textAlignment w:val="bottom"/>
            </w:pPr>
            <w:r>
              <w:rPr>
                <w:rFonts w:ascii="sans-serif" w:eastAsia="sans-serif" w:hAnsi="sans-serif" w:cs="sans-serif"/>
                <w:b/>
                <w:bCs/>
                <w:color w:val="000000"/>
                <w:sz w:val="17"/>
                <w:szCs w:val="17"/>
              </w:rPr>
              <w:t>LOCATION OF GAIN (LOSS)</w:t>
            </w:r>
            <w:r>
              <w:rPr>
                <w:rFonts w:ascii="sans-serif" w:eastAsia="sans-serif" w:hAnsi="sans-serif" w:cs="sans-serif"/>
                <w:b/>
                <w:bCs/>
                <w:color w:val="000000"/>
                <w:sz w:val="17"/>
                <w:szCs w:val="17"/>
              </w:rPr>
              <w:br/>
              <w:t>RECLASSIFIED FROM ACCUMULATED</w:t>
            </w:r>
            <w:r>
              <w:rPr>
                <w:rFonts w:ascii="sans-serif" w:eastAsia="sans-serif" w:hAnsi="sans-serif" w:cs="sans-serif"/>
                <w:b/>
                <w:bCs/>
                <w:color w:val="000000"/>
                <w:sz w:val="17"/>
                <w:szCs w:val="17"/>
              </w:rPr>
              <w:br/>
              <w:t>OTHER COMPREHENSIVE INCOME</w:t>
            </w:r>
            <w:r>
              <w:rPr>
                <w:rFonts w:ascii="sans-serif" w:eastAsia="sans-serif" w:hAnsi="sans-serif" w:cs="sans-serif"/>
                <w:b/>
                <w:bCs/>
                <w:color w:val="000000"/>
                <w:sz w:val="17"/>
                <w:szCs w:val="17"/>
              </w:rPr>
              <w:br/>
              <w:t>(LOSS) INTO INCOME</w:t>
            </w:r>
          </w:p>
        </w:tc>
      </w:tr>
      <w:tr w:rsidR="00066C63" w14:paraId="669C6969" w14:textId="77777777">
        <w:trPr>
          <w:trHeight w:val="240"/>
        </w:trPr>
        <w:tc>
          <w:tcPr>
            <w:tcW w:w="0" w:type="auto"/>
            <w:gridSpan w:val="3"/>
            <w:shd w:val="clear" w:color="auto" w:fill="auto"/>
            <w:tcMar>
              <w:top w:w="0" w:type="dxa"/>
              <w:left w:w="20" w:type="dxa"/>
              <w:bottom w:w="0" w:type="dxa"/>
              <w:right w:w="20" w:type="dxa"/>
            </w:tcMar>
          </w:tcPr>
          <w:p w14:paraId="669C6964" w14:textId="77777777" w:rsidR="00066C63" w:rsidRDefault="00066C63">
            <w:pPr>
              <w:rPr>
                <w:rFonts w:ascii="宋体"/>
              </w:rPr>
            </w:pPr>
          </w:p>
        </w:tc>
        <w:tc>
          <w:tcPr>
            <w:tcW w:w="0" w:type="auto"/>
            <w:gridSpan w:val="6"/>
            <w:tcBorders>
              <w:top w:val="single" w:sz="8" w:space="0" w:color="E87722"/>
            </w:tcBorders>
            <w:shd w:val="clear" w:color="auto" w:fill="auto"/>
            <w:tcMar>
              <w:top w:w="40" w:type="dxa"/>
              <w:left w:w="20" w:type="dxa"/>
              <w:bottom w:w="40" w:type="dxa"/>
              <w:right w:w="20" w:type="dxa"/>
            </w:tcMar>
            <w:vAlign w:val="bottom"/>
          </w:tcPr>
          <w:p w14:paraId="669C6965" w14:textId="77777777" w:rsidR="00066C63" w:rsidRDefault="009656F6">
            <w:pPr>
              <w:jc w:val="center"/>
              <w:textAlignment w:val="bottom"/>
            </w:pPr>
            <w:r>
              <w:rPr>
                <w:rFonts w:ascii="sans-serif" w:eastAsia="sans-serif" w:hAnsi="sans-serif" w:cs="sans-serif"/>
                <w:b/>
                <w:bCs/>
                <w:color w:val="000000"/>
                <w:sz w:val="17"/>
                <w:szCs w:val="17"/>
              </w:rPr>
              <w:t xml:space="preserve">THREE MONTHS ENDED </w:t>
            </w:r>
          </w:p>
        </w:tc>
        <w:tc>
          <w:tcPr>
            <w:tcW w:w="0" w:type="auto"/>
            <w:gridSpan w:val="3"/>
            <w:tcBorders>
              <w:top w:val="single" w:sz="8" w:space="0" w:color="E87722"/>
            </w:tcBorders>
            <w:shd w:val="clear" w:color="auto" w:fill="auto"/>
            <w:tcMar>
              <w:top w:w="0" w:type="dxa"/>
              <w:left w:w="20" w:type="dxa"/>
              <w:bottom w:w="0" w:type="dxa"/>
              <w:right w:w="20" w:type="dxa"/>
            </w:tcMar>
          </w:tcPr>
          <w:p w14:paraId="669C6966" w14:textId="77777777" w:rsidR="00066C63" w:rsidRDefault="00066C63">
            <w:pPr>
              <w:rPr>
                <w:rFonts w:ascii="宋体"/>
              </w:rPr>
            </w:pPr>
          </w:p>
        </w:tc>
        <w:tc>
          <w:tcPr>
            <w:tcW w:w="0" w:type="auto"/>
            <w:gridSpan w:val="6"/>
            <w:tcBorders>
              <w:top w:val="single" w:sz="8" w:space="0" w:color="E87722"/>
            </w:tcBorders>
            <w:shd w:val="clear" w:color="auto" w:fill="auto"/>
            <w:tcMar>
              <w:top w:w="40" w:type="dxa"/>
              <w:left w:w="20" w:type="dxa"/>
              <w:bottom w:w="40" w:type="dxa"/>
              <w:right w:w="20" w:type="dxa"/>
            </w:tcMar>
            <w:vAlign w:val="bottom"/>
          </w:tcPr>
          <w:p w14:paraId="669C6967" w14:textId="77777777" w:rsidR="00066C63" w:rsidRDefault="009656F6">
            <w:pPr>
              <w:jc w:val="center"/>
              <w:textAlignment w:val="bottom"/>
            </w:pPr>
            <w:r>
              <w:rPr>
                <w:rFonts w:ascii="sans-serif" w:eastAsia="sans-serif" w:hAnsi="sans-serif" w:cs="sans-serif"/>
                <w:b/>
                <w:bCs/>
                <w:color w:val="000000"/>
                <w:sz w:val="17"/>
                <w:szCs w:val="17"/>
              </w:rPr>
              <w:t xml:space="preserve">NINE MONTHS ENDED </w:t>
            </w:r>
          </w:p>
        </w:tc>
        <w:tc>
          <w:tcPr>
            <w:tcW w:w="0" w:type="auto"/>
            <w:gridSpan w:val="3"/>
            <w:vMerge/>
            <w:shd w:val="clear" w:color="auto" w:fill="auto"/>
            <w:tcMar>
              <w:top w:w="40" w:type="dxa"/>
              <w:left w:w="20" w:type="dxa"/>
              <w:bottom w:w="40" w:type="dxa"/>
              <w:right w:w="20" w:type="dxa"/>
            </w:tcMar>
            <w:vAlign w:val="bottom"/>
          </w:tcPr>
          <w:p w14:paraId="669C6968" w14:textId="77777777" w:rsidR="00066C63" w:rsidRDefault="00066C63">
            <w:pPr>
              <w:jc w:val="right"/>
              <w:rPr>
                <w:rFonts w:ascii="宋体"/>
              </w:rPr>
            </w:pPr>
          </w:p>
        </w:tc>
      </w:tr>
      <w:tr w:rsidR="00066C63" w14:paraId="669C6971" w14:textId="77777777">
        <w:trPr>
          <w:trHeight w:val="420"/>
        </w:trPr>
        <w:tc>
          <w:tcPr>
            <w:tcW w:w="0" w:type="auto"/>
            <w:gridSpan w:val="3"/>
            <w:shd w:val="clear" w:color="auto" w:fill="auto"/>
            <w:tcMar>
              <w:top w:w="40" w:type="dxa"/>
              <w:left w:w="20" w:type="dxa"/>
              <w:bottom w:w="40" w:type="dxa"/>
              <w:right w:w="20" w:type="dxa"/>
            </w:tcMar>
            <w:vAlign w:val="bottom"/>
          </w:tcPr>
          <w:p w14:paraId="669C696A" w14:textId="77777777" w:rsidR="00066C63" w:rsidRDefault="009656F6">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96B" w14:textId="77777777" w:rsidR="00066C63" w:rsidRDefault="009656F6">
            <w:pPr>
              <w:jc w:val="center"/>
              <w:textAlignment w:val="bottom"/>
            </w:pPr>
            <w:r>
              <w:rPr>
                <w:rFonts w:ascii="sans-serif" w:eastAsia="sans-serif" w:hAnsi="sans-serif" w:cs="sans-serif"/>
                <w:b/>
                <w:bCs/>
                <w:color w:val="000000"/>
                <w:sz w:val="17"/>
                <w:szCs w:val="17"/>
              </w:rPr>
              <w:t>FEBRUARY 28, 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96C" w14:textId="77777777" w:rsidR="00066C63" w:rsidRDefault="009656F6">
            <w:pPr>
              <w:jc w:val="center"/>
              <w:textAlignment w:val="bottom"/>
            </w:pPr>
            <w:r>
              <w:rPr>
                <w:rFonts w:ascii="sans-serif" w:eastAsia="sans-serif" w:hAnsi="sans-serif" w:cs="sans-serif"/>
                <w:b/>
                <w:bCs/>
                <w:color w:val="000000"/>
                <w:sz w:val="17"/>
                <w:szCs w:val="17"/>
              </w:rPr>
              <w:t>FEBRUARY 29, 2020</w:t>
            </w:r>
          </w:p>
        </w:tc>
        <w:tc>
          <w:tcPr>
            <w:tcW w:w="0" w:type="auto"/>
            <w:gridSpan w:val="3"/>
            <w:shd w:val="clear" w:color="auto" w:fill="auto"/>
            <w:tcMar>
              <w:top w:w="0" w:type="dxa"/>
              <w:left w:w="20" w:type="dxa"/>
              <w:bottom w:w="0" w:type="dxa"/>
              <w:right w:w="20" w:type="dxa"/>
            </w:tcMar>
          </w:tcPr>
          <w:p w14:paraId="669C696D" w14:textId="77777777" w:rsidR="00066C63" w:rsidRDefault="00066C63">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96E" w14:textId="77777777" w:rsidR="00066C63" w:rsidRDefault="009656F6">
            <w:pPr>
              <w:jc w:val="center"/>
              <w:textAlignment w:val="bottom"/>
            </w:pPr>
            <w:r>
              <w:rPr>
                <w:rFonts w:ascii="sans-serif" w:eastAsia="sans-serif" w:hAnsi="sans-serif" w:cs="sans-serif"/>
                <w:b/>
                <w:bCs/>
                <w:color w:val="000000"/>
                <w:sz w:val="17"/>
                <w:szCs w:val="17"/>
              </w:rPr>
              <w:t>FEBRUARY 28, 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96F" w14:textId="77777777" w:rsidR="00066C63" w:rsidRDefault="009656F6">
            <w:pPr>
              <w:jc w:val="center"/>
              <w:textAlignment w:val="bottom"/>
            </w:pPr>
            <w:r>
              <w:rPr>
                <w:rFonts w:ascii="sans-serif" w:eastAsia="sans-serif" w:hAnsi="sans-serif" w:cs="sans-serif"/>
                <w:b/>
                <w:bCs/>
                <w:color w:val="000000"/>
                <w:sz w:val="17"/>
                <w:szCs w:val="17"/>
              </w:rPr>
              <w:t>FEBRUARY 29, 2020</w:t>
            </w:r>
          </w:p>
        </w:tc>
        <w:tc>
          <w:tcPr>
            <w:tcW w:w="0" w:type="auto"/>
            <w:gridSpan w:val="3"/>
            <w:vMerge/>
            <w:shd w:val="clear" w:color="auto" w:fill="auto"/>
            <w:tcMar>
              <w:top w:w="40" w:type="dxa"/>
              <w:left w:w="20" w:type="dxa"/>
              <w:bottom w:w="40" w:type="dxa"/>
              <w:right w:w="20" w:type="dxa"/>
            </w:tcMar>
            <w:vAlign w:val="bottom"/>
          </w:tcPr>
          <w:p w14:paraId="669C6970" w14:textId="77777777" w:rsidR="00066C63" w:rsidRDefault="00066C63">
            <w:pPr>
              <w:jc w:val="right"/>
              <w:rPr>
                <w:rFonts w:ascii="宋体"/>
              </w:rPr>
            </w:pPr>
          </w:p>
        </w:tc>
      </w:tr>
      <w:tr w:rsidR="00066C63" w14:paraId="669C6981"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972" w14:textId="77777777" w:rsidR="00066C63" w:rsidRDefault="009656F6">
            <w:pPr>
              <w:textAlignment w:val="bottom"/>
            </w:pPr>
            <w:r>
              <w:rPr>
                <w:rFonts w:ascii="Arial" w:eastAsia="宋体" w:hAnsi="Arial" w:cs="Arial"/>
                <w:color w:val="000000"/>
                <w:sz w:val="17"/>
                <w:szCs w:val="17"/>
              </w:rPr>
              <w:t>Gains (losses) on foreign currency translation adjustment</w:t>
            </w:r>
          </w:p>
        </w:tc>
        <w:tc>
          <w:tcPr>
            <w:tcW w:w="0" w:type="auto"/>
            <w:tcBorders>
              <w:top w:val="single" w:sz="8" w:space="0" w:color="E87722"/>
            </w:tcBorders>
            <w:shd w:val="clear" w:color="auto" w:fill="FFF1E7"/>
            <w:tcMar>
              <w:top w:w="40" w:type="dxa"/>
              <w:left w:w="20" w:type="dxa"/>
              <w:bottom w:w="40" w:type="dxa"/>
              <w:right w:w="0" w:type="dxa"/>
            </w:tcMar>
            <w:vAlign w:val="bottom"/>
          </w:tcPr>
          <w:p w14:paraId="669C6973"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669C6974" w14:textId="77777777" w:rsidR="00066C63" w:rsidRDefault="009656F6">
            <w:pPr>
              <w:jc w:val="right"/>
              <w:textAlignment w:val="bottom"/>
            </w:pPr>
            <w:r>
              <w:rPr>
                <w:rFonts w:ascii="Arial" w:eastAsia="宋体" w:hAnsi="Arial" w:cs="Arial"/>
                <w:color w:val="000000"/>
                <w:sz w:val="17"/>
                <w:szCs w:val="17"/>
              </w:rPr>
              <w:t>1 </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6975" w14:textId="77777777" w:rsidR="00066C63" w:rsidRDefault="00066C63">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69C6976"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69C6977" w14:textId="77777777" w:rsidR="00066C63" w:rsidRDefault="009656F6">
            <w:pPr>
              <w:jc w:val="right"/>
              <w:textAlignment w:val="bottom"/>
            </w:pPr>
            <w:r>
              <w:rPr>
                <w:rFonts w:ascii="Arial" w:eastAsia="宋体" w:hAnsi="Arial" w:cs="Arial"/>
                <w:color w:val="000000"/>
                <w:sz w:val="17"/>
                <w:szCs w:val="17"/>
              </w:rPr>
              <w:t>(1)</w:t>
            </w:r>
          </w:p>
        </w:tc>
        <w:tc>
          <w:tcPr>
            <w:tcW w:w="0" w:type="auto"/>
            <w:tcBorders>
              <w:top w:val="single" w:sz="8" w:space="0" w:color="E87722"/>
            </w:tcBorders>
            <w:shd w:val="clear" w:color="auto" w:fill="auto"/>
            <w:tcMar>
              <w:top w:w="40" w:type="dxa"/>
              <w:left w:w="0" w:type="dxa"/>
              <w:bottom w:w="40" w:type="dxa"/>
              <w:right w:w="20" w:type="dxa"/>
            </w:tcMar>
            <w:vAlign w:val="bottom"/>
          </w:tcPr>
          <w:p w14:paraId="669C6978" w14:textId="77777777" w:rsidR="00066C63" w:rsidRDefault="00066C63">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6979" w14:textId="77777777" w:rsidR="00066C63" w:rsidRDefault="00066C63">
            <w:pPr>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669C697A"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669C697B" w14:textId="77777777" w:rsidR="00066C63" w:rsidRDefault="009656F6">
            <w:pPr>
              <w:jc w:val="right"/>
              <w:textAlignment w:val="bottom"/>
            </w:pPr>
            <w:r>
              <w:rPr>
                <w:rFonts w:ascii="Arial" w:eastAsia="宋体" w:hAnsi="Arial" w:cs="Arial"/>
                <w:color w:val="000000"/>
                <w:sz w:val="17"/>
                <w:szCs w:val="17"/>
              </w:rPr>
              <w:t>2 </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697C" w14:textId="77777777" w:rsidR="00066C63" w:rsidRDefault="00066C63">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69C697D"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69C697E" w14:textId="77777777" w:rsidR="00066C63" w:rsidRDefault="009656F6">
            <w:pPr>
              <w:jc w:val="right"/>
              <w:textAlignment w:val="bottom"/>
            </w:pPr>
            <w:r>
              <w:rPr>
                <w:rFonts w:ascii="Arial" w:eastAsia="宋体" w:hAnsi="Arial" w:cs="Arial"/>
                <w:color w:val="000000"/>
                <w:sz w:val="17"/>
                <w:szCs w:val="17"/>
              </w:rPr>
              <w:t>(1)</w:t>
            </w:r>
          </w:p>
        </w:tc>
        <w:tc>
          <w:tcPr>
            <w:tcW w:w="0" w:type="auto"/>
            <w:tcBorders>
              <w:top w:val="single" w:sz="8" w:space="0" w:color="E87722"/>
            </w:tcBorders>
            <w:shd w:val="clear" w:color="auto" w:fill="auto"/>
            <w:tcMar>
              <w:top w:w="40" w:type="dxa"/>
              <w:left w:w="0" w:type="dxa"/>
              <w:bottom w:w="40" w:type="dxa"/>
              <w:right w:w="20" w:type="dxa"/>
            </w:tcMar>
            <w:vAlign w:val="bottom"/>
          </w:tcPr>
          <w:p w14:paraId="669C697F" w14:textId="77777777" w:rsidR="00066C63" w:rsidRDefault="00066C63">
            <w:pPr>
              <w:jc w:val="right"/>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980" w14:textId="77777777" w:rsidR="00066C63" w:rsidRDefault="009656F6">
            <w:pPr>
              <w:jc w:val="right"/>
              <w:textAlignment w:val="bottom"/>
            </w:pPr>
            <w:r>
              <w:rPr>
                <w:rFonts w:ascii="Arial" w:eastAsia="宋体" w:hAnsi="Arial" w:cs="Arial"/>
                <w:color w:val="000000"/>
                <w:sz w:val="17"/>
                <w:szCs w:val="17"/>
              </w:rPr>
              <w:t>Other expense (income), net</w:t>
            </w:r>
          </w:p>
        </w:tc>
      </w:tr>
      <w:tr w:rsidR="00066C63" w14:paraId="669C698D"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982" w14:textId="77777777" w:rsidR="00066C63" w:rsidRDefault="009656F6">
            <w:pPr>
              <w:textAlignment w:val="bottom"/>
            </w:pPr>
            <w:r>
              <w:rPr>
                <w:rFonts w:ascii="Arial" w:eastAsia="宋体" w:hAnsi="Arial" w:cs="Arial"/>
                <w:color w:val="000000"/>
                <w:sz w:val="17"/>
                <w:szCs w:val="17"/>
              </w:rPr>
              <w:t>Total before tax</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669C6983" w14:textId="77777777" w:rsidR="00066C63" w:rsidRDefault="009656F6">
            <w:pPr>
              <w:jc w:val="right"/>
              <w:textAlignment w:val="bottom"/>
            </w:pPr>
            <w:r>
              <w:rPr>
                <w:rFonts w:ascii="Arial" w:eastAsia="宋体" w:hAnsi="Arial" w:cs="Arial"/>
                <w:color w:val="000000"/>
                <w:sz w:val="17"/>
                <w:szCs w:val="17"/>
              </w:rPr>
              <w:t>1 </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6984" w14:textId="77777777" w:rsidR="00066C63" w:rsidRDefault="00066C63">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6985" w14:textId="77777777" w:rsidR="00066C63" w:rsidRDefault="009656F6">
            <w:pPr>
              <w:jc w:val="right"/>
              <w:textAlignment w:val="bottom"/>
            </w:pPr>
            <w:r>
              <w:rPr>
                <w:rFonts w:ascii="Arial" w:eastAsia="宋体" w:hAnsi="Arial" w:cs="Arial"/>
                <w:color w:val="000000"/>
                <w:sz w:val="17"/>
                <w:szCs w:val="17"/>
              </w:rPr>
              <w:t>(1)</w:t>
            </w:r>
          </w:p>
        </w:tc>
        <w:tc>
          <w:tcPr>
            <w:tcW w:w="0" w:type="auto"/>
            <w:tcBorders>
              <w:top w:val="single" w:sz="8" w:space="0" w:color="E87722"/>
            </w:tcBorders>
            <w:shd w:val="clear" w:color="auto" w:fill="auto"/>
            <w:tcMar>
              <w:top w:w="40" w:type="dxa"/>
              <w:left w:w="0" w:type="dxa"/>
              <w:bottom w:w="40" w:type="dxa"/>
              <w:right w:w="20" w:type="dxa"/>
            </w:tcMar>
            <w:vAlign w:val="bottom"/>
          </w:tcPr>
          <w:p w14:paraId="669C6986" w14:textId="77777777" w:rsidR="00066C63" w:rsidRDefault="00066C63">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6987" w14:textId="77777777" w:rsidR="00066C63" w:rsidRDefault="00066C63">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669C6988" w14:textId="77777777" w:rsidR="00066C63" w:rsidRDefault="009656F6">
            <w:pPr>
              <w:jc w:val="right"/>
              <w:textAlignment w:val="bottom"/>
            </w:pPr>
            <w:r>
              <w:rPr>
                <w:rFonts w:ascii="Arial" w:eastAsia="宋体" w:hAnsi="Arial" w:cs="Arial"/>
                <w:color w:val="000000"/>
                <w:sz w:val="17"/>
                <w:szCs w:val="17"/>
              </w:rPr>
              <w:t>2 </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6989" w14:textId="77777777" w:rsidR="00066C63" w:rsidRDefault="00066C63">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698A" w14:textId="77777777" w:rsidR="00066C63" w:rsidRDefault="009656F6">
            <w:pPr>
              <w:jc w:val="right"/>
              <w:textAlignment w:val="bottom"/>
            </w:pPr>
            <w:r>
              <w:rPr>
                <w:rFonts w:ascii="Arial" w:eastAsia="宋体" w:hAnsi="Arial" w:cs="Arial"/>
                <w:color w:val="000000"/>
                <w:sz w:val="16"/>
                <w:szCs w:val="16"/>
              </w:rPr>
              <w:t>(1)</w:t>
            </w:r>
          </w:p>
        </w:tc>
        <w:tc>
          <w:tcPr>
            <w:tcW w:w="0" w:type="auto"/>
            <w:tcBorders>
              <w:top w:val="single" w:sz="8" w:space="0" w:color="E87722"/>
            </w:tcBorders>
            <w:shd w:val="clear" w:color="auto" w:fill="auto"/>
            <w:tcMar>
              <w:top w:w="40" w:type="dxa"/>
              <w:left w:w="0" w:type="dxa"/>
              <w:bottom w:w="40" w:type="dxa"/>
              <w:right w:w="20" w:type="dxa"/>
            </w:tcMar>
            <w:vAlign w:val="bottom"/>
          </w:tcPr>
          <w:p w14:paraId="669C698B" w14:textId="77777777" w:rsidR="00066C63" w:rsidRDefault="00066C63">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698C" w14:textId="77777777" w:rsidR="00066C63" w:rsidRDefault="00066C63">
            <w:pPr>
              <w:rPr>
                <w:rFonts w:ascii="宋体"/>
              </w:rPr>
            </w:pPr>
          </w:p>
        </w:tc>
      </w:tr>
      <w:tr w:rsidR="00066C63" w14:paraId="669C6999" w14:textId="77777777">
        <w:tc>
          <w:tcPr>
            <w:tcW w:w="0" w:type="auto"/>
            <w:gridSpan w:val="3"/>
            <w:tcBorders>
              <w:top w:val="single" w:sz="8" w:space="0" w:color="B6B6B6"/>
            </w:tcBorders>
            <w:shd w:val="clear" w:color="auto" w:fill="auto"/>
            <w:tcMar>
              <w:top w:w="40" w:type="dxa"/>
              <w:left w:w="20" w:type="dxa"/>
              <w:bottom w:w="40" w:type="dxa"/>
              <w:right w:w="20" w:type="dxa"/>
            </w:tcMar>
            <w:vAlign w:val="bottom"/>
          </w:tcPr>
          <w:p w14:paraId="669C698E" w14:textId="77777777" w:rsidR="00066C63" w:rsidRDefault="009656F6">
            <w:pPr>
              <w:textAlignment w:val="bottom"/>
            </w:pPr>
            <w:r>
              <w:rPr>
                <w:rFonts w:ascii="Arial" w:eastAsia="宋体" w:hAnsi="Arial" w:cs="Arial"/>
                <w:color w:val="000000"/>
                <w:sz w:val="17"/>
                <w:szCs w:val="17"/>
              </w:rPr>
              <w:t>Tax (expense) benefit</w:t>
            </w:r>
          </w:p>
        </w:tc>
        <w:tc>
          <w:tcPr>
            <w:tcW w:w="0" w:type="auto"/>
            <w:gridSpan w:val="2"/>
            <w:tcBorders>
              <w:top w:val="single" w:sz="8" w:space="0" w:color="B6B6B6"/>
            </w:tcBorders>
            <w:shd w:val="clear" w:color="auto" w:fill="FFF1E7"/>
            <w:tcMar>
              <w:top w:w="40" w:type="dxa"/>
              <w:left w:w="20" w:type="dxa"/>
              <w:bottom w:w="40" w:type="dxa"/>
              <w:right w:w="0" w:type="dxa"/>
            </w:tcMar>
            <w:vAlign w:val="bottom"/>
          </w:tcPr>
          <w:p w14:paraId="669C698F" w14:textId="77777777" w:rsidR="00066C63" w:rsidRDefault="009656F6">
            <w:pPr>
              <w:jc w:val="right"/>
              <w:textAlignment w:val="bottom"/>
            </w:pPr>
            <w:r>
              <w:rPr>
                <w:rFonts w:ascii="Arial" w:eastAsia="宋体" w:hAnsi="Arial" w:cs="Arial"/>
                <w:color w:val="000000"/>
                <w:sz w:val="17"/>
                <w:szCs w:val="17"/>
              </w:rPr>
              <w:t>— </w:t>
            </w:r>
          </w:p>
        </w:tc>
        <w:tc>
          <w:tcPr>
            <w:tcW w:w="0" w:type="auto"/>
            <w:tcBorders>
              <w:top w:val="single" w:sz="8" w:space="0" w:color="B6B6B6"/>
            </w:tcBorders>
            <w:shd w:val="clear" w:color="auto" w:fill="FFF1E7"/>
            <w:tcMar>
              <w:top w:w="40" w:type="dxa"/>
              <w:left w:w="0" w:type="dxa"/>
              <w:bottom w:w="40" w:type="dxa"/>
              <w:right w:w="20" w:type="dxa"/>
            </w:tcMar>
            <w:vAlign w:val="bottom"/>
          </w:tcPr>
          <w:p w14:paraId="669C6990" w14:textId="77777777" w:rsidR="00066C63" w:rsidRDefault="00066C63">
            <w:pPr>
              <w:jc w:val="right"/>
              <w:rPr>
                <w:rFonts w:ascii="宋体"/>
              </w:rPr>
            </w:pPr>
          </w:p>
        </w:tc>
        <w:tc>
          <w:tcPr>
            <w:tcW w:w="0" w:type="auto"/>
            <w:gridSpan w:val="2"/>
            <w:tcBorders>
              <w:top w:val="single" w:sz="8" w:space="0" w:color="B6B6B6"/>
            </w:tcBorders>
            <w:shd w:val="clear" w:color="auto" w:fill="auto"/>
            <w:tcMar>
              <w:top w:w="40" w:type="dxa"/>
              <w:left w:w="20" w:type="dxa"/>
              <w:bottom w:w="40" w:type="dxa"/>
              <w:right w:w="0" w:type="dxa"/>
            </w:tcMar>
            <w:vAlign w:val="bottom"/>
          </w:tcPr>
          <w:p w14:paraId="669C6991" w14:textId="77777777" w:rsidR="00066C63" w:rsidRDefault="009656F6">
            <w:pPr>
              <w:jc w:val="right"/>
              <w:textAlignment w:val="bottom"/>
            </w:pPr>
            <w:r>
              <w:rPr>
                <w:rFonts w:ascii="Arial" w:eastAsia="宋体" w:hAnsi="Arial" w:cs="Arial"/>
                <w:color w:val="000000"/>
                <w:sz w:val="17"/>
                <w:szCs w:val="17"/>
              </w:rPr>
              <w:t>— </w:t>
            </w:r>
          </w:p>
        </w:tc>
        <w:tc>
          <w:tcPr>
            <w:tcW w:w="0" w:type="auto"/>
            <w:tcBorders>
              <w:top w:val="single" w:sz="8" w:space="0" w:color="B6B6B6"/>
            </w:tcBorders>
            <w:shd w:val="clear" w:color="auto" w:fill="auto"/>
            <w:tcMar>
              <w:top w:w="40" w:type="dxa"/>
              <w:left w:w="0" w:type="dxa"/>
              <w:bottom w:w="40" w:type="dxa"/>
              <w:right w:w="20" w:type="dxa"/>
            </w:tcMar>
            <w:vAlign w:val="bottom"/>
          </w:tcPr>
          <w:p w14:paraId="669C6992" w14:textId="77777777" w:rsidR="00066C63" w:rsidRDefault="00066C63">
            <w:pPr>
              <w:jc w:val="right"/>
              <w:rPr>
                <w:rFonts w:ascii="宋体"/>
              </w:rPr>
            </w:pPr>
          </w:p>
        </w:tc>
        <w:tc>
          <w:tcPr>
            <w:tcW w:w="0" w:type="auto"/>
            <w:gridSpan w:val="3"/>
            <w:tcBorders>
              <w:top w:val="single" w:sz="8" w:space="0" w:color="B6B6B6"/>
            </w:tcBorders>
            <w:shd w:val="clear" w:color="auto" w:fill="auto"/>
            <w:tcMar>
              <w:top w:w="0" w:type="dxa"/>
              <w:left w:w="20" w:type="dxa"/>
              <w:bottom w:w="0" w:type="dxa"/>
              <w:right w:w="20" w:type="dxa"/>
            </w:tcMar>
          </w:tcPr>
          <w:p w14:paraId="669C6993" w14:textId="77777777" w:rsidR="00066C63" w:rsidRDefault="00066C63">
            <w:pPr>
              <w:rPr>
                <w:rFonts w:ascii="宋体"/>
              </w:rPr>
            </w:pPr>
          </w:p>
        </w:tc>
        <w:tc>
          <w:tcPr>
            <w:tcW w:w="0" w:type="auto"/>
            <w:gridSpan w:val="2"/>
            <w:tcBorders>
              <w:top w:val="single" w:sz="8" w:space="0" w:color="B6B6B6"/>
            </w:tcBorders>
            <w:shd w:val="clear" w:color="auto" w:fill="FFF1E7"/>
            <w:tcMar>
              <w:top w:w="40" w:type="dxa"/>
              <w:left w:w="20" w:type="dxa"/>
              <w:bottom w:w="40" w:type="dxa"/>
              <w:right w:w="0" w:type="dxa"/>
            </w:tcMar>
            <w:vAlign w:val="bottom"/>
          </w:tcPr>
          <w:p w14:paraId="669C6994" w14:textId="77777777" w:rsidR="00066C63" w:rsidRDefault="009656F6">
            <w:pPr>
              <w:jc w:val="right"/>
              <w:textAlignment w:val="bottom"/>
            </w:pPr>
            <w:r>
              <w:rPr>
                <w:rFonts w:ascii="Arial" w:eastAsia="宋体" w:hAnsi="Arial" w:cs="Arial"/>
                <w:color w:val="000000"/>
                <w:sz w:val="17"/>
                <w:szCs w:val="17"/>
              </w:rPr>
              <w:t>— </w:t>
            </w:r>
          </w:p>
        </w:tc>
        <w:tc>
          <w:tcPr>
            <w:tcW w:w="0" w:type="auto"/>
            <w:tcBorders>
              <w:top w:val="single" w:sz="8" w:space="0" w:color="B6B6B6"/>
            </w:tcBorders>
            <w:shd w:val="clear" w:color="auto" w:fill="FFF1E7"/>
            <w:tcMar>
              <w:top w:w="40" w:type="dxa"/>
              <w:left w:w="0" w:type="dxa"/>
              <w:bottom w:w="40" w:type="dxa"/>
              <w:right w:w="20" w:type="dxa"/>
            </w:tcMar>
            <w:vAlign w:val="bottom"/>
          </w:tcPr>
          <w:p w14:paraId="669C6995" w14:textId="77777777" w:rsidR="00066C63" w:rsidRDefault="00066C63">
            <w:pPr>
              <w:jc w:val="right"/>
              <w:rPr>
                <w:rFonts w:ascii="宋体"/>
              </w:rPr>
            </w:pPr>
          </w:p>
        </w:tc>
        <w:tc>
          <w:tcPr>
            <w:tcW w:w="0" w:type="auto"/>
            <w:gridSpan w:val="2"/>
            <w:tcBorders>
              <w:top w:val="single" w:sz="8" w:space="0" w:color="B6B6B6"/>
            </w:tcBorders>
            <w:shd w:val="clear" w:color="auto" w:fill="auto"/>
            <w:tcMar>
              <w:top w:w="40" w:type="dxa"/>
              <w:left w:w="20" w:type="dxa"/>
              <w:bottom w:w="40" w:type="dxa"/>
              <w:right w:w="0" w:type="dxa"/>
            </w:tcMar>
            <w:vAlign w:val="bottom"/>
          </w:tcPr>
          <w:p w14:paraId="669C6996" w14:textId="77777777" w:rsidR="00066C63" w:rsidRDefault="009656F6">
            <w:pPr>
              <w:jc w:val="right"/>
              <w:textAlignment w:val="bottom"/>
            </w:pPr>
            <w:r>
              <w:rPr>
                <w:rFonts w:ascii="Arial" w:eastAsia="宋体" w:hAnsi="Arial" w:cs="Arial"/>
                <w:color w:val="000000"/>
                <w:sz w:val="17"/>
                <w:szCs w:val="17"/>
              </w:rPr>
              <w:t>— </w:t>
            </w:r>
          </w:p>
        </w:tc>
        <w:tc>
          <w:tcPr>
            <w:tcW w:w="0" w:type="auto"/>
            <w:tcBorders>
              <w:top w:val="single" w:sz="8" w:space="0" w:color="B6B6B6"/>
            </w:tcBorders>
            <w:shd w:val="clear" w:color="auto" w:fill="auto"/>
            <w:tcMar>
              <w:top w:w="40" w:type="dxa"/>
              <w:left w:w="0" w:type="dxa"/>
              <w:bottom w:w="40" w:type="dxa"/>
              <w:right w:w="20" w:type="dxa"/>
            </w:tcMar>
            <w:vAlign w:val="bottom"/>
          </w:tcPr>
          <w:p w14:paraId="669C6997" w14:textId="77777777" w:rsidR="00066C63" w:rsidRDefault="00066C63">
            <w:pPr>
              <w:jc w:val="right"/>
              <w:rPr>
                <w:rFonts w:ascii="宋体"/>
              </w:rPr>
            </w:pPr>
          </w:p>
        </w:tc>
        <w:tc>
          <w:tcPr>
            <w:tcW w:w="0" w:type="auto"/>
            <w:gridSpan w:val="3"/>
            <w:tcBorders>
              <w:top w:val="single" w:sz="8" w:space="0" w:color="B6B6B6"/>
            </w:tcBorders>
            <w:shd w:val="clear" w:color="auto" w:fill="auto"/>
            <w:tcMar>
              <w:top w:w="0" w:type="dxa"/>
              <w:left w:w="20" w:type="dxa"/>
              <w:bottom w:w="0" w:type="dxa"/>
              <w:right w:w="20" w:type="dxa"/>
            </w:tcMar>
          </w:tcPr>
          <w:p w14:paraId="669C6998" w14:textId="77777777" w:rsidR="00066C63" w:rsidRDefault="00066C63">
            <w:pPr>
              <w:rPr>
                <w:rFonts w:ascii="宋体"/>
              </w:rPr>
            </w:pPr>
          </w:p>
        </w:tc>
      </w:tr>
      <w:tr w:rsidR="00066C63" w14:paraId="669C69A5"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99A" w14:textId="77777777" w:rsidR="00066C63" w:rsidRDefault="009656F6">
            <w:pPr>
              <w:textAlignment w:val="bottom"/>
            </w:pPr>
            <w:r>
              <w:rPr>
                <w:rFonts w:ascii="Arial" w:eastAsia="宋体" w:hAnsi="Arial" w:cs="Arial"/>
                <w:b/>
                <w:bCs/>
                <w:color w:val="000000"/>
                <w:sz w:val="17"/>
                <w:szCs w:val="17"/>
              </w:rPr>
              <w:t>Gain (loss) net of tax</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669C699B" w14:textId="77777777" w:rsidR="00066C63" w:rsidRDefault="009656F6">
            <w:pPr>
              <w:jc w:val="right"/>
              <w:textAlignment w:val="bottom"/>
            </w:pPr>
            <w:r>
              <w:rPr>
                <w:rFonts w:ascii="Arial" w:eastAsia="宋体" w:hAnsi="Arial" w:cs="Arial"/>
                <w:b/>
                <w:bCs/>
                <w:color w:val="000000"/>
                <w:sz w:val="17"/>
                <w:szCs w:val="17"/>
              </w:rPr>
              <w:t>1</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699C" w14:textId="77777777" w:rsidR="00066C63" w:rsidRDefault="00066C63">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699D" w14:textId="77777777" w:rsidR="00066C63" w:rsidRDefault="009656F6">
            <w:pPr>
              <w:jc w:val="right"/>
              <w:textAlignment w:val="bottom"/>
            </w:pPr>
            <w:r>
              <w:rPr>
                <w:rFonts w:ascii="Arial" w:eastAsia="宋体" w:hAnsi="Arial" w:cs="Arial"/>
                <w:b/>
                <w:bCs/>
                <w:color w:val="000000"/>
                <w:sz w:val="17"/>
                <w:szCs w:val="17"/>
              </w:rPr>
              <w:t>(1)</w:t>
            </w:r>
          </w:p>
        </w:tc>
        <w:tc>
          <w:tcPr>
            <w:tcW w:w="0" w:type="auto"/>
            <w:tcBorders>
              <w:top w:val="single" w:sz="8" w:space="0" w:color="E87722"/>
            </w:tcBorders>
            <w:shd w:val="clear" w:color="auto" w:fill="auto"/>
            <w:tcMar>
              <w:top w:w="40" w:type="dxa"/>
              <w:left w:w="0" w:type="dxa"/>
              <w:bottom w:w="40" w:type="dxa"/>
              <w:right w:w="20" w:type="dxa"/>
            </w:tcMar>
            <w:vAlign w:val="bottom"/>
          </w:tcPr>
          <w:p w14:paraId="669C699E" w14:textId="77777777" w:rsidR="00066C63" w:rsidRDefault="00066C63">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699F" w14:textId="77777777" w:rsidR="00066C63" w:rsidRDefault="00066C63">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669C69A0" w14:textId="77777777" w:rsidR="00066C63" w:rsidRDefault="009656F6">
            <w:pPr>
              <w:jc w:val="right"/>
              <w:textAlignment w:val="bottom"/>
            </w:pPr>
            <w:r>
              <w:rPr>
                <w:rFonts w:ascii="Arial" w:eastAsia="宋体" w:hAnsi="Arial" w:cs="Arial"/>
                <w:b/>
                <w:bCs/>
                <w:color w:val="000000"/>
                <w:sz w:val="17"/>
                <w:szCs w:val="17"/>
              </w:rPr>
              <w:t>2</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69A1" w14:textId="77777777" w:rsidR="00066C63" w:rsidRDefault="00066C63">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69A2" w14:textId="77777777" w:rsidR="00066C63" w:rsidRDefault="009656F6">
            <w:pPr>
              <w:jc w:val="right"/>
              <w:textAlignment w:val="bottom"/>
            </w:pPr>
            <w:r>
              <w:rPr>
                <w:rFonts w:ascii="Arial" w:eastAsia="宋体" w:hAnsi="Arial" w:cs="Arial"/>
                <w:b/>
                <w:bCs/>
                <w:color w:val="000000"/>
                <w:sz w:val="17"/>
                <w:szCs w:val="17"/>
              </w:rPr>
              <w:t>(1)</w:t>
            </w:r>
          </w:p>
        </w:tc>
        <w:tc>
          <w:tcPr>
            <w:tcW w:w="0" w:type="auto"/>
            <w:tcBorders>
              <w:top w:val="single" w:sz="8" w:space="0" w:color="E87722"/>
            </w:tcBorders>
            <w:shd w:val="clear" w:color="auto" w:fill="auto"/>
            <w:tcMar>
              <w:top w:w="40" w:type="dxa"/>
              <w:left w:w="0" w:type="dxa"/>
              <w:bottom w:w="40" w:type="dxa"/>
              <w:right w:w="20" w:type="dxa"/>
            </w:tcMar>
            <w:vAlign w:val="bottom"/>
          </w:tcPr>
          <w:p w14:paraId="669C69A3" w14:textId="77777777" w:rsidR="00066C63" w:rsidRDefault="00066C63">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69A4" w14:textId="77777777" w:rsidR="00066C63" w:rsidRDefault="00066C63">
            <w:pPr>
              <w:rPr>
                <w:rFonts w:ascii="宋体"/>
              </w:rPr>
            </w:pPr>
          </w:p>
        </w:tc>
      </w:tr>
      <w:tr w:rsidR="00066C63" w14:paraId="669C69AD"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9A6" w14:textId="77777777" w:rsidR="00066C63" w:rsidRDefault="009656F6">
            <w:pPr>
              <w:textAlignment w:val="bottom"/>
            </w:pPr>
            <w:r>
              <w:rPr>
                <w:rFonts w:ascii="Arial" w:eastAsia="宋体" w:hAnsi="Arial" w:cs="Arial"/>
                <w:color w:val="000000"/>
                <w:sz w:val="17"/>
                <w:szCs w:val="17"/>
              </w:rPr>
              <w:t>Gains (losses) on cash flow hedges:</w:t>
            </w:r>
          </w:p>
        </w:tc>
        <w:tc>
          <w:tcPr>
            <w:tcW w:w="0" w:type="auto"/>
            <w:gridSpan w:val="3"/>
            <w:tcBorders>
              <w:top w:val="single" w:sz="8" w:space="0" w:color="E87722"/>
            </w:tcBorders>
            <w:shd w:val="clear" w:color="auto" w:fill="FFF1E7"/>
            <w:tcMar>
              <w:top w:w="0" w:type="dxa"/>
              <w:left w:w="20" w:type="dxa"/>
              <w:bottom w:w="0" w:type="dxa"/>
              <w:right w:w="20" w:type="dxa"/>
            </w:tcMar>
          </w:tcPr>
          <w:p w14:paraId="669C69A7"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69A8"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69A9" w14:textId="77777777" w:rsidR="00066C63" w:rsidRDefault="00066C63">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669C69AA"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69AB"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69AC" w14:textId="77777777" w:rsidR="00066C63" w:rsidRDefault="00066C63">
            <w:pPr>
              <w:rPr>
                <w:rFonts w:ascii="宋体"/>
              </w:rPr>
            </w:pPr>
          </w:p>
        </w:tc>
      </w:tr>
      <w:tr w:rsidR="00066C63" w14:paraId="669C69BD"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69AE" w14:textId="77777777" w:rsidR="00066C63" w:rsidRDefault="009656F6">
            <w:pPr>
              <w:textAlignment w:val="bottom"/>
            </w:pPr>
            <w:r>
              <w:rPr>
                <w:rFonts w:ascii="Arial" w:eastAsia="宋体" w:hAnsi="Arial" w:cs="Arial"/>
                <w:color w:val="000000"/>
                <w:sz w:val="17"/>
                <w:szCs w:val="17"/>
              </w:rPr>
              <w:t>Foreign exchange forwards and options</w:t>
            </w:r>
          </w:p>
        </w:tc>
        <w:tc>
          <w:tcPr>
            <w:tcW w:w="0" w:type="auto"/>
            <w:tcBorders>
              <w:top w:val="single" w:sz="8" w:space="0" w:color="808080"/>
            </w:tcBorders>
            <w:shd w:val="clear" w:color="auto" w:fill="FFF1E7"/>
            <w:tcMar>
              <w:top w:w="40" w:type="dxa"/>
              <w:left w:w="20" w:type="dxa"/>
              <w:bottom w:w="40" w:type="dxa"/>
              <w:right w:w="0" w:type="dxa"/>
            </w:tcMar>
            <w:vAlign w:val="bottom"/>
          </w:tcPr>
          <w:p w14:paraId="669C69AF"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669C69B0" w14:textId="77777777" w:rsidR="00066C63" w:rsidRDefault="009656F6">
            <w:pPr>
              <w:jc w:val="right"/>
              <w:textAlignment w:val="bottom"/>
            </w:pPr>
            <w:r>
              <w:rPr>
                <w:rFonts w:ascii="Arial" w:eastAsia="宋体" w:hAnsi="Arial" w:cs="Arial"/>
                <w:color w:val="000000"/>
                <w:sz w:val="17"/>
                <w:szCs w:val="17"/>
              </w:rPr>
              <w:t>16 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9B1" w14:textId="77777777" w:rsidR="00066C63" w:rsidRDefault="00066C63">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669C69B2"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669C69B3" w14:textId="77777777" w:rsidR="00066C63" w:rsidRDefault="009656F6">
            <w:pPr>
              <w:jc w:val="right"/>
              <w:textAlignment w:val="bottom"/>
            </w:pPr>
            <w:r>
              <w:rPr>
                <w:rFonts w:ascii="Arial" w:eastAsia="宋体" w:hAnsi="Arial" w:cs="Arial"/>
                <w:color w:val="000000"/>
                <w:sz w:val="17"/>
                <w:szCs w:val="17"/>
              </w:rPr>
              <w:t>(21)</w:t>
            </w:r>
          </w:p>
        </w:tc>
        <w:tc>
          <w:tcPr>
            <w:tcW w:w="0" w:type="auto"/>
            <w:tcBorders>
              <w:top w:val="single" w:sz="8" w:space="0" w:color="808080"/>
            </w:tcBorders>
            <w:shd w:val="clear" w:color="auto" w:fill="auto"/>
            <w:tcMar>
              <w:top w:w="40" w:type="dxa"/>
              <w:left w:w="0" w:type="dxa"/>
              <w:bottom w:w="40" w:type="dxa"/>
              <w:right w:w="20" w:type="dxa"/>
            </w:tcMar>
            <w:vAlign w:val="bottom"/>
          </w:tcPr>
          <w:p w14:paraId="669C69B4" w14:textId="77777777" w:rsidR="00066C63" w:rsidRDefault="00066C63">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69B5" w14:textId="77777777" w:rsidR="00066C63" w:rsidRDefault="00066C63">
            <w:pPr>
              <w:rPr>
                <w:rFonts w:ascii="宋体"/>
              </w:rPr>
            </w:pPr>
          </w:p>
        </w:tc>
        <w:tc>
          <w:tcPr>
            <w:tcW w:w="0" w:type="auto"/>
            <w:tcBorders>
              <w:top w:val="single" w:sz="8" w:space="0" w:color="808080"/>
            </w:tcBorders>
            <w:shd w:val="clear" w:color="auto" w:fill="FFF1E7"/>
            <w:tcMar>
              <w:top w:w="40" w:type="dxa"/>
              <w:left w:w="20" w:type="dxa"/>
              <w:bottom w:w="40" w:type="dxa"/>
              <w:right w:w="0" w:type="dxa"/>
            </w:tcMar>
            <w:vAlign w:val="bottom"/>
          </w:tcPr>
          <w:p w14:paraId="669C69B6"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669C69B7" w14:textId="77777777" w:rsidR="00066C63" w:rsidRDefault="009656F6">
            <w:pPr>
              <w:jc w:val="right"/>
              <w:textAlignment w:val="bottom"/>
            </w:pPr>
            <w:r>
              <w:rPr>
                <w:rFonts w:ascii="Arial" w:eastAsia="宋体" w:hAnsi="Arial" w:cs="Arial"/>
                <w:color w:val="000000"/>
                <w:sz w:val="17"/>
                <w:szCs w:val="17"/>
              </w:rPr>
              <w:t>56 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9B8" w14:textId="77777777" w:rsidR="00066C63" w:rsidRDefault="00066C63">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669C69B9"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669C69BA" w14:textId="77777777" w:rsidR="00066C63" w:rsidRDefault="009656F6">
            <w:pPr>
              <w:jc w:val="right"/>
              <w:textAlignment w:val="bottom"/>
            </w:pPr>
            <w:r>
              <w:rPr>
                <w:rFonts w:ascii="Arial" w:eastAsia="宋体" w:hAnsi="Arial" w:cs="Arial"/>
                <w:color w:val="000000"/>
                <w:sz w:val="17"/>
                <w:szCs w:val="17"/>
              </w:rPr>
              <w:t>(12)</w:t>
            </w:r>
          </w:p>
        </w:tc>
        <w:tc>
          <w:tcPr>
            <w:tcW w:w="0" w:type="auto"/>
            <w:tcBorders>
              <w:top w:val="single" w:sz="8" w:space="0" w:color="808080"/>
            </w:tcBorders>
            <w:shd w:val="clear" w:color="auto" w:fill="auto"/>
            <w:tcMar>
              <w:top w:w="40" w:type="dxa"/>
              <w:left w:w="0" w:type="dxa"/>
              <w:bottom w:w="40" w:type="dxa"/>
              <w:right w:w="20" w:type="dxa"/>
            </w:tcMar>
            <w:vAlign w:val="bottom"/>
          </w:tcPr>
          <w:p w14:paraId="669C69BB" w14:textId="77777777" w:rsidR="00066C63" w:rsidRDefault="00066C63">
            <w:pPr>
              <w:jc w:val="right"/>
              <w:rPr>
                <w:rFonts w:ascii="宋体"/>
              </w:rPr>
            </w:pP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69BC" w14:textId="77777777" w:rsidR="00066C63" w:rsidRDefault="009656F6">
            <w:pPr>
              <w:jc w:val="right"/>
              <w:textAlignment w:val="bottom"/>
            </w:pPr>
            <w:r>
              <w:rPr>
                <w:rFonts w:ascii="Arial" w:eastAsia="宋体" w:hAnsi="Arial" w:cs="Arial"/>
                <w:color w:val="000000"/>
                <w:sz w:val="17"/>
                <w:szCs w:val="17"/>
              </w:rPr>
              <w:t>Revenues</w:t>
            </w:r>
          </w:p>
        </w:tc>
      </w:tr>
      <w:tr w:rsidR="00066C63" w14:paraId="669C69C9"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69BE" w14:textId="77777777" w:rsidR="00066C63" w:rsidRDefault="009656F6">
            <w:pPr>
              <w:textAlignment w:val="bottom"/>
            </w:pPr>
            <w:r>
              <w:rPr>
                <w:rFonts w:ascii="Arial" w:eastAsia="宋体" w:hAnsi="Arial" w:cs="Arial"/>
                <w:color w:val="000000"/>
                <w:sz w:val="17"/>
                <w:szCs w:val="17"/>
              </w:rPr>
              <w:t>Foreign exchange forwards and options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9BF" w14:textId="77777777" w:rsidR="00066C63" w:rsidRDefault="009656F6">
            <w:pPr>
              <w:jc w:val="right"/>
              <w:textAlignment w:val="bottom"/>
            </w:pPr>
            <w:r>
              <w:rPr>
                <w:rFonts w:ascii="Arial" w:eastAsia="宋体" w:hAnsi="Arial" w:cs="Arial"/>
                <w:color w:val="000000"/>
                <w:sz w:val="17"/>
                <w:szCs w:val="17"/>
              </w:rPr>
              <w:t>(35)</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9C0"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9C1" w14:textId="77777777" w:rsidR="00066C63" w:rsidRDefault="009656F6">
            <w:pPr>
              <w:jc w:val="right"/>
              <w:textAlignment w:val="bottom"/>
            </w:pPr>
            <w:r>
              <w:rPr>
                <w:rFonts w:ascii="Arial" w:eastAsia="宋体" w:hAnsi="Arial" w:cs="Arial"/>
                <w:color w:val="000000"/>
                <w:sz w:val="17"/>
                <w:szCs w:val="17"/>
              </w:rPr>
              <w:t>110 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9C2" w14:textId="77777777" w:rsidR="00066C63" w:rsidRDefault="00066C63">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69C3" w14:textId="77777777" w:rsidR="00066C63" w:rsidRDefault="00066C63">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9C4" w14:textId="77777777" w:rsidR="00066C63" w:rsidRDefault="009656F6">
            <w:pPr>
              <w:jc w:val="right"/>
              <w:textAlignment w:val="bottom"/>
            </w:pPr>
            <w:r>
              <w:rPr>
                <w:rFonts w:ascii="Arial" w:eastAsia="宋体" w:hAnsi="Arial" w:cs="Arial"/>
                <w:color w:val="000000"/>
                <w:sz w:val="17"/>
                <w:szCs w:val="17"/>
              </w:rPr>
              <w:t>110 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9C5"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9C6" w14:textId="77777777" w:rsidR="00066C63" w:rsidRDefault="009656F6">
            <w:pPr>
              <w:jc w:val="right"/>
              <w:textAlignment w:val="bottom"/>
            </w:pPr>
            <w:r>
              <w:rPr>
                <w:rFonts w:ascii="Arial" w:eastAsia="宋体" w:hAnsi="Arial" w:cs="Arial"/>
                <w:color w:val="000000"/>
                <w:sz w:val="17"/>
                <w:szCs w:val="17"/>
              </w:rPr>
              <w:t>287 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9C7" w14:textId="77777777" w:rsidR="00066C63" w:rsidRDefault="00066C63">
            <w:pPr>
              <w:jc w:val="right"/>
              <w:rPr>
                <w:rFonts w:ascii="宋体"/>
              </w:rPr>
            </w:pP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69C8" w14:textId="77777777" w:rsidR="00066C63" w:rsidRDefault="009656F6">
            <w:pPr>
              <w:jc w:val="right"/>
              <w:textAlignment w:val="bottom"/>
            </w:pPr>
            <w:r>
              <w:rPr>
                <w:rFonts w:ascii="Arial" w:eastAsia="宋体" w:hAnsi="Arial" w:cs="Arial"/>
                <w:color w:val="000000"/>
                <w:sz w:val="17"/>
                <w:szCs w:val="17"/>
              </w:rPr>
              <w:t>Cost of sales</w:t>
            </w:r>
          </w:p>
        </w:tc>
      </w:tr>
      <w:tr w:rsidR="00066C63" w14:paraId="669C69D5"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69CA" w14:textId="77777777" w:rsidR="00066C63" w:rsidRDefault="009656F6">
            <w:pPr>
              <w:textAlignment w:val="bottom"/>
            </w:pPr>
            <w:r>
              <w:rPr>
                <w:rFonts w:ascii="Arial" w:eastAsia="宋体" w:hAnsi="Arial" w:cs="Arial"/>
                <w:color w:val="000000"/>
                <w:sz w:val="17"/>
                <w:szCs w:val="17"/>
              </w:rPr>
              <w:t>Foreign exchange forwards and options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9CB" w14:textId="77777777" w:rsidR="00066C63" w:rsidRDefault="009656F6">
            <w:pPr>
              <w:jc w:val="right"/>
              <w:textAlignment w:val="bottom"/>
            </w:pPr>
            <w:r>
              <w:rPr>
                <w:rFonts w:ascii="Arial" w:eastAsia="宋体" w:hAnsi="Arial" w:cs="Arial"/>
                <w:color w:val="000000"/>
                <w:sz w:val="16"/>
                <w:szCs w:val="16"/>
              </w:rPr>
              <w:t>1 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9CC"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9CD" w14:textId="77777777" w:rsidR="00066C63" w:rsidRDefault="009656F6">
            <w:pPr>
              <w:jc w:val="right"/>
              <w:textAlignment w:val="bottom"/>
            </w:pPr>
            <w:r>
              <w:rPr>
                <w:rFonts w:ascii="Arial" w:eastAsia="宋体" w:hAnsi="Arial" w:cs="Arial"/>
                <w:color w:val="000000"/>
                <w:sz w:val="16"/>
                <w:szCs w:val="16"/>
              </w:rPr>
              <w:t>—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9CE" w14:textId="77777777" w:rsidR="00066C63" w:rsidRDefault="00066C63">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69CF" w14:textId="77777777" w:rsidR="00066C63" w:rsidRDefault="00066C63">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9D0" w14:textId="77777777" w:rsidR="00066C63" w:rsidRDefault="009656F6">
            <w:pPr>
              <w:jc w:val="right"/>
              <w:textAlignment w:val="bottom"/>
            </w:pPr>
            <w:r>
              <w:rPr>
                <w:rFonts w:ascii="Arial" w:eastAsia="宋体" w:hAnsi="Arial" w:cs="Arial"/>
                <w:color w:val="000000"/>
                <w:sz w:val="16"/>
                <w:szCs w:val="16"/>
              </w:rPr>
              <w:t>2 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9D1"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9D2" w14:textId="77777777" w:rsidR="00066C63" w:rsidRDefault="009656F6">
            <w:pPr>
              <w:jc w:val="right"/>
              <w:textAlignment w:val="bottom"/>
            </w:pPr>
            <w:r>
              <w:rPr>
                <w:rFonts w:ascii="Arial" w:eastAsia="宋体" w:hAnsi="Arial" w:cs="Arial"/>
                <w:color w:val="000000"/>
                <w:sz w:val="16"/>
                <w:szCs w:val="16"/>
              </w:rPr>
              <w:t>(3)</w:t>
            </w:r>
          </w:p>
        </w:tc>
        <w:tc>
          <w:tcPr>
            <w:tcW w:w="0" w:type="auto"/>
            <w:tcBorders>
              <w:top w:val="single" w:sz="8" w:space="0" w:color="808080"/>
            </w:tcBorders>
            <w:shd w:val="clear" w:color="auto" w:fill="auto"/>
            <w:tcMar>
              <w:top w:w="40" w:type="dxa"/>
              <w:left w:w="0" w:type="dxa"/>
              <w:bottom w:w="40" w:type="dxa"/>
              <w:right w:w="20" w:type="dxa"/>
            </w:tcMar>
            <w:vAlign w:val="bottom"/>
          </w:tcPr>
          <w:p w14:paraId="669C69D3" w14:textId="77777777" w:rsidR="00066C63" w:rsidRDefault="00066C63">
            <w:pPr>
              <w:jc w:val="right"/>
              <w:rPr>
                <w:rFonts w:ascii="宋体"/>
              </w:rPr>
            </w:pP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69D4" w14:textId="77777777" w:rsidR="00066C63" w:rsidRDefault="009656F6">
            <w:pPr>
              <w:jc w:val="right"/>
              <w:textAlignment w:val="bottom"/>
            </w:pPr>
            <w:r>
              <w:rPr>
                <w:rFonts w:ascii="Arial" w:eastAsia="宋体" w:hAnsi="Arial" w:cs="Arial"/>
                <w:color w:val="000000"/>
                <w:sz w:val="17"/>
                <w:szCs w:val="17"/>
              </w:rPr>
              <w:t>Demand creation expense</w:t>
            </w:r>
          </w:p>
        </w:tc>
      </w:tr>
      <w:tr w:rsidR="00066C63" w14:paraId="669C69E1"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69D6" w14:textId="77777777" w:rsidR="00066C63" w:rsidRDefault="009656F6">
            <w:pPr>
              <w:textAlignment w:val="bottom"/>
            </w:pPr>
            <w:r>
              <w:rPr>
                <w:rFonts w:ascii="Arial" w:eastAsia="宋体" w:hAnsi="Arial" w:cs="Arial"/>
                <w:color w:val="000000"/>
                <w:sz w:val="17"/>
                <w:szCs w:val="17"/>
              </w:rPr>
              <w:t>Foreign exchange forwards and options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9D7" w14:textId="77777777" w:rsidR="00066C63" w:rsidRDefault="009656F6">
            <w:pPr>
              <w:jc w:val="right"/>
              <w:textAlignment w:val="bottom"/>
            </w:pPr>
            <w:r>
              <w:rPr>
                <w:rFonts w:ascii="Arial" w:eastAsia="宋体" w:hAnsi="Arial" w:cs="Arial"/>
                <w:color w:val="000000"/>
                <w:sz w:val="17"/>
                <w:szCs w:val="17"/>
              </w:rPr>
              <w:t>(26)</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9D8"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9D9" w14:textId="77777777" w:rsidR="00066C63" w:rsidRDefault="009656F6">
            <w:pPr>
              <w:jc w:val="right"/>
              <w:textAlignment w:val="bottom"/>
            </w:pPr>
            <w:r>
              <w:rPr>
                <w:rFonts w:ascii="Arial" w:eastAsia="宋体" w:hAnsi="Arial" w:cs="Arial"/>
                <w:color w:val="000000"/>
                <w:sz w:val="17"/>
                <w:szCs w:val="17"/>
              </w:rPr>
              <w:t>44 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9DA" w14:textId="77777777" w:rsidR="00066C63" w:rsidRDefault="00066C63">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69DB" w14:textId="77777777" w:rsidR="00066C63" w:rsidRDefault="00066C63">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9DC" w14:textId="77777777" w:rsidR="00066C63" w:rsidRDefault="009656F6">
            <w:pPr>
              <w:jc w:val="right"/>
              <w:textAlignment w:val="bottom"/>
            </w:pPr>
            <w:r>
              <w:rPr>
                <w:rFonts w:ascii="Arial" w:eastAsia="宋体" w:hAnsi="Arial" w:cs="Arial"/>
                <w:color w:val="000000"/>
                <w:sz w:val="17"/>
                <w:szCs w:val="17"/>
              </w:rPr>
              <w:t>(31)</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9DD"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9DE" w14:textId="77777777" w:rsidR="00066C63" w:rsidRDefault="009656F6">
            <w:pPr>
              <w:jc w:val="right"/>
              <w:textAlignment w:val="bottom"/>
            </w:pPr>
            <w:r>
              <w:rPr>
                <w:rFonts w:ascii="Arial" w:eastAsia="宋体" w:hAnsi="Arial" w:cs="Arial"/>
                <w:color w:val="000000"/>
                <w:sz w:val="17"/>
                <w:szCs w:val="17"/>
              </w:rPr>
              <w:t>121 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9DF" w14:textId="77777777" w:rsidR="00066C63" w:rsidRDefault="00066C63">
            <w:pPr>
              <w:jc w:val="right"/>
              <w:rPr>
                <w:rFonts w:ascii="宋体"/>
              </w:rPr>
            </w:pP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69E0" w14:textId="77777777" w:rsidR="00066C63" w:rsidRDefault="009656F6">
            <w:pPr>
              <w:jc w:val="right"/>
              <w:textAlignment w:val="bottom"/>
            </w:pPr>
            <w:r>
              <w:rPr>
                <w:rFonts w:ascii="Arial" w:eastAsia="宋体" w:hAnsi="Arial" w:cs="Arial"/>
                <w:color w:val="000000"/>
                <w:sz w:val="17"/>
                <w:szCs w:val="17"/>
              </w:rPr>
              <w:t>Other (income) expense, net</w:t>
            </w:r>
          </w:p>
        </w:tc>
      </w:tr>
      <w:tr w:rsidR="00066C63" w14:paraId="669C69ED"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69E2" w14:textId="77777777" w:rsidR="00066C63" w:rsidRDefault="009656F6">
            <w:pPr>
              <w:textAlignment w:val="bottom"/>
            </w:pPr>
            <w:r>
              <w:rPr>
                <w:rFonts w:ascii="Arial" w:eastAsia="宋体" w:hAnsi="Arial" w:cs="Arial"/>
                <w:color w:val="000000"/>
                <w:sz w:val="17"/>
                <w:szCs w:val="17"/>
              </w:rPr>
              <w:t>Interest rate swaps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9E3" w14:textId="77777777" w:rsidR="00066C63" w:rsidRDefault="009656F6">
            <w:pPr>
              <w:jc w:val="right"/>
              <w:textAlignment w:val="bottom"/>
            </w:pPr>
            <w:r>
              <w:rPr>
                <w:rFonts w:ascii="Arial" w:eastAsia="宋体" w:hAnsi="Arial" w:cs="Arial"/>
                <w:color w:val="000000"/>
                <w:sz w:val="17"/>
                <w:szCs w:val="17"/>
              </w:rPr>
              <w:t>(2)</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9E4"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9E5" w14:textId="77777777" w:rsidR="00066C63" w:rsidRDefault="009656F6">
            <w:pPr>
              <w:jc w:val="right"/>
              <w:textAlignment w:val="bottom"/>
            </w:pPr>
            <w:r>
              <w:rPr>
                <w:rFonts w:ascii="Arial" w:eastAsia="宋体" w:hAnsi="Arial" w:cs="Arial"/>
                <w:color w:val="000000"/>
                <w:sz w:val="17"/>
                <w:szCs w:val="17"/>
              </w:rPr>
              <w:t>(2)</w:t>
            </w:r>
          </w:p>
        </w:tc>
        <w:tc>
          <w:tcPr>
            <w:tcW w:w="0" w:type="auto"/>
            <w:tcBorders>
              <w:top w:val="single" w:sz="8" w:space="0" w:color="808080"/>
            </w:tcBorders>
            <w:shd w:val="clear" w:color="auto" w:fill="auto"/>
            <w:tcMar>
              <w:top w:w="40" w:type="dxa"/>
              <w:left w:w="0" w:type="dxa"/>
              <w:bottom w:w="40" w:type="dxa"/>
              <w:right w:w="20" w:type="dxa"/>
            </w:tcMar>
            <w:vAlign w:val="bottom"/>
          </w:tcPr>
          <w:p w14:paraId="669C69E6" w14:textId="77777777" w:rsidR="00066C63" w:rsidRDefault="00066C63">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69E7" w14:textId="77777777" w:rsidR="00066C63" w:rsidRDefault="00066C63">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9E8" w14:textId="77777777" w:rsidR="00066C63" w:rsidRDefault="009656F6">
            <w:pPr>
              <w:jc w:val="right"/>
              <w:textAlignment w:val="bottom"/>
            </w:pPr>
            <w:r>
              <w:rPr>
                <w:rFonts w:ascii="Arial" w:eastAsia="宋体" w:hAnsi="Arial" w:cs="Arial"/>
                <w:color w:val="000000"/>
                <w:sz w:val="17"/>
                <w:szCs w:val="17"/>
              </w:rPr>
              <w:t>(5)</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9E9"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9EA" w14:textId="77777777" w:rsidR="00066C63" w:rsidRDefault="009656F6">
            <w:pPr>
              <w:jc w:val="right"/>
              <w:textAlignment w:val="bottom"/>
            </w:pPr>
            <w:r>
              <w:rPr>
                <w:rFonts w:ascii="Arial" w:eastAsia="宋体" w:hAnsi="Arial" w:cs="Arial"/>
                <w:color w:val="000000"/>
                <w:sz w:val="17"/>
                <w:szCs w:val="17"/>
              </w:rPr>
              <w:t>(5)</w:t>
            </w:r>
          </w:p>
        </w:tc>
        <w:tc>
          <w:tcPr>
            <w:tcW w:w="0" w:type="auto"/>
            <w:tcBorders>
              <w:top w:val="single" w:sz="8" w:space="0" w:color="808080"/>
            </w:tcBorders>
            <w:shd w:val="clear" w:color="auto" w:fill="auto"/>
            <w:tcMar>
              <w:top w:w="40" w:type="dxa"/>
              <w:left w:w="0" w:type="dxa"/>
              <w:bottom w:w="40" w:type="dxa"/>
              <w:right w:w="20" w:type="dxa"/>
            </w:tcMar>
            <w:vAlign w:val="bottom"/>
          </w:tcPr>
          <w:p w14:paraId="669C69EB" w14:textId="77777777" w:rsidR="00066C63" w:rsidRDefault="00066C63">
            <w:pPr>
              <w:jc w:val="right"/>
              <w:rPr>
                <w:rFonts w:ascii="宋体"/>
              </w:rPr>
            </w:pP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69EC" w14:textId="77777777" w:rsidR="00066C63" w:rsidRDefault="009656F6">
            <w:pPr>
              <w:jc w:val="right"/>
              <w:textAlignment w:val="bottom"/>
            </w:pPr>
            <w:r>
              <w:rPr>
                <w:rFonts w:ascii="Arial" w:eastAsia="宋体" w:hAnsi="Arial" w:cs="Arial"/>
                <w:color w:val="000000"/>
                <w:sz w:val="17"/>
                <w:szCs w:val="17"/>
              </w:rPr>
              <w:t>Interest expense (income), net</w:t>
            </w:r>
          </w:p>
        </w:tc>
      </w:tr>
      <w:tr w:rsidR="00066C63" w14:paraId="669C69F9"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9EE" w14:textId="77777777" w:rsidR="00066C63" w:rsidRDefault="009656F6">
            <w:pPr>
              <w:textAlignment w:val="bottom"/>
            </w:pPr>
            <w:r>
              <w:rPr>
                <w:rFonts w:ascii="Arial" w:eastAsia="宋体" w:hAnsi="Arial" w:cs="Arial"/>
                <w:color w:val="000000"/>
                <w:sz w:val="17"/>
                <w:szCs w:val="17"/>
              </w:rPr>
              <w:t>Total before tax</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669C69EF" w14:textId="77777777" w:rsidR="00066C63" w:rsidRDefault="009656F6">
            <w:pPr>
              <w:jc w:val="right"/>
              <w:textAlignment w:val="bottom"/>
            </w:pPr>
            <w:r>
              <w:rPr>
                <w:rFonts w:ascii="Arial" w:eastAsia="宋体" w:hAnsi="Arial" w:cs="Arial"/>
                <w:color w:val="000000"/>
                <w:sz w:val="17"/>
                <w:szCs w:val="17"/>
              </w:rPr>
              <w:t>(46)</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69F0" w14:textId="77777777" w:rsidR="00066C63" w:rsidRDefault="00066C63">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69F1" w14:textId="77777777" w:rsidR="00066C63" w:rsidRDefault="009656F6">
            <w:pPr>
              <w:jc w:val="right"/>
              <w:textAlignment w:val="bottom"/>
            </w:pPr>
            <w:r>
              <w:rPr>
                <w:rFonts w:ascii="Arial" w:eastAsia="宋体" w:hAnsi="Arial" w:cs="Arial"/>
                <w:color w:val="000000"/>
                <w:sz w:val="17"/>
                <w:szCs w:val="17"/>
              </w:rPr>
              <w:t>131 </w:t>
            </w:r>
          </w:p>
        </w:tc>
        <w:tc>
          <w:tcPr>
            <w:tcW w:w="0" w:type="auto"/>
            <w:tcBorders>
              <w:top w:val="single" w:sz="8" w:space="0" w:color="E87722"/>
            </w:tcBorders>
            <w:shd w:val="clear" w:color="auto" w:fill="auto"/>
            <w:tcMar>
              <w:top w:w="40" w:type="dxa"/>
              <w:left w:w="0" w:type="dxa"/>
              <w:bottom w:w="40" w:type="dxa"/>
              <w:right w:w="20" w:type="dxa"/>
            </w:tcMar>
            <w:vAlign w:val="bottom"/>
          </w:tcPr>
          <w:p w14:paraId="669C69F2" w14:textId="77777777" w:rsidR="00066C63" w:rsidRDefault="00066C63">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69F3" w14:textId="77777777" w:rsidR="00066C63" w:rsidRDefault="00066C63">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669C69F4" w14:textId="77777777" w:rsidR="00066C63" w:rsidRDefault="009656F6">
            <w:pPr>
              <w:jc w:val="right"/>
              <w:textAlignment w:val="bottom"/>
            </w:pPr>
            <w:r>
              <w:rPr>
                <w:rFonts w:ascii="Arial" w:eastAsia="宋体" w:hAnsi="Arial" w:cs="Arial"/>
                <w:color w:val="000000"/>
                <w:sz w:val="17"/>
                <w:szCs w:val="17"/>
              </w:rPr>
              <w:t>132 </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69F5" w14:textId="77777777" w:rsidR="00066C63" w:rsidRDefault="00066C63">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69F6" w14:textId="77777777" w:rsidR="00066C63" w:rsidRDefault="009656F6">
            <w:pPr>
              <w:jc w:val="right"/>
              <w:textAlignment w:val="bottom"/>
            </w:pPr>
            <w:r>
              <w:rPr>
                <w:rFonts w:ascii="Arial" w:eastAsia="宋体" w:hAnsi="Arial" w:cs="Arial"/>
                <w:color w:val="000000"/>
                <w:sz w:val="17"/>
                <w:szCs w:val="17"/>
              </w:rPr>
              <w:t>388 </w:t>
            </w:r>
          </w:p>
        </w:tc>
        <w:tc>
          <w:tcPr>
            <w:tcW w:w="0" w:type="auto"/>
            <w:tcBorders>
              <w:top w:val="single" w:sz="8" w:space="0" w:color="E87722"/>
            </w:tcBorders>
            <w:shd w:val="clear" w:color="auto" w:fill="auto"/>
            <w:tcMar>
              <w:top w:w="40" w:type="dxa"/>
              <w:left w:w="0" w:type="dxa"/>
              <w:bottom w:w="40" w:type="dxa"/>
              <w:right w:w="20" w:type="dxa"/>
            </w:tcMar>
            <w:vAlign w:val="bottom"/>
          </w:tcPr>
          <w:p w14:paraId="669C69F7" w14:textId="77777777" w:rsidR="00066C63" w:rsidRDefault="00066C63">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69F8" w14:textId="77777777" w:rsidR="00066C63" w:rsidRDefault="00066C63">
            <w:pPr>
              <w:rPr>
                <w:rFonts w:ascii="宋体"/>
              </w:rPr>
            </w:pPr>
          </w:p>
        </w:tc>
      </w:tr>
      <w:tr w:rsidR="00066C63" w14:paraId="669C6A05"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69FA" w14:textId="77777777" w:rsidR="00066C63" w:rsidRDefault="009656F6">
            <w:pPr>
              <w:textAlignment w:val="bottom"/>
            </w:pPr>
            <w:r>
              <w:rPr>
                <w:rFonts w:ascii="Arial" w:eastAsia="宋体" w:hAnsi="Arial" w:cs="Arial"/>
                <w:color w:val="000000"/>
                <w:sz w:val="17"/>
                <w:szCs w:val="17"/>
              </w:rPr>
              <w:t>Tax (expense)</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9FB" w14:textId="77777777" w:rsidR="00066C63" w:rsidRDefault="009656F6">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9FC"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9FD" w14:textId="77777777" w:rsidR="00066C63" w:rsidRDefault="009656F6">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9FE" w14:textId="77777777" w:rsidR="00066C63" w:rsidRDefault="00066C63">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69FF" w14:textId="77777777" w:rsidR="00066C63" w:rsidRDefault="00066C63">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A00" w14:textId="77777777" w:rsidR="00066C63" w:rsidRDefault="009656F6">
            <w:pPr>
              <w:jc w:val="right"/>
              <w:textAlignment w:val="bottom"/>
            </w:pPr>
            <w:r>
              <w:rPr>
                <w:rFonts w:ascii="Arial" w:eastAsia="宋体" w:hAnsi="Arial" w:cs="Arial"/>
                <w:color w:val="000000"/>
                <w:sz w:val="17"/>
                <w:szCs w:val="17"/>
              </w:rPr>
              <w:t>(7)</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A01"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A02" w14:textId="77777777" w:rsidR="00066C63" w:rsidRDefault="009656F6">
            <w:pPr>
              <w:jc w:val="right"/>
              <w:textAlignment w:val="bottom"/>
            </w:pPr>
            <w:r>
              <w:rPr>
                <w:rFonts w:ascii="Arial" w:eastAsia="宋体" w:hAnsi="Arial" w:cs="Arial"/>
                <w:color w:val="000000"/>
                <w:sz w:val="17"/>
                <w:szCs w:val="17"/>
              </w:rPr>
              <w:t>(1)</w:t>
            </w:r>
          </w:p>
        </w:tc>
        <w:tc>
          <w:tcPr>
            <w:tcW w:w="0" w:type="auto"/>
            <w:tcBorders>
              <w:top w:val="single" w:sz="8" w:space="0" w:color="808080"/>
            </w:tcBorders>
            <w:shd w:val="clear" w:color="auto" w:fill="auto"/>
            <w:tcMar>
              <w:top w:w="40" w:type="dxa"/>
              <w:left w:w="0" w:type="dxa"/>
              <w:bottom w:w="40" w:type="dxa"/>
              <w:right w:w="20" w:type="dxa"/>
            </w:tcMar>
            <w:vAlign w:val="bottom"/>
          </w:tcPr>
          <w:p w14:paraId="669C6A03" w14:textId="77777777" w:rsidR="00066C63" w:rsidRDefault="00066C63">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6A04" w14:textId="77777777" w:rsidR="00066C63" w:rsidRDefault="00066C63">
            <w:pPr>
              <w:rPr>
                <w:rFonts w:ascii="宋体"/>
              </w:rPr>
            </w:pPr>
          </w:p>
        </w:tc>
      </w:tr>
      <w:tr w:rsidR="00066C63" w14:paraId="669C6A11"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A06" w14:textId="77777777" w:rsidR="00066C63" w:rsidRDefault="009656F6">
            <w:pPr>
              <w:textAlignment w:val="bottom"/>
            </w:pPr>
            <w:r>
              <w:rPr>
                <w:rFonts w:ascii="Arial" w:eastAsia="宋体" w:hAnsi="Arial" w:cs="Arial"/>
                <w:b/>
                <w:bCs/>
                <w:color w:val="000000"/>
                <w:sz w:val="17"/>
                <w:szCs w:val="17"/>
              </w:rPr>
              <w:t>Gain (loss) net of tax</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669C6A07" w14:textId="77777777" w:rsidR="00066C63" w:rsidRDefault="009656F6">
            <w:pPr>
              <w:jc w:val="right"/>
              <w:textAlignment w:val="bottom"/>
            </w:pPr>
            <w:r>
              <w:rPr>
                <w:rFonts w:ascii="Arial" w:eastAsia="宋体" w:hAnsi="Arial" w:cs="Arial"/>
                <w:b/>
                <w:bCs/>
                <w:color w:val="000000"/>
                <w:sz w:val="17"/>
                <w:szCs w:val="17"/>
              </w:rPr>
              <w:t>(46)</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6A08" w14:textId="77777777" w:rsidR="00066C63" w:rsidRDefault="00066C63">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6A09" w14:textId="77777777" w:rsidR="00066C63" w:rsidRDefault="009656F6">
            <w:pPr>
              <w:jc w:val="right"/>
              <w:textAlignment w:val="bottom"/>
            </w:pPr>
            <w:r>
              <w:rPr>
                <w:rFonts w:ascii="Arial" w:eastAsia="宋体" w:hAnsi="Arial" w:cs="Arial"/>
                <w:b/>
                <w:bCs/>
                <w:color w:val="000000"/>
                <w:sz w:val="17"/>
                <w:szCs w:val="17"/>
              </w:rPr>
              <w:t>131</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6A0A" w14:textId="77777777" w:rsidR="00066C63" w:rsidRDefault="00066C63">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6A0B" w14:textId="77777777" w:rsidR="00066C63" w:rsidRDefault="00066C63">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669C6A0C" w14:textId="77777777" w:rsidR="00066C63" w:rsidRDefault="009656F6">
            <w:pPr>
              <w:jc w:val="right"/>
              <w:textAlignment w:val="bottom"/>
            </w:pPr>
            <w:r>
              <w:rPr>
                <w:rFonts w:ascii="Arial" w:eastAsia="宋体" w:hAnsi="Arial" w:cs="Arial"/>
                <w:b/>
                <w:bCs/>
                <w:color w:val="000000"/>
                <w:sz w:val="17"/>
                <w:szCs w:val="17"/>
              </w:rPr>
              <w:t>125</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6A0D" w14:textId="77777777" w:rsidR="00066C63" w:rsidRDefault="00066C63">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6A0E" w14:textId="77777777" w:rsidR="00066C63" w:rsidRDefault="009656F6">
            <w:pPr>
              <w:jc w:val="right"/>
              <w:textAlignment w:val="bottom"/>
            </w:pPr>
            <w:r>
              <w:rPr>
                <w:rFonts w:ascii="Arial" w:eastAsia="宋体" w:hAnsi="Arial" w:cs="Arial"/>
                <w:b/>
                <w:bCs/>
                <w:color w:val="000000"/>
                <w:sz w:val="17"/>
                <w:szCs w:val="17"/>
              </w:rPr>
              <w:t>387</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6A0F" w14:textId="77777777" w:rsidR="00066C63" w:rsidRDefault="00066C63">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6A10" w14:textId="77777777" w:rsidR="00066C63" w:rsidRDefault="00066C63">
            <w:pPr>
              <w:rPr>
                <w:rFonts w:ascii="宋体"/>
              </w:rPr>
            </w:pPr>
          </w:p>
        </w:tc>
      </w:tr>
      <w:tr w:rsidR="00066C63" w14:paraId="669C6A1D"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A12" w14:textId="77777777" w:rsidR="00066C63" w:rsidRDefault="009656F6">
            <w:pPr>
              <w:textAlignment w:val="bottom"/>
            </w:pPr>
            <w:r>
              <w:rPr>
                <w:rFonts w:ascii="Arial" w:eastAsia="宋体" w:hAnsi="Arial" w:cs="Arial"/>
                <w:color w:val="000000"/>
                <w:sz w:val="17"/>
                <w:szCs w:val="17"/>
              </w:rPr>
              <w:t>Gains (losses) on other</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669C6A13" w14:textId="77777777" w:rsidR="00066C63" w:rsidRDefault="009656F6">
            <w:pPr>
              <w:jc w:val="right"/>
              <w:textAlignment w:val="bottom"/>
            </w:pPr>
            <w:r>
              <w:rPr>
                <w:rFonts w:ascii="Arial" w:eastAsia="宋体" w:hAnsi="Arial" w:cs="Arial"/>
                <w:color w:val="000000"/>
                <w:sz w:val="17"/>
                <w:szCs w:val="17"/>
              </w:rPr>
              <w:t>(8)</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6A14" w14:textId="77777777" w:rsidR="00066C63" w:rsidRDefault="00066C63">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6A15" w14:textId="77777777" w:rsidR="00066C63" w:rsidRDefault="009656F6">
            <w:pPr>
              <w:jc w:val="right"/>
              <w:textAlignment w:val="bottom"/>
            </w:pP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6A16" w14:textId="77777777" w:rsidR="00066C63" w:rsidRDefault="00066C63">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6A17" w14:textId="77777777" w:rsidR="00066C63" w:rsidRDefault="00066C63">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669C6A18" w14:textId="77777777" w:rsidR="00066C63" w:rsidRDefault="009656F6">
            <w:pPr>
              <w:jc w:val="right"/>
              <w:textAlignment w:val="bottom"/>
            </w:pPr>
            <w:r>
              <w:rPr>
                <w:rFonts w:ascii="Arial" w:eastAsia="宋体" w:hAnsi="Arial" w:cs="Arial"/>
                <w:color w:val="000000"/>
                <w:sz w:val="17"/>
                <w:szCs w:val="17"/>
              </w:rPr>
              <w:t>(15)</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6A19" w14:textId="77777777" w:rsidR="00066C63" w:rsidRDefault="00066C63">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6A1A" w14:textId="77777777" w:rsidR="00066C63" w:rsidRDefault="009656F6">
            <w:pPr>
              <w:jc w:val="right"/>
              <w:textAlignment w:val="bottom"/>
            </w:pP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6A1B" w14:textId="77777777" w:rsidR="00066C63" w:rsidRDefault="00066C63">
            <w:pPr>
              <w:jc w:val="right"/>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A1C" w14:textId="77777777" w:rsidR="00066C63" w:rsidRDefault="009656F6">
            <w:pPr>
              <w:jc w:val="right"/>
              <w:textAlignment w:val="bottom"/>
            </w:pPr>
            <w:r>
              <w:rPr>
                <w:rFonts w:ascii="Arial" w:eastAsia="宋体" w:hAnsi="Arial" w:cs="Arial"/>
                <w:color w:val="000000"/>
                <w:sz w:val="17"/>
                <w:szCs w:val="17"/>
              </w:rPr>
              <w:t>Other (income) expense, net</w:t>
            </w:r>
          </w:p>
        </w:tc>
      </w:tr>
      <w:tr w:rsidR="00066C63" w14:paraId="669C6A29"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A1E" w14:textId="77777777" w:rsidR="00066C63" w:rsidRDefault="009656F6">
            <w:pPr>
              <w:textAlignment w:val="bottom"/>
            </w:pPr>
            <w:r>
              <w:rPr>
                <w:rFonts w:ascii="Arial" w:eastAsia="宋体" w:hAnsi="Arial" w:cs="Arial"/>
                <w:color w:val="000000"/>
                <w:sz w:val="17"/>
                <w:szCs w:val="17"/>
              </w:rPr>
              <w:t>Total before tax</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669C6A1F" w14:textId="77777777" w:rsidR="00066C63" w:rsidRDefault="009656F6">
            <w:pPr>
              <w:jc w:val="right"/>
              <w:textAlignment w:val="bottom"/>
            </w:pPr>
            <w:r>
              <w:rPr>
                <w:rFonts w:ascii="Arial" w:eastAsia="宋体" w:hAnsi="Arial" w:cs="Arial"/>
                <w:color w:val="000000"/>
                <w:sz w:val="17"/>
                <w:szCs w:val="17"/>
              </w:rPr>
              <w:t>(8)</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6A20" w14:textId="77777777" w:rsidR="00066C63" w:rsidRDefault="00066C63">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6A21" w14:textId="77777777" w:rsidR="00066C63" w:rsidRDefault="009656F6">
            <w:pPr>
              <w:jc w:val="right"/>
              <w:textAlignment w:val="bottom"/>
            </w:pP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6A22" w14:textId="77777777" w:rsidR="00066C63" w:rsidRDefault="00066C63">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6A23" w14:textId="77777777" w:rsidR="00066C63" w:rsidRDefault="00066C63">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669C6A24" w14:textId="77777777" w:rsidR="00066C63" w:rsidRDefault="009656F6">
            <w:pPr>
              <w:jc w:val="right"/>
              <w:textAlignment w:val="bottom"/>
            </w:pPr>
            <w:r>
              <w:rPr>
                <w:rFonts w:ascii="Arial" w:eastAsia="宋体" w:hAnsi="Arial" w:cs="Arial"/>
                <w:color w:val="000000"/>
                <w:sz w:val="17"/>
                <w:szCs w:val="17"/>
              </w:rPr>
              <w:t>(15)</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6A25" w14:textId="77777777" w:rsidR="00066C63" w:rsidRDefault="00066C63">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6A26" w14:textId="77777777" w:rsidR="00066C63" w:rsidRDefault="009656F6">
            <w:pPr>
              <w:jc w:val="right"/>
              <w:textAlignment w:val="bottom"/>
            </w:pP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6A27" w14:textId="77777777" w:rsidR="00066C63" w:rsidRDefault="00066C63">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6A28" w14:textId="77777777" w:rsidR="00066C63" w:rsidRDefault="00066C63">
            <w:pPr>
              <w:rPr>
                <w:rFonts w:ascii="宋体"/>
              </w:rPr>
            </w:pPr>
          </w:p>
        </w:tc>
      </w:tr>
      <w:tr w:rsidR="00066C63" w14:paraId="669C6A35"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6A2A" w14:textId="77777777" w:rsidR="00066C63" w:rsidRDefault="009656F6">
            <w:pPr>
              <w:textAlignment w:val="bottom"/>
            </w:pPr>
            <w:r>
              <w:rPr>
                <w:rFonts w:ascii="Arial" w:eastAsia="宋体" w:hAnsi="Arial" w:cs="Arial"/>
                <w:color w:val="000000"/>
                <w:sz w:val="17"/>
                <w:szCs w:val="17"/>
              </w:rPr>
              <w:t>Tax (expense)</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A2B" w14:textId="77777777" w:rsidR="00066C63" w:rsidRDefault="009656F6">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A2C"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A2D" w14:textId="77777777" w:rsidR="00066C63" w:rsidRDefault="009656F6">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A2E" w14:textId="77777777" w:rsidR="00066C63" w:rsidRDefault="00066C63">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6A2F" w14:textId="77777777" w:rsidR="00066C63" w:rsidRDefault="00066C63">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A30" w14:textId="77777777" w:rsidR="00066C63" w:rsidRDefault="009656F6">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A31"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A32" w14:textId="77777777" w:rsidR="00066C63" w:rsidRDefault="009656F6">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A33" w14:textId="77777777" w:rsidR="00066C63" w:rsidRDefault="00066C63">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6A34" w14:textId="77777777" w:rsidR="00066C63" w:rsidRDefault="00066C63">
            <w:pPr>
              <w:rPr>
                <w:rFonts w:ascii="宋体"/>
              </w:rPr>
            </w:pPr>
          </w:p>
        </w:tc>
      </w:tr>
      <w:tr w:rsidR="00066C63" w14:paraId="669C6A41"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A36" w14:textId="77777777" w:rsidR="00066C63" w:rsidRDefault="009656F6">
            <w:pPr>
              <w:textAlignment w:val="bottom"/>
            </w:pPr>
            <w:r>
              <w:rPr>
                <w:rFonts w:ascii="Arial" w:eastAsia="宋体" w:hAnsi="Arial" w:cs="Arial"/>
                <w:b/>
                <w:bCs/>
                <w:color w:val="000000"/>
                <w:sz w:val="17"/>
                <w:szCs w:val="17"/>
              </w:rPr>
              <w:t>Gain (loss) net of tax</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669C6A37" w14:textId="77777777" w:rsidR="00066C63" w:rsidRDefault="009656F6">
            <w:pPr>
              <w:jc w:val="right"/>
              <w:textAlignment w:val="bottom"/>
            </w:pPr>
            <w:r>
              <w:rPr>
                <w:rFonts w:ascii="Arial" w:eastAsia="宋体" w:hAnsi="Arial" w:cs="Arial"/>
                <w:b/>
                <w:bCs/>
                <w:color w:val="000000"/>
                <w:sz w:val="17"/>
                <w:szCs w:val="17"/>
              </w:rPr>
              <w:t>(8)</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6A38" w14:textId="77777777" w:rsidR="00066C63" w:rsidRDefault="00066C63">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6A39" w14:textId="77777777" w:rsidR="00066C63" w:rsidRDefault="009656F6">
            <w:pPr>
              <w:jc w:val="right"/>
              <w:textAlignment w:val="bottom"/>
            </w:pPr>
            <w:r>
              <w:rPr>
                <w:rFonts w:ascii="Arial" w:eastAsia="宋体" w:hAnsi="Arial" w:cs="Arial"/>
                <w:b/>
                <w:bCs/>
                <w:color w:val="000000"/>
                <w:sz w:val="17"/>
                <w:szCs w:val="17"/>
              </w:rPr>
              <w:t>—</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6A3A" w14:textId="77777777" w:rsidR="00066C63" w:rsidRDefault="00066C63">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6A3B" w14:textId="77777777" w:rsidR="00066C63" w:rsidRDefault="00066C63">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669C6A3C" w14:textId="77777777" w:rsidR="00066C63" w:rsidRDefault="009656F6">
            <w:pPr>
              <w:jc w:val="right"/>
              <w:textAlignment w:val="bottom"/>
            </w:pPr>
            <w:r>
              <w:rPr>
                <w:rFonts w:ascii="Arial" w:eastAsia="宋体" w:hAnsi="Arial" w:cs="Arial"/>
                <w:b/>
                <w:bCs/>
                <w:color w:val="000000"/>
                <w:sz w:val="17"/>
                <w:szCs w:val="17"/>
              </w:rPr>
              <w:t>(15)</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6A3D" w14:textId="77777777" w:rsidR="00066C63" w:rsidRDefault="00066C63">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6A3E" w14:textId="77777777" w:rsidR="00066C63" w:rsidRDefault="009656F6">
            <w:pPr>
              <w:jc w:val="right"/>
              <w:textAlignment w:val="bottom"/>
            </w:pPr>
            <w:r>
              <w:rPr>
                <w:rFonts w:ascii="Arial" w:eastAsia="宋体" w:hAnsi="Arial" w:cs="Arial"/>
                <w:b/>
                <w:bCs/>
                <w:color w:val="000000"/>
                <w:sz w:val="17"/>
                <w:szCs w:val="17"/>
              </w:rPr>
              <w:t>—</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6A3F" w14:textId="77777777" w:rsidR="00066C63" w:rsidRDefault="00066C63">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6A40" w14:textId="77777777" w:rsidR="00066C63" w:rsidRDefault="00066C63">
            <w:pPr>
              <w:rPr>
                <w:rFonts w:ascii="宋体"/>
              </w:rPr>
            </w:pPr>
          </w:p>
        </w:tc>
      </w:tr>
      <w:tr w:rsidR="00066C63" w14:paraId="669C6A51"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A42" w14:textId="77777777" w:rsidR="00066C63" w:rsidRDefault="009656F6">
            <w:pPr>
              <w:textAlignment w:val="bottom"/>
            </w:pPr>
            <w:r>
              <w:rPr>
                <w:rFonts w:ascii="Arial" w:eastAsia="宋体" w:hAnsi="Arial" w:cs="Arial"/>
                <w:b/>
                <w:bCs/>
                <w:color w:val="000000"/>
                <w:sz w:val="17"/>
                <w:szCs w:val="17"/>
              </w:rPr>
              <w:t>Total net gain (loss) reclassified for the period</w:t>
            </w:r>
          </w:p>
        </w:tc>
        <w:tc>
          <w:tcPr>
            <w:tcW w:w="0" w:type="auto"/>
            <w:tcBorders>
              <w:top w:val="single" w:sz="8" w:space="0" w:color="E87722"/>
            </w:tcBorders>
            <w:shd w:val="clear" w:color="auto" w:fill="FFF1E7"/>
            <w:tcMar>
              <w:top w:w="40" w:type="dxa"/>
              <w:left w:w="20" w:type="dxa"/>
              <w:bottom w:w="40" w:type="dxa"/>
              <w:right w:w="0" w:type="dxa"/>
            </w:tcMar>
            <w:vAlign w:val="bottom"/>
          </w:tcPr>
          <w:p w14:paraId="669C6A43"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669C6A44" w14:textId="77777777" w:rsidR="00066C63" w:rsidRDefault="009656F6">
            <w:pPr>
              <w:jc w:val="right"/>
              <w:textAlignment w:val="bottom"/>
            </w:pPr>
            <w:r>
              <w:rPr>
                <w:rFonts w:ascii="Arial" w:eastAsia="宋体" w:hAnsi="Arial" w:cs="Arial"/>
                <w:b/>
                <w:bCs/>
                <w:color w:val="000000"/>
                <w:sz w:val="17"/>
                <w:szCs w:val="17"/>
              </w:rPr>
              <w:t>(53)</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6A45" w14:textId="77777777" w:rsidR="00066C63" w:rsidRDefault="00066C63">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69C6A46"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69C6A47" w14:textId="77777777" w:rsidR="00066C63" w:rsidRDefault="009656F6">
            <w:pPr>
              <w:jc w:val="right"/>
              <w:textAlignment w:val="bottom"/>
            </w:pPr>
            <w:r>
              <w:rPr>
                <w:rFonts w:ascii="Arial" w:eastAsia="宋体" w:hAnsi="Arial" w:cs="Arial"/>
                <w:b/>
                <w:bCs/>
                <w:color w:val="000000"/>
                <w:sz w:val="17"/>
                <w:szCs w:val="17"/>
              </w:rPr>
              <w:t>130</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6A48" w14:textId="77777777" w:rsidR="00066C63" w:rsidRDefault="00066C63">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6A49" w14:textId="77777777" w:rsidR="00066C63" w:rsidRDefault="00066C63">
            <w:pPr>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669C6A4A"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669C6A4B" w14:textId="77777777" w:rsidR="00066C63" w:rsidRDefault="009656F6">
            <w:pPr>
              <w:jc w:val="right"/>
              <w:textAlignment w:val="bottom"/>
            </w:pPr>
            <w:r>
              <w:rPr>
                <w:rFonts w:ascii="Arial" w:eastAsia="宋体" w:hAnsi="Arial" w:cs="Arial"/>
                <w:b/>
                <w:bCs/>
                <w:color w:val="000000"/>
                <w:sz w:val="17"/>
                <w:szCs w:val="17"/>
              </w:rPr>
              <w:t>112</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6A4C" w14:textId="77777777" w:rsidR="00066C63" w:rsidRDefault="00066C63">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69C6A4D"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69C6A4E" w14:textId="77777777" w:rsidR="00066C63" w:rsidRDefault="009656F6">
            <w:pPr>
              <w:jc w:val="right"/>
              <w:textAlignment w:val="bottom"/>
            </w:pPr>
            <w:r>
              <w:rPr>
                <w:rFonts w:ascii="Arial" w:eastAsia="宋体" w:hAnsi="Arial" w:cs="Arial"/>
                <w:b/>
                <w:bCs/>
                <w:color w:val="000000"/>
                <w:sz w:val="17"/>
                <w:szCs w:val="17"/>
              </w:rPr>
              <w:t>386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6A4F" w14:textId="77777777" w:rsidR="00066C63" w:rsidRDefault="00066C63">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6A50" w14:textId="77777777" w:rsidR="00066C63" w:rsidRDefault="00066C63">
            <w:pPr>
              <w:rPr>
                <w:rFonts w:ascii="宋体"/>
              </w:rPr>
            </w:pPr>
          </w:p>
        </w:tc>
      </w:tr>
      <w:tr w:rsidR="00066C63" w14:paraId="669C6A59" w14:textId="77777777">
        <w:trPr>
          <w:trHeight w:val="300"/>
        </w:trPr>
        <w:tc>
          <w:tcPr>
            <w:tcW w:w="0" w:type="auto"/>
            <w:gridSpan w:val="3"/>
            <w:tcBorders>
              <w:top w:val="single" w:sz="8" w:space="0" w:color="E87722"/>
            </w:tcBorders>
            <w:shd w:val="clear" w:color="auto" w:fill="auto"/>
            <w:tcMar>
              <w:top w:w="0" w:type="dxa"/>
              <w:left w:w="20" w:type="dxa"/>
              <w:bottom w:w="0" w:type="dxa"/>
              <w:right w:w="20" w:type="dxa"/>
            </w:tcMar>
          </w:tcPr>
          <w:p w14:paraId="669C6A52"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6A53"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6A54"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6A55"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6A56"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6A57"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6A58" w14:textId="77777777" w:rsidR="00066C63" w:rsidRDefault="00066C63">
            <w:pPr>
              <w:rPr>
                <w:rFonts w:ascii="宋体"/>
              </w:rPr>
            </w:pPr>
          </w:p>
        </w:tc>
      </w:tr>
    </w:tbl>
    <w:p w14:paraId="669C6A5A" w14:textId="77777777" w:rsidR="00066C63" w:rsidRDefault="009656F6">
      <w:pPr>
        <w:spacing w:before="120" w:after="120"/>
      </w:pPr>
      <w:r>
        <w:rPr>
          <w:rFonts w:ascii="Arial" w:eastAsia="宋体" w:hAnsi="Arial" w:cs="Arial"/>
          <w:color w:val="E87722"/>
          <w:sz w:val="17"/>
          <w:szCs w:val="17"/>
        </w:rPr>
        <w:t>18</w:t>
      </w:r>
      <w:r>
        <w:rPr>
          <w:rFonts w:ascii="sans-serif" w:eastAsia="sans-serif" w:hAnsi="sans-serif" w:cs="sans-serif"/>
          <w:color w:val="000000"/>
          <w:sz w:val="17"/>
          <w:szCs w:val="17"/>
        </w:rPr>
        <w:t xml:space="preserve"> </w:t>
      </w:r>
    </w:p>
    <w:p w14:paraId="669C6A5B" w14:textId="77777777" w:rsidR="00066C63" w:rsidRDefault="009656F6">
      <w:r>
        <w:pict w14:anchorId="669C7E42">
          <v:rect id="_x0000_i1044" style="width:415.3pt;height:1.5pt" o:hralign="center" o:hrstd="t" o:hr="t" fillcolor="#a0a0a0" stroked="f"/>
        </w:pict>
      </w:r>
    </w:p>
    <w:p w14:paraId="669C6A5C" w14:textId="77777777" w:rsidR="00066C63" w:rsidRDefault="00066C63"/>
    <w:p w14:paraId="669C6A5D" w14:textId="77777777" w:rsidR="00066C63" w:rsidRDefault="009656F6">
      <w:hyperlink r:id="rId89" w:anchor="i1e99cb26debe49fe8b698d0f0eb1273a_7" w:history="1">
        <w:r>
          <w:rPr>
            <w:rStyle w:val="a5"/>
            <w:rFonts w:ascii="sans-serif" w:eastAsia="sans-serif" w:hAnsi="sans-serif" w:cs="sans-serif"/>
            <w:sz w:val="17"/>
            <w:szCs w:val="17"/>
          </w:rPr>
          <w:t>Table of Contents</w:t>
        </w:r>
      </w:hyperlink>
    </w:p>
    <w:p w14:paraId="669C6A5E" w14:textId="77777777" w:rsidR="00066C63" w:rsidRDefault="00066C63"/>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066C63" w14:paraId="669C6A62" w14:textId="77777777">
        <w:tc>
          <w:tcPr>
            <w:tcW w:w="50" w:type="pct"/>
            <w:shd w:val="clear" w:color="auto" w:fill="auto"/>
          </w:tcPr>
          <w:p w14:paraId="669C6A5F" w14:textId="77777777" w:rsidR="00066C63" w:rsidRDefault="00066C63">
            <w:pPr>
              <w:rPr>
                <w:rFonts w:ascii="宋体"/>
              </w:rPr>
            </w:pPr>
          </w:p>
        </w:tc>
        <w:tc>
          <w:tcPr>
            <w:tcW w:w="4945" w:type="pct"/>
            <w:shd w:val="clear" w:color="auto" w:fill="auto"/>
          </w:tcPr>
          <w:p w14:paraId="669C6A60" w14:textId="77777777" w:rsidR="00066C63" w:rsidRDefault="00066C63">
            <w:pPr>
              <w:rPr>
                <w:rFonts w:ascii="宋体"/>
              </w:rPr>
            </w:pPr>
          </w:p>
        </w:tc>
        <w:tc>
          <w:tcPr>
            <w:tcW w:w="5" w:type="pct"/>
            <w:shd w:val="clear" w:color="auto" w:fill="auto"/>
          </w:tcPr>
          <w:p w14:paraId="669C6A61" w14:textId="77777777" w:rsidR="00066C63" w:rsidRDefault="00066C63">
            <w:pPr>
              <w:rPr>
                <w:rFonts w:ascii="宋体"/>
              </w:rPr>
            </w:pPr>
          </w:p>
        </w:tc>
      </w:tr>
      <w:tr w:rsidR="00066C63" w14:paraId="669C6A64" w14:textId="77777777">
        <w:tc>
          <w:tcPr>
            <w:tcW w:w="0" w:type="auto"/>
            <w:gridSpan w:val="3"/>
            <w:shd w:val="clear" w:color="auto" w:fill="auto"/>
            <w:tcMar>
              <w:top w:w="40" w:type="dxa"/>
              <w:left w:w="20" w:type="dxa"/>
              <w:bottom w:w="40" w:type="dxa"/>
              <w:right w:w="20" w:type="dxa"/>
            </w:tcMar>
            <w:vAlign w:val="bottom"/>
          </w:tcPr>
          <w:p w14:paraId="669C6A63" w14:textId="77777777" w:rsidR="00066C63" w:rsidRDefault="009656F6">
            <w:pPr>
              <w:textAlignment w:val="bottom"/>
            </w:pPr>
            <w:r>
              <w:rPr>
                <w:rFonts w:ascii="sans-serif" w:eastAsia="sans-serif" w:hAnsi="sans-serif" w:cs="sans-serif"/>
                <w:b/>
                <w:bCs/>
                <w:color w:val="E87722"/>
                <w:sz w:val="36"/>
                <w:szCs w:val="36"/>
              </w:rPr>
              <w:t>NOTE 11 — REVENUES</w:t>
            </w:r>
          </w:p>
        </w:tc>
      </w:tr>
    </w:tbl>
    <w:p w14:paraId="669C6A65" w14:textId="77777777" w:rsidR="00066C63" w:rsidRDefault="009656F6">
      <w:pPr>
        <w:spacing w:before="120" w:after="120"/>
      </w:pPr>
      <w:r>
        <w:rPr>
          <w:rFonts w:ascii="sans-serif" w:eastAsia="sans-serif" w:hAnsi="sans-serif" w:cs="sans-serif"/>
          <w:b/>
          <w:bCs/>
          <w:color w:val="000000"/>
          <w:sz w:val="28"/>
          <w:szCs w:val="28"/>
        </w:rPr>
        <w:t>DISAGGREGATION OF REVENUES</w:t>
      </w:r>
    </w:p>
    <w:p w14:paraId="669C6A66" w14:textId="77777777" w:rsidR="00066C63" w:rsidRDefault="009656F6">
      <w:pPr>
        <w:spacing w:before="120"/>
      </w:pPr>
      <w:r>
        <w:rPr>
          <w:rFonts w:ascii="Arial" w:eastAsia="宋体" w:hAnsi="Arial" w:cs="Arial"/>
          <w:color w:val="000000"/>
          <w:sz w:val="17"/>
          <w:szCs w:val="17"/>
        </w:rPr>
        <w:t xml:space="preserve">The following tables </w:t>
      </w:r>
      <w:r>
        <w:rPr>
          <w:rFonts w:ascii="Arial" w:eastAsia="宋体" w:hAnsi="Arial" w:cs="Arial"/>
          <w:color w:val="000000"/>
          <w:sz w:val="17"/>
          <w:szCs w:val="17"/>
        </w:rPr>
        <w:t>present the Company's revenues disaggregated by reportable operating segment, major product line and by distribution channel:</w:t>
      </w:r>
    </w:p>
    <w:tbl>
      <w:tblPr>
        <w:tblW w:w="5000" w:type="pct"/>
        <w:tblCellMar>
          <w:top w:w="15" w:type="dxa"/>
          <w:left w:w="15" w:type="dxa"/>
          <w:bottom w:w="15" w:type="dxa"/>
          <w:right w:w="15" w:type="dxa"/>
        </w:tblCellMar>
        <w:tblLook w:val="04A0" w:firstRow="1" w:lastRow="0" w:firstColumn="1" w:lastColumn="0" w:noHBand="0" w:noVBand="1"/>
      </w:tblPr>
      <w:tblGrid>
        <w:gridCol w:w="43"/>
        <w:gridCol w:w="1153"/>
        <w:gridCol w:w="39"/>
        <w:gridCol w:w="116"/>
        <w:gridCol w:w="614"/>
        <w:gridCol w:w="36"/>
        <w:gridCol w:w="116"/>
        <w:gridCol w:w="572"/>
        <w:gridCol w:w="36"/>
        <w:gridCol w:w="116"/>
        <w:gridCol w:w="600"/>
        <w:gridCol w:w="36"/>
        <w:gridCol w:w="116"/>
        <w:gridCol w:w="729"/>
        <w:gridCol w:w="36"/>
        <w:gridCol w:w="116"/>
        <w:gridCol w:w="671"/>
        <w:gridCol w:w="36"/>
        <w:gridCol w:w="115"/>
        <w:gridCol w:w="473"/>
        <w:gridCol w:w="36"/>
        <w:gridCol w:w="116"/>
        <w:gridCol w:w="699"/>
        <w:gridCol w:w="36"/>
        <w:gridCol w:w="116"/>
        <w:gridCol w:w="809"/>
        <w:gridCol w:w="36"/>
        <w:gridCol w:w="115"/>
        <w:gridCol w:w="568"/>
        <w:gridCol w:w="36"/>
      </w:tblGrid>
      <w:tr w:rsidR="00066C63" w14:paraId="669C6A85" w14:textId="77777777">
        <w:tc>
          <w:tcPr>
            <w:tcW w:w="50" w:type="pct"/>
            <w:shd w:val="clear" w:color="auto" w:fill="auto"/>
          </w:tcPr>
          <w:p w14:paraId="669C6A67" w14:textId="77777777" w:rsidR="00066C63" w:rsidRDefault="00066C63">
            <w:pPr>
              <w:rPr>
                <w:rFonts w:ascii="宋体"/>
              </w:rPr>
            </w:pPr>
          </w:p>
        </w:tc>
        <w:tc>
          <w:tcPr>
            <w:tcW w:w="1110" w:type="pct"/>
            <w:shd w:val="clear" w:color="auto" w:fill="auto"/>
          </w:tcPr>
          <w:p w14:paraId="669C6A68" w14:textId="77777777" w:rsidR="00066C63" w:rsidRDefault="00066C63">
            <w:pPr>
              <w:rPr>
                <w:rFonts w:ascii="宋体"/>
              </w:rPr>
            </w:pPr>
          </w:p>
        </w:tc>
        <w:tc>
          <w:tcPr>
            <w:tcW w:w="5" w:type="pct"/>
            <w:shd w:val="clear" w:color="auto" w:fill="auto"/>
          </w:tcPr>
          <w:p w14:paraId="669C6A69" w14:textId="77777777" w:rsidR="00066C63" w:rsidRDefault="00066C63">
            <w:pPr>
              <w:rPr>
                <w:rFonts w:ascii="宋体"/>
              </w:rPr>
            </w:pPr>
          </w:p>
        </w:tc>
        <w:tc>
          <w:tcPr>
            <w:tcW w:w="50" w:type="pct"/>
            <w:shd w:val="clear" w:color="auto" w:fill="auto"/>
          </w:tcPr>
          <w:p w14:paraId="669C6A6A" w14:textId="77777777" w:rsidR="00066C63" w:rsidRDefault="00066C63">
            <w:pPr>
              <w:rPr>
                <w:rFonts w:ascii="宋体"/>
              </w:rPr>
            </w:pPr>
          </w:p>
        </w:tc>
        <w:tc>
          <w:tcPr>
            <w:tcW w:w="353" w:type="pct"/>
            <w:shd w:val="clear" w:color="auto" w:fill="auto"/>
          </w:tcPr>
          <w:p w14:paraId="669C6A6B" w14:textId="77777777" w:rsidR="00066C63" w:rsidRDefault="00066C63">
            <w:pPr>
              <w:rPr>
                <w:rFonts w:ascii="宋体"/>
              </w:rPr>
            </w:pPr>
          </w:p>
        </w:tc>
        <w:tc>
          <w:tcPr>
            <w:tcW w:w="5" w:type="pct"/>
            <w:shd w:val="clear" w:color="auto" w:fill="auto"/>
          </w:tcPr>
          <w:p w14:paraId="669C6A6C" w14:textId="77777777" w:rsidR="00066C63" w:rsidRDefault="00066C63">
            <w:pPr>
              <w:rPr>
                <w:rFonts w:ascii="宋体"/>
              </w:rPr>
            </w:pPr>
          </w:p>
        </w:tc>
        <w:tc>
          <w:tcPr>
            <w:tcW w:w="50" w:type="pct"/>
            <w:shd w:val="clear" w:color="auto" w:fill="auto"/>
          </w:tcPr>
          <w:p w14:paraId="669C6A6D" w14:textId="77777777" w:rsidR="00066C63" w:rsidRDefault="00066C63">
            <w:pPr>
              <w:rPr>
                <w:rFonts w:ascii="宋体"/>
              </w:rPr>
            </w:pPr>
          </w:p>
        </w:tc>
        <w:tc>
          <w:tcPr>
            <w:tcW w:w="353" w:type="pct"/>
            <w:shd w:val="clear" w:color="auto" w:fill="auto"/>
          </w:tcPr>
          <w:p w14:paraId="669C6A6E" w14:textId="77777777" w:rsidR="00066C63" w:rsidRDefault="00066C63">
            <w:pPr>
              <w:rPr>
                <w:rFonts w:ascii="宋体"/>
              </w:rPr>
            </w:pPr>
          </w:p>
        </w:tc>
        <w:tc>
          <w:tcPr>
            <w:tcW w:w="5" w:type="pct"/>
            <w:shd w:val="clear" w:color="auto" w:fill="auto"/>
          </w:tcPr>
          <w:p w14:paraId="669C6A6F" w14:textId="77777777" w:rsidR="00066C63" w:rsidRDefault="00066C63">
            <w:pPr>
              <w:rPr>
                <w:rFonts w:ascii="宋体"/>
              </w:rPr>
            </w:pPr>
          </w:p>
        </w:tc>
        <w:tc>
          <w:tcPr>
            <w:tcW w:w="50" w:type="pct"/>
            <w:shd w:val="clear" w:color="auto" w:fill="auto"/>
          </w:tcPr>
          <w:p w14:paraId="669C6A70" w14:textId="77777777" w:rsidR="00066C63" w:rsidRDefault="00066C63">
            <w:pPr>
              <w:rPr>
                <w:rFonts w:ascii="宋体"/>
              </w:rPr>
            </w:pPr>
          </w:p>
        </w:tc>
        <w:tc>
          <w:tcPr>
            <w:tcW w:w="353" w:type="pct"/>
            <w:shd w:val="clear" w:color="auto" w:fill="auto"/>
          </w:tcPr>
          <w:p w14:paraId="669C6A71" w14:textId="77777777" w:rsidR="00066C63" w:rsidRDefault="00066C63">
            <w:pPr>
              <w:rPr>
                <w:rFonts w:ascii="宋体"/>
              </w:rPr>
            </w:pPr>
          </w:p>
        </w:tc>
        <w:tc>
          <w:tcPr>
            <w:tcW w:w="5" w:type="pct"/>
            <w:shd w:val="clear" w:color="auto" w:fill="auto"/>
          </w:tcPr>
          <w:p w14:paraId="669C6A72" w14:textId="77777777" w:rsidR="00066C63" w:rsidRDefault="00066C63">
            <w:pPr>
              <w:rPr>
                <w:rFonts w:ascii="宋体"/>
              </w:rPr>
            </w:pPr>
          </w:p>
        </w:tc>
        <w:tc>
          <w:tcPr>
            <w:tcW w:w="50" w:type="pct"/>
            <w:shd w:val="clear" w:color="auto" w:fill="auto"/>
          </w:tcPr>
          <w:p w14:paraId="669C6A73" w14:textId="77777777" w:rsidR="00066C63" w:rsidRDefault="00066C63">
            <w:pPr>
              <w:rPr>
                <w:rFonts w:ascii="宋体"/>
              </w:rPr>
            </w:pPr>
          </w:p>
        </w:tc>
        <w:tc>
          <w:tcPr>
            <w:tcW w:w="384" w:type="pct"/>
            <w:shd w:val="clear" w:color="auto" w:fill="auto"/>
          </w:tcPr>
          <w:p w14:paraId="669C6A74" w14:textId="77777777" w:rsidR="00066C63" w:rsidRDefault="00066C63">
            <w:pPr>
              <w:rPr>
                <w:rFonts w:ascii="宋体"/>
              </w:rPr>
            </w:pPr>
          </w:p>
        </w:tc>
        <w:tc>
          <w:tcPr>
            <w:tcW w:w="5" w:type="pct"/>
            <w:shd w:val="clear" w:color="auto" w:fill="auto"/>
          </w:tcPr>
          <w:p w14:paraId="669C6A75" w14:textId="77777777" w:rsidR="00066C63" w:rsidRDefault="00066C63">
            <w:pPr>
              <w:rPr>
                <w:rFonts w:ascii="宋体"/>
              </w:rPr>
            </w:pPr>
          </w:p>
        </w:tc>
        <w:tc>
          <w:tcPr>
            <w:tcW w:w="50" w:type="pct"/>
            <w:shd w:val="clear" w:color="auto" w:fill="auto"/>
          </w:tcPr>
          <w:p w14:paraId="669C6A76" w14:textId="77777777" w:rsidR="00066C63" w:rsidRDefault="00066C63">
            <w:pPr>
              <w:rPr>
                <w:rFonts w:ascii="宋体"/>
              </w:rPr>
            </w:pPr>
          </w:p>
        </w:tc>
        <w:tc>
          <w:tcPr>
            <w:tcW w:w="369" w:type="pct"/>
            <w:shd w:val="clear" w:color="auto" w:fill="auto"/>
          </w:tcPr>
          <w:p w14:paraId="669C6A77" w14:textId="77777777" w:rsidR="00066C63" w:rsidRDefault="00066C63">
            <w:pPr>
              <w:rPr>
                <w:rFonts w:ascii="宋体"/>
              </w:rPr>
            </w:pPr>
          </w:p>
        </w:tc>
        <w:tc>
          <w:tcPr>
            <w:tcW w:w="5" w:type="pct"/>
            <w:shd w:val="clear" w:color="auto" w:fill="auto"/>
          </w:tcPr>
          <w:p w14:paraId="669C6A78" w14:textId="77777777" w:rsidR="00066C63" w:rsidRDefault="00066C63">
            <w:pPr>
              <w:rPr>
                <w:rFonts w:ascii="宋体"/>
              </w:rPr>
            </w:pPr>
          </w:p>
        </w:tc>
        <w:tc>
          <w:tcPr>
            <w:tcW w:w="50" w:type="pct"/>
            <w:shd w:val="clear" w:color="auto" w:fill="auto"/>
          </w:tcPr>
          <w:p w14:paraId="669C6A79" w14:textId="77777777" w:rsidR="00066C63" w:rsidRDefault="00066C63">
            <w:pPr>
              <w:rPr>
                <w:rFonts w:ascii="宋体"/>
              </w:rPr>
            </w:pPr>
          </w:p>
        </w:tc>
        <w:tc>
          <w:tcPr>
            <w:tcW w:w="353" w:type="pct"/>
            <w:shd w:val="clear" w:color="auto" w:fill="auto"/>
          </w:tcPr>
          <w:p w14:paraId="669C6A7A" w14:textId="77777777" w:rsidR="00066C63" w:rsidRDefault="00066C63">
            <w:pPr>
              <w:rPr>
                <w:rFonts w:ascii="宋体"/>
              </w:rPr>
            </w:pPr>
          </w:p>
        </w:tc>
        <w:tc>
          <w:tcPr>
            <w:tcW w:w="5" w:type="pct"/>
            <w:shd w:val="clear" w:color="auto" w:fill="auto"/>
          </w:tcPr>
          <w:p w14:paraId="669C6A7B" w14:textId="77777777" w:rsidR="00066C63" w:rsidRDefault="00066C63">
            <w:pPr>
              <w:rPr>
                <w:rFonts w:ascii="宋体"/>
              </w:rPr>
            </w:pPr>
          </w:p>
        </w:tc>
        <w:tc>
          <w:tcPr>
            <w:tcW w:w="50" w:type="pct"/>
            <w:shd w:val="clear" w:color="auto" w:fill="auto"/>
          </w:tcPr>
          <w:p w14:paraId="669C6A7C" w14:textId="77777777" w:rsidR="00066C63" w:rsidRDefault="00066C63">
            <w:pPr>
              <w:rPr>
                <w:rFonts w:ascii="宋体"/>
              </w:rPr>
            </w:pPr>
          </w:p>
        </w:tc>
        <w:tc>
          <w:tcPr>
            <w:tcW w:w="384" w:type="pct"/>
            <w:shd w:val="clear" w:color="auto" w:fill="auto"/>
          </w:tcPr>
          <w:p w14:paraId="669C6A7D" w14:textId="77777777" w:rsidR="00066C63" w:rsidRDefault="00066C63">
            <w:pPr>
              <w:rPr>
                <w:rFonts w:ascii="宋体"/>
              </w:rPr>
            </w:pPr>
          </w:p>
        </w:tc>
        <w:tc>
          <w:tcPr>
            <w:tcW w:w="5" w:type="pct"/>
            <w:shd w:val="clear" w:color="auto" w:fill="auto"/>
          </w:tcPr>
          <w:p w14:paraId="669C6A7E" w14:textId="77777777" w:rsidR="00066C63" w:rsidRDefault="00066C63">
            <w:pPr>
              <w:rPr>
                <w:rFonts w:ascii="宋体"/>
              </w:rPr>
            </w:pPr>
          </w:p>
        </w:tc>
        <w:tc>
          <w:tcPr>
            <w:tcW w:w="50" w:type="pct"/>
            <w:shd w:val="clear" w:color="auto" w:fill="auto"/>
          </w:tcPr>
          <w:p w14:paraId="669C6A7F" w14:textId="77777777" w:rsidR="00066C63" w:rsidRDefault="00066C63">
            <w:pPr>
              <w:rPr>
                <w:rFonts w:ascii="宋体"/>
              </w:rPr>
            </w:pPr>
          </w:p>
        </w:tc>
        <w:tc>
          <w:tcPr>
            <w:tcW w:w="431" w:type="pct"/>
            <w:shd w:val="clear" w:color="auto" w:fill="auto"/>
          </w:tcPr>
          <w:p w14:paraId="669C6A80" w14:textId="77777777" w:rsidR="00066C63" w:rsidRDefault="00066C63">
            <w:pPr>
              <w:rPr>
                <w:rFonts w:ascii="宋体"/>
              </w:rPr>
            </w:pPr>
          </w:p>
        </w:tc>
        <w:tc>
          <w:tcPr>
            <w:tcW w:w="5" w:type="pct"/>
            <w:shd w:val="clear" w:color="auto" w:fill="auto"/>
          </w:tcPr>
          <w:p w14:paraId="669C6A81" w14:textId="77777777" w:rsidR="00066C63" w:rsidRDefault="00066C63">
            <w:pPr>
              <w:rPr>
                <w:rFonts w:ascii="宋体"/>
              </w:rPr>
            </w:pPr>
          </w:p>
        </w:tc>
        <w:tc>
          <w:tcPr>
            <w:tcW w:w="50" w:type="pct"/>
            <w:shd w:val="clear" w:color="auto" w:fill="auto"/>
          </w:tcPr>
          <w:p w14:paraId="669C6A82" w14:textId="77777777" w:rsidR="00066C63" w:rsidRDefault="00066C63">
            <w:pPr>
              <w:rPr>
                <w:rFonts w:ascii="宋体"/>
              </w:rPr>
            </w:pPr>
          </w:p>
        </w:tc>
        <w:tc>
          <w:tcPr>
            <w:tcW w:w="354" w:type="pct"/>
            <w:shd w:val="clear" w:color="auto" w:fill="auto"/>
          </w:tcPr>
          <w:p w14:paraId="669C6A83" w14:textId="77777777" w:rsidR="00066C63" w:rsidRDefault="00066C63">
            <w:pPr>
              <w:rPr>
                <w:rFonts w:ascii="宋体"/>
              </w:rPr>
            </w:pPr>
          </w:p>
        </w:tc>
        <w:tc>
          <w:tcPr>
            <w:tcW w:w="5" w:type="pct"/>
            <w:shd w:val="clear" w:color="auto" w:fill="auto"/>
          </w:tcPr>
          <w:p w14:paraId="669C6A84" w14:textId="77777777" w:rsidR="00066C63" w:rsidRDefault="00066C63">
            <w:pPr>
              <w:rPr>
                <w:rFonts w:ascii="宋体"/>
              </w:rPr>
            </w:pPr>
          </w:p>
        </w:tc>
      </w:tr>
      <w:tr w:rsidR="00066C63" w14:paraId="669C6A88" w14:textId="77777777">
        <w:tc>
          <w:tcPr>
            <w:tcW w:w="0" w:type="auto"/>
            <w:gridSpan w:val="3"/>
            <w:shd w:val="clear" w:color="auto" w:fill="auto"/>
            <w:tcMar>
              <w:top w:w="0" w:type="dxa"/>
              <w:left w:w="20" w:type="dxa"/>
              <w:bottom w:w="0" w:type="dxa"/>
              <w:right w:w="20" w:type="dxa"/>
            </w:tcMar>
          </w:tcPr>
          <w:p w14:paraId="669C6A86" w14:textId="77777777" w:rsidR="00066C63" w:rsidRDefault="00066C63">
            <w:pPr>
              <w:rPr>
                <w:rFonts w:ascii="宋体"/>
              </w:rPr>
            </w:pPr>
          </w:p>
        </w:tc>
        <w:tc>
          <w:tcPr>
            <w:tcW w:w="0" w:type="auto"/>
            <w:gridSpan w:val="27"/>
            <w:shd w:val="clear" w:color="auto" w:fill="auto"/>
            <w:tcMar>
              <w:top w:w="40" w:type="dxa"/>
              <w:left w:w="20" w:type="dxa"/>
              <w:bottom w:w="40" w:type="dxa"/>
              <w:right w:w="20" w:type="dxa"/>
            </w:tcMar>
            <w:vAlign w:val="bottom"/>
          </w:tcPr>
          <w:p w14:paraId="669C6A87" w14:textId="77777777" w:rsidR="00066C63" w:rsidRDefault="009656F6">
            <w:pPr>
              <w:jc w:val="center"/>
              <w:textAlignment w:val="bottom"/>
            </w:pPr>
            <w:r>
              <w:rPr>
                <w:rFonts w:ascii="sans-serif" w:eastAsia="sans-serif" w:hAnsi="sans-serif" w:cs="sans-serif"/>
                <w:b/>
                <w:bCs/>
                <w:color w:val="000000"/>
                <w:sz w:val="17"/>
                <w:szCs w:val="17"/>
              </w:rPr>
              <w:t>THREE MONTHS ENDED FEBRUARY 28, 2021</w:t>
            </w:r>
          </w:p>
        </w:tc>
      </w:tr>
      <w:tr w:rsidR="00066C63" w14:paraId="669C6A93" w14:textId="77777777">
        <w:tc>
          <w:tcPr>
            <w:tcW w:w="0" w:type="auto"/>
            <w:gridSpan w:val="3"/>
            <w:shd w:val="clear" w:color="auto" w:fill="auto"/>
            <w:tcMar>
              <w:top w:w="40" w:type="dxa"/>
              <w:left w:w="20" w:type="dxa"/>
              <w:bottom w:w="40" w:type="dxa"/>
              <w:right w:w="20" w:type="dxa"/>
            </w:tcMar>
            <w:vAlign w:val="bottom"/>
          </w:tcPr>
          <w:p w14:paraId="669C6A89" w14:textId="77777777" w:rsidR="00066C63" w:rsidRDefault="009656F6">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A8A" w14:textId="77777777" w:rsidR="00066C63" w:rsidRDefault="009656F6">
            <w:pPr>
              <w:jc w:val="right"/>
              <w:textAlignment w:val="bottom"/>
            </w:pPr>
            <w:r>
              <w:rPr>
                <w:rFonts w:ascii="sans-serif" w:eastAsia="sans-serif" w:hAnsi="sans-serif" w:cs="sans-serif"/>
                <w:b/>
                <w:bCs/>
                <w:color w:val="000000"/>
                <w:sz w:val="17"/>
                <w:szCs w:val="17"/>
              </w:rPr>
              <w:t>NORTH AMERICA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A8B" w14:textId="77777777" w:rsidR="00066C63" w:rsidRDefault="009656F6">
            <w:pPr>
              <w:jc w:val="right"/>
              <w:textAlignment w:val="bottom"/>
            </w:pPr>
            <w:r>
              <w:rPr>
                <w:rFonts w:ascii="sans-serif" w:eastAsia="sans-serif" w:hAnsi="sans-serif" w:cs="sans-serif"/>
                <w:b/>
                <w:bCs/>
                <w:color w:val="000000"/>
                <w:sz w:val="17"/>
                <w:szCs w:val="17"/>
              </w:rPr>
              <w:t>EUROPE, MIDDLE EAST &amp; AFRICA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A8C" w14:textId="77777777" w:rsidR="00066C63" w:rsidRDefault="009656F6">
            <w:pPr>
              <w:jc w:val="right"/>
              <w:textAlignment w:val="bottom"/>
            </w:pPr>
            <w:r>
              <w:rPr>
                <w:rFonts w:ascii="sans-serif" w:eastAsia="sans-serif" w:hAnsi="sans-serif" w:cs="sans-serif"/>
                <w:b/>
                <w:bCs/>
                <w:color w:val="000000"/>
                <w:sz w:val="17"/>
                <w:szCs w:val="17"/>
              </w:rPr>
              <w:t xml:space="preserve">GREATER </w:t>
            </w:r>
            <w:r>
              <w:rPr>
                <w:rFonts w:ascii="sans-serif" w:eastAsia="sans-serif" w:hAnsi="sans-serif" w:cs="sans-serif"/>
                <w:b/>
                <w:bCs/>
                <w:color w:val="000000"/>
                <w:sz w:val="17"/>
                <w:szCs w:val="17"/>
              </w:rPr>
              <w:t>CHINA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A8D" w14:textId="77777777" w:rsidR="00066C63" w:rsidRDefault="009656F6">
            <w:pPr>
              <w:jc w:val="right"/>
              <w:textAlignment w:val="bottom"/>
            </w:pPr>
            <w:r>
              <w:rPr>
                <w:rFonts w:ascii="sans-serif" w:eastAsia="sans-serif" w:hAnsi="sans-serif" w:cs="sans-serif"/>
                <w:b/>
                <w:bCs/>
                <w:color w:val="000000"/>
                <w:sz w:val="17"/>
                <w:szCs w:val="17"/>
              </w:rPr>
              <w:t>ASIA PACIFIC &amp; LATIN AMERICA</w:t>
            </w:r>
            <w:r>
              <w:rPr>
                <w:rFonts w:ascii="sans-serif" w:eastAsia="sans-serif" w:hAnsi="sans-serif" w:cs="sans-serif"/>
                <w:b/>
                <w:bCs/>
                <w:color w:val="000000"/>
                <w:sz w:val="11"/>
                <w:szCs w:val="11"/>
              </w:rPr>
              <w:t>(1)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A8E" w14:textId="77777777" w:rsidR="00066C63" w:rsidRDefault="009656F6">
            <w:pPr>
              <w:jc w:val="right"/>
              <w:textAlignment w:val="bottom"/>
            </w:pPr>
            <w:r>
              <w:rPr>
                <w:rFonts w:ascii="sans-serif" w:eastAsia="sans-serif" w:hAnsi="sans-serif" w:cs="sans-serif"/>
                <w:b/>
                <w:bCs/>
                <w:color w:val="000000"/>
                <w:sz w:val="17"/>
                <w:szCs w:val="17"/>
              </w:rPr>
              <w:t>GLOBAL BRAND DIVISIONS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A8F" w14:textId="77777777" w:rsidR="00066C63" w:rsidRDefault="009656F6">
            <w:pPr>
              <w:jc w:val="right"/>
              <w:textAlignment w:val="bottom"/>
            </w:pPr>
            <w:r>
              <w:rPr>
                <w:rFonts w:ascii="sans-serif" w:eastAsia="sans-serif" w:hAnsi="sans-serif" w:cs="sans-serif"/>
                <w:b/>
                <w:bCs/>
                <w:color w:val="000000"/>
                <w:sz w:val="17"/>
                <w:szCs w:val="17"/>
              </w:rPr>
              <w:t>TOTAL NIKE BRAND</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A90" w14:textId="77777777" w:rsidR="00066C63" w:rsidRDefault="009656F6">
            <w:pPr>
              <w:jc w:val="right"/>
              <w:textAlignment w:val="bottom"/>
            </w:pPr>
            <w:r>
              <w:rPr>
                <w:rFonts w:ascii="sans-serif" w:eastAsia="sans-serif" w:hAnsi="sans-serif" w:cs="sans-serif"/>
                <w:b/>
                <w:bCs/>
                <w:color w:val="000000"/>
                <w:sz w:val="17"/>
                <w:szCs w:val="17"/>
              </w:rPr>
              <w:t>CONVERSE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A91" w14:textId="77777777" w:rsidR="00066C63" w:rsidRDefault="009656F6">
            <w:pPr>
              <w:jc w:val="right"/>
              <w:textAlignment w:val="bottom"/>
            </w:pPr>
            <w:r>
              <w:rPr>
                <w:rFonts w:ascii="sans-serif" w:eastAsia="sans-serif" w:hAnsi="sans-serif" w:cs="sans-serif"/>
                <w:b/>
                <w:bCs/>
                <w:color w:val="000000"/>
                <w:sz w:val="17"/>
                <w:szCs w:val="17"/>
              </w:rPr>
              <w:t>CORPORATE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A92" w14:textId="77777777" w:rsidR="00066C63" w:rsidRDefault="009656F6">
            <w:pPr>
              <w:jc w:val="right"/>
              <w:textAlignment w:val="bottom"/>
            </w:pPr>
            <w:r>
              <w:rPr>
                <w:rFonts w:ascii="sans-serif" w:eastAsia="sans-serif" w:hAnsi="sans-serif" w:cs="sans-serif"/>
                <w:b/>
                <w:bCs/>
                <w:color w:val="000000"/>
                <w:sz w:val="17"/>
                <w:szCs w:val="17"/>
              </w:rPr>
              <w:t>TOTAL NIKE, INC.</w:t>
            </w:r>
          </w:p>
        </w:tc>
      </w:tr>
      <w:tr w:rsidR="00066C63" w14:paraId="669C6A9E"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A94" w14:textId="77777777" w:rsidR="00066C63" w:rsidRDefault="009656F6">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FFF1E7"/>
            <w:tcMar>
              <w:top w:w="0" w:type="dxa"/>
              <w:left w:w="20" w:type="dxa"/>
              <w:bottom w:w="0" w:type="dxa"/>
              <w:right w:w="20" w:type="dxa"/>
            </w:tcMar>
          </w:tcPr>
          <w:p w14:paraId="669C6A95" w14:textId="77777777" w:rsidR="00066C63" w:rsidRDefault="00066C63">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669C6A96" w14:textId="77777777" w:rsidR="00066C63" w:rsidRDefault="00066C63">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669C6A97" w14:textId="77777777" w:rsidR="00066C63" w:rsidRDefault="00066C63">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669C6A98" w14:textId="77777777" w:rsidR="00066C63" w:rsidRDefault="00066C63">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669C6A99" w14:textId="77777777" w:rsidR="00066C63" w:rsidRDefault="00066C63">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669C6A9A" w14:textId="77777777" w:rsidR="00066C63" w:rsidRDefault="00066C63">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669C6A9B" w14:textId="77777777" w:rsidR="00066C63" w:rsidRDefault="00066C63">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669C6A9C" w14:textId="77777777" w:rsidR="00066C63" w:rsidRDefault="00066C63">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669C6A9D" w14:textId="77777777" w:rsidR="00066C63" w:rsidRDefault="00066C63">
            <w:pPr>
              <w:rPr>
                <w:rFonts w:ascii="宋体"/>
              </w:rPr>
            </w:pPr>
          </w:p>
        </w:tc>
      </w:tr>
      <w:tr w:rsidR="00066C63" w14:paraId="669C6ABB"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6A9F" w14:textId="77777777" w:rsidR="00066C63" w:rsidRDefault="009656F6">
            <w:pPr>
              <w:textAlignment w:val="bottom"/>
            </w:pPr>
            <w:r>
              <w:rPr>
                <w:rFonts w:ascii="Arial" w:eastAsia="宋体" w:hAnsi="Arial" w:cs="Arial"/>
                <w:color w:val="000000"/>
                <w:sz w:val="17"/>
                <w:szCs w:val="17"/>
              </w:rPr>
              <w:t>Footwear</w:t>
            </w:r>
          </w:p>
        </w:tc>
        <w:tc>
          <w:tcPr>
            <w:tcW w:w="0" w:type="auto"/>
            <w:tcBorders>
              <w:top w:val="single" w:sz="8" w:space="0" w:color="808080"/>
            </w:tcBorders>
            <w:shd w:val="clear" w:color="auto" w:fill="FFF1E7"/>
            <w:tcMar>
              <w:top w:w="40" w:type="dxa"/>
              <w:left w:w="20" w:type="dxa"/>
              <w:bottom w:w="40" w:type="dxa"/>
              <w:right w:w="0" w:type="dxa"/>
            </w:tcMar>
            <w:vAlign w:val="bottom"/>
          </w:tcPr>
          <w:p w14:paraId="669C6AA0"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669C6AA1" w14:textId="77777777" w:rsidR="00066C63" w:rsidRDefault="009656F6">
            <w:pPr>
              <w:jc w:val="right"/>
              <w:textAlignment w:val="bottom"/>
            </w:pPr>
            <w:r>
              <w:rPr>
                <w:rFonts w:ascii="Arial" w:eastAsia="宋体" w:hAnsi="Arial" w:cs="Arial"/>
                <w:color w:val="000000"/>
                <w:sz w:val="17"/>
                <w:szCs w:val="17"/>
              </w:rPr>
              <w:t>2,382 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AA2" w14:textId="77777777" w:rsidR="00066C63" w:rsidRDefault="00066C63">
            <w:pPr>
              <w:jc w:val="right"/>
              <w:rPr>
                <w:rFonts w:ascii="宋体"/>
              </w:rPr>
            </w:pPr>
          </w:p>
        </w:tc>
        <w:tc>
          <w:tcPr>
            <w:tcW w:w="0" w:type="auto"/>
            <w:tcBorders>
              <w:top w:val="single" w:sz="8" w:space="0" w:color="808080"/>
            </w:tcBorders>
            <w:shd w:val="clear" w:color="auto" w:fill="FFF1E7"/>
            <w:tcMar>
              <w:top w:w="40" w:type="dxa"/>
              <w:left w:w="20" w:type="dxa"/>
              <w:bottom w:w="40" w:type="dxa"/>
              <w:right w:w="0" w:type="dxa"/>
            </w:tcMar>
            <w:vAlign w:val="bottom"/>
          </w:tcPr>
          <w:p w14:paraId="669C6AA3"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669C6AA4" w14:textId="77777777" w:rsidR="00066C63" w:rsidRDefault="009656F6">
            <w:pPr>
              <w:jc w:val="right"/>
              <w:textAlignment w:val="bottom"/>
            </w:pPr>
            <w:r>
              <w:rPr>
                <w:rFonts w:ascii="Arial" w:eastAsia="宋体" w:hAnsi="Arial" w:cs="Arial"/>
                <w:color w:val="000000"/>
                <w:sz w:val="17"/>
                <w:szCs w:val="17"/>
              </w:rPr>
              <w:t>1,606 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AA5" w14:textId="77777777" w:rsidR="00066C63" w:rsidRDefault="00066C63">
            <w:pPr>
              <w:jc w:val="right"/>
              <w:rPr>
                <w:rFonts w:ascii="宋体"/>
              </w:rPr>
            </w:pPr>
          </w:p>
        </w:tc>
        <w:tc>
          <w:tcPr>
            <w:tcW w:w="0" w:type="auto"/>
            <w:tcBorders>
              <w:top w:val="single" w:sz="8" w:space="0" w:color="808080"/>
            </w:tcBorders>
            <w:shd w:val="clear" w:color="auto" w:fill="FFF1E7"/>
            <w:tcMar>
              <w:top w:w="40" w:type="dxa"/>
              <w:left w:w="20" w:type="dxa"/>
              <w:bottom w:w="40" w:type="dxa"/>
              <w:right w:w="0" w:type="dxa"/>
            </w:tcMar>
            <w:vAlign w:val="bottom"/>
          </w:tcPr>
          <w:p w14:paraId="669C6AA6"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669C6AA7" w14:textId="77777777" w:rsidR="00066C63" w:rsidRDefault="009656F6">
            <w:pPr>
              <w:jc w:val="right"/>
              <w:textAlignment w:val="bottom"/>
            </w:pPr>
            <w:r>
              <w:rPr>
                <w:rFonts w:ascii="Arial" w:eastAsia="宋体" w:hAnsi="Arial" w:cs="Arial"/>
                <w:color w:val="000000"/>
                <w:sz w:val="17"/>
                <w:szCs w:val="17"/>
              </w:rPr>
              <w:t>1,614 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AA8" w14:textId="77777777" w:rsidR="00066C63" w:rsidRDefault="00066C63">
            <w:pPr>
              <w:jc w:val="right"/>
              <w:rPr>
                <w:rFonts w:ascii="宋体"/>
              </w:rPr>
            </w:pPr>
          </w:p>
        </w:tc>
        <w:tc>
          <w:tcPr>
            <w:tcW w:w="0" w:type="auto"/>
            <w:tcBorders>
              <w:top w:val="single" w:sz="8" w:space="0" w:color="808080"/>
            </w:tcBorders>
            <w:shd w:val="clear" w:color="auto" w:fill="FFF1E7"/>
            <w:tcMar>
              <w:top w:w="40" w:type="dxa"/>
              <w:left w:w="20" w:type="dxa"/>
              <w:bottom w:w="40" w:type="dxa"/>
              <w:right w:w="0" w:type="dxa"/>
            </w:tcMar>
            <w:vAlign w:val="bottom"/>
          </w:tcPr>
          <w:p w14:paraId="669C6AA9"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669C6AAA" w14:textId="77777777" w:rsidR="00066C63" w:rsidRDefault="009656F6">
            <w:pPr>
              <w:jc w:val="right"/>
              <w:textAlignment w:val="bottom"/>
            </w:pPr>
            <w:r>
              <w:rPr>
                <w:rFonts w:ascii="Arial" w:eastAsia="宋体" w:hAnsi="Arial" w:cs="Arial"/>
                <w:color w:val="000000"/>
                <w:sz w:val="17"/>
                <w:szCs w:val="17"/>
              </w:rPr>
              <w:t>903 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AAB" w14:textId="77777777" w:rsidR="00066C63" w:rsidRDefault="00066C63">
            <w:pPr>
              <w:jc w:val="right"/>
              <w:rPr>
                <w:rFonts w:ascii="宋体"/>
              </w:rPr>
            </w:pPr>
          </w:p>
        </w:tc>
        <w:tc>
          <w:tcPr>
            <w:tcW w:w="0" w:type="auto"/>
            <w:tcBorders>
              <w:top w:val="single" w:sz="8" w:space="0" w:color="808080"/>
            </w:tcBorders>
            <w:shd w:val="clear" w:color="auto" w:fill="FFF1E7"/>
            <w:tcMar>
              <w:top w:w="40" w:type="dxa"/>
              <w:left w:w="20" w:type="dxa"/>
              <w:bottom w:w="40" w:type="dxa"/>
              <w:right w:w="0" w:type="dxa"/>
            </w:tcMar>
            <w:vAlign w:val="bottom"/>
          </w:tcPr>
          <w:p w14:paraId="669C6AAC"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669C6AAD" w14:textId="77777777" w:rsidR="00066C63" w:rsidRDefault="009656F6">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AAE" w14:textId="77777777" w:rsidR="00066C63" w:rsidRDefault="00066C63">
            <w:pPr>
              <w:jc w:val="right"/>
              <w:rPr>
                <w:rFonts w:ascii="宋体"/>
              </w:rPr>
            </w:pPr>
          </w:p>
        </w:tc>
        <w:tc>
          <w:tcPr>
            <w:tcW w:w="0" w:type="auto"/>
            <w:tcBorders>
              <w:top w:val="single" w:sz="8" w:space="0" w:color="808080"/>
            </w:tcBorders>
            <w:shd w:val="clear" w:color="auto" w:fill="FFF1E7"/>
            <w:tcMar>
              <w:top w:w="40" w:type="dxa"/>
              <w:left w:w="20" w:type="dxa"/>
              <w:bottom w:w="40" w:type="dxa"/>
              <w:right w:w="0" w:type="dxa"/>
            </w:tcMar>
            <w:vAlign w:val="bottom"/>
          </w:tcPr>
          <w:p w14:paraId="669C6AAF"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669C6AB0" w14:textId="77777777" w:rsidR="00066C63" w:rsidRDefault="009656F6">
            <w:pPr>
              <w:jc w:val="right"/>
              <w:textAlignment w:val="bottom"/>
            </w:pPr>
            <w:r>
              <w:rPr>
                <w:rFonts w:ascii="Arial" w:eastAsia="宋体" w:hAnsi="Arial" w:cs="Arial"/>
                <w:color w:val="000000"/>
                <w:sz w:val="17"/>
                <w:szCs w:val="17"/>
              </w:rPr>
              <w:t>6,505 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AB1" w14:textId="77777777" w:rsidR="00066C63" w:rsidRDefault="00066C63">
            <w:pPr>
              <w:jc w:val="right"/>
              <w:rPr>
                <w:rFonts w:ascii="宋体"/>
              </w:rPr>
            </w:pPr>
          </w:p>
        </w:tc>
        <w:tc>
          <w:tcPr>
            <w:tcW w:w="0" w:type="auto"/>
            <w:tcBorders>
              <w:top w:val="single" w:sz="8" w:space="0" w:color="808080"/>
            </w:tcBorders>
            <w:shd w:val="clear" w:color="auto" w:fill="FFF1E7"/>
            <w:tcMar>
              <w:top w:w="40" w:type="dxa"/>
              <w:left w:w="20" w:type="dxa"/>
              <w:bottom w:w="40" w:type="dxa"/>
              <w:right w:w="0" w:type="dxa"/>
            </w:tcMar>
            <w:vAlign w:val="bottom"/>
          </w:tcPr>
          <w:p w14:paraId="669C6AB2"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669C6AB3" w14:textId="77777777" w:rsidR="00066C63" w:rsidRDefault="009656F6">
            <w:pPr>
              <w:jc w:val="right"/>
              <w:textAlignment w:val="bottom"/>
            </w:pPr>
            <w:r>
              <w:rPr>
                <w:rFonts w:ascii="Arial" w:eastAsia="宋体" w:hAnsi="Arial" w:cs="Arial"/>
                <w:color w:val="000000"/>
                <w:sz w:val="17"/>
                <w:szCs w:val="17"/>
              </w:rPr>
              <w:t>513 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AB4" w14:textId="77777777" w:rsidR="00066C63" w:rsidRDefault="00066C63">
            <w:pPr>
              <w:jc w:val="right"/>
              <w:rPr>
                <w:rFonts w:ascii="宋体"/>
              </w:rPr>
            </w:pPr>
          </w:p>
        </w:tc>
        <w:tc>
          <w:tcPr>
            <w:tcW w:w="0" w:type="auto"/>
            <w:tcBorders>
              <w:top w:val="single" w:sz="8" w:space="0" w:color="808080"/>
            </w:tcBorders>
            <w:shd w:val="clear" w:color="auto" w:fill="FFF1E7"/>
            <w:tcMar>
              <w:top w:w="40" w:type="dxa"/>
              <w:left w:w="20" w:type="dxa"/>
              <w:bottom w:w="40" w:type="dxa"/>
              <w:right w:w="0" w:type="dxa"/>
            </w:tcMar>
            <w:vAlign w:val="bottom"/>
          </w:tcPr>
          <w:p w14:paraId="669C6AB5"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669C6AB6" w14:textId="77777777" w:rsidR="00066C63" w:rsidRDefault="009656F6">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AB7" w14:textId="77777777" w:rsidR="00066C63" w:rsidRDefault="00066C63">
            <w:pPr>
              <w:jc w:val="right"/>
              <w:rPr>
                <w:rFonts w:ascii="宋体"/>
              </w:rPr>
            </w:pPr>
          </w:p>
        </w:tc>
        <w:tc>
          <w:tcPr>
            <w:tcW w:w="0" w:type="auto"/>
            <w:tcBorders>
              <w:top w:val="single" w:sz="8" w:space="0" w:color="808080"/>
            </w:tcBorders>
            <w:shd w:val="clear" w:color="auto" w:fill="FFF1E7"/>
            <w:tcMar>
              <w:top w:w="40" w:type="dxa"/>
              <w:left w:w="20" w:type="dxa"/>
              <w:bottom w:w="40" w:type="dxa"/>
              <w:right w:w="0" w:type="dxa"/>
            </w:tcMar>
            <w:vAlign w:val="bottom"/>
          </w:tcPr>
          <w:p w14:paraId="669C6AB8"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669C6AB9" w14:textId="77777777" w:rsidR="00066C63" w:rsidRDefault="009656F6">
            <w:pPr>
              <w:jc w:val="right"/>
              <w:textAlignment w:val="bottom"/>
            </w:pPr>
            <w:r>
              <w:rPr>
                <w:rFonts w:ascii="Arial" w:eastAsia="宋体" w:hAnsi="Arial" w:cs="Arial"/>
                <w:color w:val="000000"/>
                <w:sz w:val="17"/>
                <w:szCs w:val="17"/>
              </w:rPr>
              <w:t>7,018 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ABA" w14:textId="77777777" w:rsidR="00066C63" w:rsidRDefault="00066C63">
            <w:pPr>
              <w:jc w:val="right"/>
              <w:rPr>
                <w:rFonts w:ascii="宋体"/>
              </w:rPr>
            </w:pPr>
          </w:p>
        </w:tc>
      </w:tr>
      <w:tr w:rsidR="00066C63" w14:paraId="669C6ACF"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6ABC" w14:textId="77777777" w:rsidR="00066C63" w:rsidRDefault="009656F6">
            <w:pPr>
              <w:textAlignment w:val="bottom"/>
            </w:pPr>
            <w:r>
              <w:rPr>
                <w:rFonts w:ascii="Arial" w:eastAsia="宋体" w:hAnsi="Arial" w:cs="Arial"/>
                <w:color w:val="000000"/>
                <w:sz w:val="17"/>
                <w:szCs w:val="17"/>
              </w:rPr>
              <w:t>Apparel</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ABD" w14:textId="77777777" w:rsidR="00066C63" w:rsidRDefault="009656F6">
            <w:pPr>
              <w:jc w:val="right"/>
              <w:textAlignment w:val="bottom"/>
            </w:pPr>
            <w:r>
              <w:rPr>
                <w:rFonts w:ascii="Arial" w:eastAsia="宋体" w:hAnsi="Arial" w:cs="Arial"/>
                <w:color w:val="000000"/>
                <w:sz w:val="17"/>
                <w:szCs w:val="17"/>
              </w:rPr>
              <w:t>1,087 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ABE" w14:textId="77777777" w:rsidR="00066C63" w:rsidRDefault="00066C63">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ABF" w14:textId="77777777" w:rsidR="00066C63" w:rsidRDefault="009656F6">
            <w:pPr>
              <w:jc w:val="right"/>
              <w:textAlignment w:val="bottom"/>
            </w:pPr>
            <w:r>
              <w:rPr>
                <w:rFonts w:ascii="Arial" w:eastAsia="宋体" w:hAnsi="Arial" w:cs="Arial"/>
                <w:color w:val="000000"/>
                <w:sz w:val="17"/>
                <w:szCs w:val="17"/>
              </w:rPr>
              <w:t>898 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AC0" w14:textId="77777777" w:rsidR="00066C63" w:rsidRDefault="00066C63">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AC1" w14:textId="77777777" w:rsidR="00066C63" w:rsidRDefault="009656F6">
            <w:pPr>
              <w:jc w:val="right"/>
              <w:textAlignment w:val="bottom"/>
            </w:pPr>
            <w:r>
              <w:rPr>
                <w:rFonts w:ascii="Arial" w:eastAsia="宋体" w:hAnsi="Arial" w:cs="Arial"/>
                <w:color w:val="000000"/>
                <w:sz w:val="17"/>
                <w:szCs w:val="17"/>
              </w:rPr>
              <w:t>616 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AC2" w14:textId="77777777" w:rsidR="00066C63" w:rsidRDefault="00066C63">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AC3" w14:textId="77777777" w:rsidR="00066C63" w:rsidRDefault="009656F6">
            <w:pPr>
              <w:jc w:val="right"/>
              <w:textAlignment w:val="bottom"/>
            </w:pPr>
            <w:r>
              <w:rPr>
                <w:rFonts w:ascii="Arial" w:eastAsia="宋体" w:hAnsi="Arial" w:cs="Arial"/>
                <w:color w:val="000000"/>
                <w:sz w:val="17"/>
                <w:szCs w:val="17"/>
              </w:rPr>
              <w:t>365 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AC4" w14:textId="77777777" w:rsidR="00066C63" w:rsidRDefault="00066C63">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AC5" w14:textId="77777777" w:rsidR="00066C63" w:rsidRDefault="009656F6">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AC6" w14:textId="77777777" w:rsidR="00066C63" w:rsidRDefault="00066C63">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AC7" w14:textId="77777777" w:rsidR="00066C63" w:rsidRDefault="009656F6">
            <w:pPr>
              <w:jc w:val="right"/>
              <w:textAlignment w:val="bottom"/>
            </w:pPr>
            <w:r>
              <w:rPr>
                <w:rFonts w:ascii="Arial" w:eastAsia="宋体" w:hAnsi="Arial" w:cs="Arial"/>
                <w:color w:val="000000"/>
                <w:sz w:val="17"/>
                <w:szCs w:val="17"/>
              </w:rPr>
              <w:t>2,966 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AC8" w14:textId="77777777" w:rsidR="00066C63" w:rsidRDefault="00066C63">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AC9" w14:textId="77777777" w:rsidR="00066C63" w:rsidRDefault="009656F6">
            <w:pPr>
              <w:jc w:val="right"/>
              <w:textAlignment w:val="bottom"/>
            </w:pPr>
            <w:r>
              <w:rPr>
                <w:rFonts w:ascii="Arial" w:eastAsia="宋体" w:hAnsi="Arial" w:cs="Arial"/>
                <w:color w:val="000000"/>
                <w:sz w:val="17"/>
                <w:szCs w:val="17"/>
              </w:rPr>
              <w:t>28 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ACA" w14:textId="77777777" w:rsidR="00066C63" w:rsidRDefault="00066C63">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ACB" w14:textId="77777777" w:rsidR="00066C63" w:rsidRDefault="009656F6">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ACC" w14:textId="77777777" w:rsidR="00066C63" w:rsidRDefault="00066C63">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ACD" w14:textId="77777777" w:rsidR="00066C63" w:rsidRDefault="009656F6">
            <w:pPr>
              <w:jc w:val="right"/>
              <w:textAlignment w:val="bottom"/>
            </w:pPr>
            <w:r>
              <w:rPr>
                <w:rFonts w:ascii="Arial" w:eastAsia="宋体" w:hAnsi="Arial" w:cs="Arial"/>
                <w:color w:val="000000"/>
                <w:sz w:val="17"/>
                <w:szCs w:val="17"/>
              </w:rPr>
              <w:t>2,994 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ACE" w14:textId="77777777" w:rsidR="00066C63" w:rsidRDefault="00066C63">
            <w:pPr>
              <w:jc w:val="right"/>
              <w:rPr>
                <w:rFonts w:ascii="宋体"/>
              </w:rPr>
            </w:pPr>
          </w:p>
        </w:tc>
      </w:tr>
      <w:tr w:rsidR="00066C63" w14:paraId="669C6AE3"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6AD0" w14:textId="77777777" w:rsidR="00066C63" w:rsidRDefault="009656F6">
            <w:pPr>
              <w:textAlignment w:val="bottom"/>
            </w:pPr>
            <w:r>
              <w:rPr>
                <w:rFonts w:ascii="Arial" w:eastAsia="宋体" w:hAnsi="Arial" w:cs="Arial"/>
                <w:color w:val="000000"/>
                <w:sz w:val="17"/>
                <w:szCs w:val="17"/>
              </w:rPr>
              <w:t>Equipment</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AD1" w14:textId="77777777" w:rsidR="00066C63" w:rsidRDefault="009656F6">
            <w:pPr>
              <w:jc w:val="right"/>
              <w:textAlignment w:val="bottom"/>
            </w:pPr>
            <w:r>
              <w:rPr>
                <w:rFonts w:ascii="Arial" w:eastAsia="宋体" w:hAnsi="Arial" w:cs="Arial"/>
                <w:color w:val="000000"/>
                <w:sz w:val="17"/>
                <w:szCs w:val="17"/>
              </w:rPr>
              <w:t>95 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AD2" w14:textId="77777777" w:rsidR="00066C63" w:rsidRDefault="00066C63">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AD3" w14:textId="77777777" w:rsidR="00066C63" w:rsidRDefault="009656F6">
            <w:pPr>
              <w:jc w:val="right"/>
              <w:textAlignment w:val="bottom"/>
            </w:pPr>
            <w:r>
              <w:rPr>
                <w:rFonts w:ascii="Arial" w:eastAsia="宋体" w:hAnsi="Arial" w:cs="Arial"/>
                <w:color w:val="000000"/>
                <w:sz w:val="17"/>
                <w:szCs w:val="17"/>
              </w:rPr>
              <w:t>105 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AD4" w14:textId="77777777" w:rsidR="00066C63" w:rsidRDefault="00066C63">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AD5" w14:textId="77777777" w:rsidR="00066C63" w:rsidRDefault="009656F6">
            <w:pPr>
              <w:jc w:val="right"/>
              <w:textAlignment w:val="bottom"/>
            </w:pPr>
            <w:r>
              <w:rPr>
                <w:rFonts w:ascii="Arial" w:eastAsia="宋体" w:hAnsi="Arial" w:cs="Arial"/>
                <w:color w:val="000000"/>
                <w:sz w:val="17"/>
                <w:szCs w:val="17"/>
              </w:rPr>
              <w:t>49 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AD6" w14:textId="77777777" w:rsidR="00066C63" w:rsidRDefault="00066C63">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AD7" w14:textId="77777777" w:rsidR="00066C63" w:rsidRDefault="009656F6">
            <w:pPr>
              <w:jc w:val="right"/>
              <w:textAlignment w:val="bottom"/>
            </w:pPr>
            <w:r>
              <w:rPr>
                <w:rFonts w:ascii="Arial" w:eastAsia="宋体" w:hAnsi="Arial" w:cs="Arial"/>
                <w:color w:val="000000"/>
                <w:sz w:val="17"/>
                <w:szCs w:val="17"/>
              </w:rPr>
              <w:t>47 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AD8" w14:textId="77777777" w:rsidR="00066C63" w:rsidRDefault="00066C63">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AD9" w14:textId="77777777" w:rsidR="00066C63" w:rsidRDefault="009656F6">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ADA" w14:textId="77777777" w:rsidR="00066C63" w:rsidRDefault="00066C63">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ADB" w14:textId="77777777" w:rsidR="00066C63" w:rsidRDefault="009656F6">
            <w:pPr>
              <w:jc w:val="right"/>
              <w:textAlignment w:val="bottom"/>
            </w:pPr>
            <w:r>
              <w:rPr>
                <w:rFonts w:ascii="Arial" w:eastAsia="宋体" w:hAnsi="Arial" w:cs="Arial"/>
                <w:color w:val="000000"/>
                <w:sz w:val="17"/>
                <w:szCs w:val="17"/>
              </w:rPr>
              <w:t>296 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ADC" w14:textId="77777777" w:rsidR="00066C63" w:rsidRDefault="00066C63">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ADD" w14:textId="77777777" w:rsidR="00066C63" w:rsidRDefault="009656F6">
            <w:pPr>
              <w:jc w:val="right"/>
              <w:textAlignment w:val="bottom"/>
            </w:pPr>
            <w:r>
              <w:rPr>
                <w:rFonts w:ascii="Arial" w:eastAsia="宋体" w:hAnsi="Arial" w:cs="Arial"/>
                <w:color w:val="000000"/>
                <w:sz w:val="17"/>
                <w:szCs w:val="17"/>
              </w:rPr>
              <w:t>6 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ADE" w14:textId="77777777" w:rsidR="00066C63" w:rsidRDefault="00066C63">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ADF" w14:textId="77777777" w:rsidR="00066C63" w:rsidRDefault="009656F6">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AE0" w14:textId="77777777" w:rsidR="00066C63" w:rsidRDefault="00066C63">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AE1" w14:textId="77777777" w:rsidR="00066C63" w:rsidRDefault="009656F6">
            <w:pPr>
              <w:jc w:val="right"/>
              <w:textAlignment w:val="bottom"/>
            </w:pPr>
            <w:r>
              <w:rPr>
                <w:rFonts w:ascii="Arial" w:eastAsia="宋体" w:hAnsi="Arial" w:cs="Arial"/>
                <w:color w:val="000000"/>
                <w:sz w:val="17"/>
                <w:szCs w:val="17"/>
              </w:rPr>
              <w:t>302 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AE2" w14:textId="77777777" w:rsidR="00066C63" w:rsidRDefault="00066C63">
            <w:pPr>
              <w:jc w:val="right"/>
              <w:rPr>
                <w:rFonts w:ascii="宋体"/>
              </w:rPr>
            </w:pPr>
          </w:p>
        </w:tc>
      </w:tr>
      <w:tr w:rsidR="00066C63" w14:paraId="669C6AF7"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6AE4" w14:textId="77777777" w:rsidR="00066C63" w:rsidRDefault="009656F6">
            <w:pPr>
              <w:textAlignment w:val="bottom"/>
            </w:pPr>
            <w:r>
              <w:rPr>
                <w:rFonts w:ascii="Arial" w:eastAsia="宋体" w:hAnsi="Arial" w:cs="Arial"/>
                <w:color w:val="000000"/>
                <w:sz w:val="17"/>
                <w:szCs w:val="17"/>
              </w:rPr>
              <w:t>Other</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AE5" w14:textId="77777777" w:rsidR="00066C63" w:rsidRDefault="009656F6">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AE6" w14:textId="77777777" w:rsidR="00066C63" w:rsidRDefault="00066C63">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AE7" w14:textId="77777777" w:rsidR="00066C63" w:rsidRDefault="009656F6">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AE8" w14:textId="77777777" w:rsidR="00066C63" w:rsidRDefault="00066C63">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AE9" w14:textId="77777777" w:rsidR="00066C63" w:rsidRDefault="009656F6">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AEA" w14:textId="77777777" w:rsidR="00066C63" w:rsidRDefault="00066C63">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AEB" w14:textId="77777777" w:rsidR="00066C63" w:rsidRDefault="009656F6">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AEC" w14:textId="77777777" w:rsidR="00066C63" w:rsidRDefault="00066C63">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AED" w14:textId="77777777" w:rsidR="00066C63" w:rsidRDefault="009656F6">
            <w:pPr>
              <w:jc w:val="right"/>
              <w:textAlignment w:val="bottom"/>
            </w:pPr>
            <w:r>
              <w:rPr>
                <w:rFonts w:ascii="Arial" w:eastAsia="宋体" w:hAnsi="Arial" w:cs="Arial"/>
                <w:color w:val="000000"/>
                <w:sz w:val="17"/>
                <w:szCs w:val="17"/>
              </w:rPr>
              <w:t>6 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AEE" w14:textId="77777777" w:rsidR="00066C63" w:rsidRDefault="00066C63">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AEF" w14:textId="77777777" w:rsidR="00066C63" w:rsidRDefault="009656F6">
            <w:pPr>
              <w:jc w:val="right"/>
              <w:textAlignment w:val="bottom"/>
            </w:pPr>
            <w:r>
              <w:rPr>
                <w:rFonts w:ascii="Arial" w:eastAsia="宋体" w:hAnsi="Arial" w:cs="Arial"/>
                <w:color w:val="000000"/>
                <w:sz w:val="17"/>
                <w:szCs w:val="17"/>
              </w:rPr>
              <w:t>6 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AF0" w14:textId="77777777" w:rsidR="00066C63" w:rsidRDefault="00066C63">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AF1" w14:textId="77777777" w:rsidR="00066C63" w:rsidRDefault="009656F6">
            <w:pPr>
              <w:jc w:val="right"/>
              <w:textAlignment w:val="bottom"/>
            </w:pPr>
            <w:r>
              <w:rPr>
                <w:rFonts w:ascii="Arial" w:eastAsia="宋体" w:hAnsi="Arial" w:cs="Arial"/>
                <w:color w:val="000000"/>
                <w:sz w:val="17"/>
                <w:szCs w:val="17"/>
              </w:rPr>
              <w:t>23 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AF2" w14:textId="77777777" w:rsidR="00066C63" w:rsidRDefault="00066C63">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AF3" w14:textId="77777777" w:rsidR="00066C63" w:rsidRDefault="009656F6">
            <w:pPr>
              <w:jc w:val="right"/>
              <w:textAlignment w:val="bottom"/>
            </w:pPr>
            <w:r>
              <w:rPr>
                <w:rFonts w:ascii="Arial" w:eastAsia="宋体" w:hAnsi="Arial" w:cs="Arial"/>
                <w:color w:val="000000"/>
                <w:sz w:val="17"/>
                <w:szCs w:val="17"/>
              </w:rPr>
              <w:t>14 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AF4" w14:textId="77777777" w:rsidR="00066C63" w:rsidRDefault="00066C63">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AF5" w14:textId="77777777" w:rsidR="00066C63" w:rsidRDefault="009656F6">
            <w:pPr>
              <w:jc w:val="right"/>
              <w:textAlignment w:val="bottom"/>
            </w:pPr>
            <w:r>
              <w:rPr>
                <w:rFonts w:ascii="Arial" w:eastAsia="宋体" w:hAnsi="Arial" w:cs="Arial"/>
                <w:color w:val="000000"/>
                <w:sz w:val="17"/>
                <w:szCs w:val="17"/>
              </w:rPr>
              <w:t>43 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AF6" w14:textId="77777777" w:rsidR="00066C63" w:rsidRDefault="00066C63">
            <w:pPr>
              <w:jc w:val="right"/>
              <w:rPr>
                <w:rFonts w:ascii="宋体"/>
              </w:rPr>
            </w:pPr>
          </w:p>
        </w:tc>
      </w:tr>
      <w:tr w:rsidR="00066C63" w14:paraId="669C6B14"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AF8" w14:textId="77777777" w:rsidR="00066C63" w:rsidRDefault="009656F6">
            <w:pPr>
              <w:textAlignment w:val="bottom"/>
            </w:pPr>
            <w:r>
              <w:rPr>
                <w:rFonts w:ascii="Arial" w:eastAsia="宋体" w:hAnsi="Arial" w:cs="Arial"/>
                <w:b/>
                <w:bCs/>
                <w:color w:val="000000"/>
                <w:sz w:val="17"/>
                <w:szCs w:val="17"/>
              </w:rPr>
              <w:t>TOTAL 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669C6AF9"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669C6AFA" w14:textId="77777777" w:rsidR="00066C63" w:rsidRDefault="009656F6">
            <w:pPr>
              <w:jc w:val="right"/>
              <w:textAlignment w:val="bottom"/>
            </w:pPr>
            <w:r>
              <w:rPr>
                <w:rFonts w:ascii="Arial" w:eastAsia="宋体" w:hAnsi="Arial" w:cs="Arial"/>
                <w:b/>
                <w:bCs/>
                <w:color w:val="000000"/>
                <w:sz w:val="17"/>
                <w:szCs w:val="17"/>
              </w:rPr>
              <w:t>3,564</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6AFB" w14:textId="77777777" w:rsidR="00066C63" w:rsidRDefault="00066C63">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669C6AFC"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669C6AFD" w14:textId="77777777" w:rsidR="00066C63" w:rsidRDefault="009656F6">
            <w:pPr>
              <w:jc w:val="right"/>
              <w:textAlignment w:val="bottom"/>
            </w:pPr>
            <w:r>
              <w:rPr>
                <w:rFonts w:ascii="Arial" w:eastAsia="宋体" w:hAnsi="Arial" w:cs="Arial"/>
                <w:b/>
                <w:bCs/>
                <w:color w:val="000000"/>
                <w:sz w:val="17"/>
                <w:szCs w:val="17"/>
              </w:rPr>
              <w:t>2,609</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6AFE" w14:textId="77777777" w:rsidR="00066C63" w:rsidRDefault="00066C63">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669C6AFF"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669C6B00" w14:textId="77777777" w:rsidR="00066C63" w:rsidRDefault="009656F6">
            <w:pPr>
              <w:jc w:val="right"/>
              <w:textAlignment w:val="bottom"/>
            </w:pPr>
            <w:r>
              <w:rPr>
                <w:rFonts w:ascii="Arial" w:eastAsia="宋体" w:hAnsi="Arial" w:cs="Arial"/>
                <w:b/>
                <w:bCs/>
                <w:color w:val="000000"/>
                <w:sz w:val="17"/>
                <w:szCs w:val="17"/>
              </w:rPr>
              <w:t>2,279</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6B01" w14:textId="77777777" w:rsidR="00066C63" w:rsidRDefault="00066C63">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669C6B02"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669C6B03" w14:textId="77777777" w:rsidR="00066C63" w:rsidRDefault="009656F6">
            <w:pPr>
              <w:jc w:val="right"/>
              <w:textAlignment w:val="bottom"/>
            </w:pPr>
            <w:r>
              <w:rPr>
                <w:rFonts w:ascii="Arial" w:eastAsia="宋体" w:hAnsi="Arial" w:cs="Arial"/>
                <w:b/>
                <w:bCs/>
                <w:color w:val="000000"/>
                <w:sz w:val="17"/>
                <w:szCs w:val="17"/>
              </w:rPr>
              <w:t>1,315</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6B04" w14:textId="77777777" w:rsidR="00066C63" w:rsidRDefault="00066C63">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669C6B05"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669C6B06" w14:textId="77777777" w:rsidR="00066C63" w:rsidRDefault="009656F6">
            <w:pPr>
              <w:jc w:val="right"/>
              <w:textAlignment w:val="bottom"/>
            </w:pPr>
            <w:r>
              <w:rPr>
                <w:rFonts w:ascii="Arial" w:eastAsia="宋体" w:hAnsi="Arial" w:cs="Arial"/>
                <w:b/>
                <w:bCs/>
                <w:color w:val="000000"/>
                <w:sz w:val="17"/>
                <w:szCs w:val="17"/>
              </w:rPr>
              <w:t>6</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6B07" w14:textId="77777777" w:rsidR="00066C63" w:rsidRDefault="00066C63">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669C6B08"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669C6B09" w14:textId="77777777" w:rsidR="00066C63" w:rsidRDefault="009656F6">
            <w:pPr>
              <w:jc w:val="right"/>
              <w:textAlignment w:val="bottom"/>
            </w:pPr>
            <w:r>
              <w:rPr>
                <w:rFonts w:ascii="Arial" w:eastAsia="宋体" w:hAnsi="Arial" w:cs="Arial"/>
                <w:b/>
                <w:bCs/>
                <w:color w:val="000000"/>
                <w:sz w:val="17"/>
                <w:szCs w:val="17"/>
              </w:rPr>
              <w:t>9,773</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6B0A" w14:textId="77777777" w:rsidR="00066C63" w:rsidRDefault="00066C63">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669C6B0B"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669C6B0C" w14:textId="77777777" w:rsidR="00066C63" w:rsidRDefault="009656F6">
            <w:pPr>
              <w:jc w:val="right"/>
              <w:textAlignment w:val="bottom"/>
            </w:pPr>
            <w:r>
              <w:rPr>
                <w:rFonts w:ascii="Arial" w:eastAsia="宋体" w:hAnsi="Arial" w:cs="Arial"/>
                <w:b/>
                <w:bCs/>
                <w:color w:val="000000"/>
                <w:sz w:val="17"/>
                <w:szCs w:val="17"/>
              </w:rPr>
              <w:t>570</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6B0D" w14:textId="77777777" w:rsidR="00066C63" w:rsidRDefault="00066C63">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669C6B0E"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669C6B0F" w14:textId="77777777" w:rsidR="00066C63" w:rsidRDefault="009656F6">
            <w:pPr>
              <w:jc w:val="right"/>
              <w:textAlignment w:val="bottom"/>
            </w:pPr>
            <w:r>
              <w:rPr>
                <w:rFonts w:ascii="Arial" w:eastAsia="宋体" w:hAnsi="Arial" w:cs="Arial"/>
                <w:b/>
                <w:bCs/>
                <w:color w:val="000000"/>
                <w:sz w:val="17"/>
                <w:szCs w:val="17"/>
              </w:rPr>
              <w:t>14</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6B10" w14:textId="77777777" w:rsidR="00066C63" w:rsidRDefault="00066C63">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669C6B11"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669C6B12" w14:textId="77777777" w:rsidR="00066C63" w:rsidRDefault="009656F6">
            <w:pPr>
              <w:jc w:val="right"/>
              <w:textAlignment w:val="bottom"/>
            </w:pPr>
            <w:r>
              <w:rPr>
                <w:rFonts w:ascii="Arial" w:eastAsia="宋体" w:hAnsi="Arial" w:cs="Arial"/>
                <w:b/>
                <w:bCs/>
                <w:color w:val="000000"/>
                <w:sz w:val="17"/>
                <w:szCs w:val="17"/>
              </w:rPr>
              <w:t>10,357</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6B13" w14:textId="77777777" w:rsidR="00066C63" w:rsidRDefault="00066C63">
            <w:pPr>
              <w:jc w:val="right"/>
              <w:rPr>
                <w:rFonts w:ascii="宋体"/>
              </w:rPr>
            </w:pPr>
          </w:p>
        </w:tc>
      </w:tr>
      <w:tr w:rsidR="00066C63" w14:paraId="669C6B1F"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B15" w14:textId="77777777" w:rsidR="00066C63" w:rsidRDefault="009656F6">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FFF1E7"/>
            <w:tcMar>
              <w:top w:w="0" w:type="dxa"/>
              <w:left w:w="20" w:type="dxa"/>
              <w:bottom w:w="0" w:type="dxa"/>
              <w:right w:w="20" w:type="dxa"/>
            </w:tcMar>
          </w:tcPr>
          <w:p w14:paraId="669C6B16" w14:textId="77777777" w:rsidR="00066C63" w:rsidRDefault="00066C63">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669C6B17" w14:textId="77777777" w:rsidR="00066C63" w:rsidRDefault="00066C63">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669C6B18" w14:textId="77777777" w:rsidR="00066C63" w:rsidRDefault="00066C63">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669C6B19" w14:textId="77777777" w:rsidR="00066C63" w:rsidRDefault="00066C63">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669C6B1A" w14:textId="77777777" w:rsidR="00066C63" w:rsidRDefault="00066C63">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669C6B1B" w14:textId="77777777" w:rsidR="00066C63" w:rsidRDefault="00066C63">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669C6B1C" w14:textId="77777777" w:rsidR="00066C63" w:rsidRDefault="00066C63">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669C6B1D" w14:textId="77777777" w:rsidR="00066C63" w:rsidRDefault="00066C63">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669C6B1E" w14:textId="77777777" w:rsidR="00066C63" w:rsidRDefault="00066C63">
            <w:pPr>
              <w:rPr>
                <w:rFonts w:ascii="宋体"/>
              </w:rPr>
            </w:pPr>
          </w:p>
        </w:tc>
      </w:tr>
      <w:tr w:rsidR="00066C63" w14:paraId="669C6B3C"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6B20" w14:textId="77777777" w:rsidR="00066C63" w:rsidRDefault="009656F6">
            <w:pPr>
              <w:textAlignment w:val="bottom"/>
            </w:pPr>
            <w:r>
              <w:rPr>
                <w:rFonts w:ascii="Arial" w:eastAsia="宋体" w:hAnsi="Arial" w:cs="Arial"/>
                <w:color w:val="000000"/>
                <w:sz w:val="17"/>
                <w:szCs w:val="17"/>
              </w:rPr>
              <w:t>Sales to Wholesale Customers</w:t>
            </w:r>
          </w:p>
        </w:tc>
        <w:tc>
          <w:tcPr>
            <w:tcW w:w="0" w:type="auto"/>
            <w:tcBorders>
              <w:top w:val="single" w:sz="8" w:space="0" w:color="808080"/>
            </w:tcBorders>
            <w:shd w:val="clear" w:color="auto" w:fill="FFF1E7"/>
            <w:tcMar>
              <w:top w:w="40" w:type="dxa"/>
              <w:left w:w="20" w:type="dxa"/>
              <w:bottom w:w="40" w:type="dxa"/>
              <w:right w:w="0" w:type="dxa"/>
            </w:tcMar>
            <w:vAlign w:val="bottom"/>
          </w:tcPr>
          <w:p w14:paraId="669C6B21"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669C6B22" w14:textId="77777777" w:rsidR="00066C63" w:rsidRDefault="009656F6">
            <w:pPr>
              <w:jc w:val="right"/>
              <w:textAlignment w:val="bottom"/>
            </w:pPr>
            <w:r>
              <w:rPr>
                <w:rFonts w:ascii="Arial" w:eastAsia="宋体" w:hAnsi="Arial" w:cs="Arial"/>
                <w:color w:val="000000"/>
                <w:sz w:val="17"/>
                <w:szCs w:val="17"/>
              </w:rPr>
              <w:t>1,894 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B23" w14:textId="77777777" w:rsidR="00066C63" w:rsidRDefault="00066C63">
            <w:pPr>
              <w:jc w:val="right"/>
              <w:rPr>
                <w:rFonts w:ascii="宋体"/>
              </w:rPr>
            </w:pPr>
          </w:p>
        </w:tc>
        <w:tc>
          <w:tcPr>
            <w:tcW w:w="0" w:type="auto"/>
            <w:tcBorders>
              <w:top w:val="single" w:sz="8" w:space="0" w:color="808080"/>
            </w:tcBorders>
            <w:shd w:val="clear" w:color="auto" w:fill="FFF1E7"/>
            <w:tcMar>
              <w:top w:w="40" w:type="dxa"/>
              <w:left w:w="20" w:type="dxa"/>
              <w:bottom w:w="40" w:type="dxa"/>
              <w:right w:w="0" w:type="dxa"/>
            </w:tcMar>
            <w:vAlign w:val="bottom"/>
          </w:tcPr>
          <w:p w14:paraId="669C6B24"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669C6B25" w14:textId="77777777" w:rsidR="00066C63" w:rsidRDefault="009656F6">
            <w:pPr>
              <w:jc w:val="right"/>
              <w:textAlignment w:val="bottom"/>
            </w:pPr>
            <w:r>
              <w:rPr>
                <w:rFonts w:ascii="Arial" w:eastAsia="宋体" w:hAnsi="Arial" w:cs="Arial"/>
                <w:color w:val="000000"/>
                <w:sz w:val="17"/>
                <w:szCs w:val="17"/>
              </w:rPr>
              <w:t>1,805 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B26" w14:textId="77777777" w:rsidR="00066C63" w:rsidRDefault="00066C63">
            <w:pPr>
              <w:jc w:val="right"/>
              <w:rPr>
                <w:rFonts w:ascii="宋体"/>
              </w:rPr>
            </w:pPr>
          </w:p>
        </w:tc>
        <w:tc>
          <w:tcPr>
            <w:tcW w:w="0" w:type="auto"/>
            <w:tcBorders>
              <w:top w:val="single" w:sz="8" w:space="0" w:color="808080"/>
            </w:tcBorders>
            <w:shd w:val="clear" w:color="auto" w:fill="FFF1E7"/>
            <w:tcMar>
              <w:top w:w="40" w:type="dxa"/>
              <w:left w:w="20" w:type="dxa"/>
              <w:bottom w:w="40" w:type="dxa"/>
              <w:right w:w="0" w:type="dxa"/>
            </w:tcMar>
            <w:vAlign w:val="bottom"/>
          </w:tcPr>
          <w:p w14:paraId="669C6B27"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669C6B28" w14:textId="77777777" w:rsidR="00066C63" w:rsidRDefault="009656F6">
            <w:pPr>
              <w:jc w:val="right"/>
              <w:textAlignment w:val="bottom"/>
            </w:pPr>
            <w:r>
              <w:rPr>
                <w:rFonts w:ascii="Arial" w:eastAsia="宋体" w:hAnsi="Arial" w:cs="Arial"/>
                <w:color w:val="000000"/>
                <w:sz w:val="17"/>
                <w:szCs w:val="17"/>
              </w:rPr>
              <w:t>1,269 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B29" w14:textId="77777777" w:rsidR="00066C63" w:rsidRDefault="00066C63">
            <w:pPr>
              <w:jc w:val="right"/>
              <w:rPr>
                <w:rFonts w:ascii="宋体"/>
              </w:rPr>
            </w:pPr>
          </w:p>
        </w:tc>
        <w:tc>
          <w:tcPr>
            <w:tcW w:w="0" w:type="auto"/>
            <w:tcBorders>
              <w:top w:val="single" w:sz="8" w:space="0" w:color="808080"/>
            </w:tcBorders>
            <w:shd w:val="clear" w:color="auto" w:fill="FFF1E7"/>
            <w:tcMar>
              <w:top w:w="40" w:type="dxa"/>
              <w:left w:w="20" w:type="dxa"/>
              <w:bottom w:w="40" w:type="dxa"/>
              <w:right w:w="0" w:type="dxa"/>
            </w:tcMar>
            <w:vAlign w:val="bottom"/>
          </w:tcPr>
          <w:p w14:paraId="669C6B2A"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669C6B2B" w14:textId="77777777" w:rsidR="00066C63" w:rsidRDefault="009656F6">
            <w:pPr>
              <w:jc w:val="right"/>
              <w:textAlignment w:val="bottom"/>
            </w:pPr>
            <w:r>
              <w:rPr>
                <w:rFonts w:ascii="Arial" w:eastAsia="宋体" w:hAnsi="Arial" w:cs="Arial"/>
                <w:color w:val="000000"/>
                <w:sz w:val="17"/>
                <w:szCs w:val="17"/>
              </w:rPr>
              <w:t>846 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B2C" w14:textId="77777777" w:rsidR="00066C63" w:rsidRDefault="00066C63">
            <w:pPr>
              <w:jc w:val="right"/>
              <w:rPr>
                <w:rFonts w:ascii="宋体"/>
              </w:rPr>
            </w:pPr>
          </w:p>
        </w:tc>
        <w:tc>
          <w:tcPr>
            <w:tcW w:w="0" w:type="auto"/>
            <w:tcBorders>
              <w:top w:val="single" w:sz="8" w:space="0" w:color="808080"/>
            </w:tcBorders>
            <w:shd w:val="clear" w:color="auto" w:fill="FFF1E7"/>
            <w:tcMar>
              <w:top w:w="40" w:type="dxa"/>
              <w:left w:w="20" w:type="dxa"/>
              <w:bottom w:w="40" w:type="dxa"/>
              <w:right w:w="0" w:type="dxa"/>
            </w:tcMar>
            <w:vAlign w:val="bottom"/>
          </w:tcPr>
          <w:p w14:paraId="669C6B2D"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669C6B2E" w14:textId="77777777" w:rsidR="00066C63" w:rsidRDefault="009656F6">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B2F" w14:textId="77777777" w:rsidR="00066C63" w:rsidRDefault="00066C63">
            <w:pPr>
              <w:jc w:val="right"/>
              <w:rPr>
                <w:rFonts w:ascii="宋体"/>
              </w:rPr>
            </w:pPr>
          </w:p>
        </w:tc>
        <w:tc>
          <w:tcPr>
            <w:tcW w:w="0" w:type="auto"/>
            <w:tcBorders>
              <w:top w:val="single" w:sz="8" w:space="0" w:color="808080"/>
            </w:tcBorders>
            <w:shd w:val="clear" w:color="auto" w:fill="FFF1E7"/>
            <w:tcMar>
              <w:top w:w="40" w:type="dxa"/>
              <w:left w:w="20" w:type="dxa"/>
              <w:bottom w:w="40" w:type="dxa"/>
              <w:right w:w="0" w:type="dxa"/>
            </w:tcMar>
            <w:vAlign w:val="bottom"/>
          </w:tcPr>
          <w:p w14:paraId="669C6B30"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669C6B31" w14:textId="77777777" w:rsidR="00066C63" w:rsidRDefault="009656F6">
            <w:pPr>
              <w:jc w:val="right"/>
              <w:textAlignment w:val="bottom"/>
            </w:pPr>
            <w:r>
              <w:rPr>
                <w:rFonts w:ascii="Arial" w:eastAsia="宋体" w:hAnsi="Arial" w:cs="Arial"/>
                <w:color w:val="000000"/>
                <w:sz w:val="17"/>
                <w:szCs w:val="17"/>
              </w:rPr>
              <w:t>5,814 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B32" w14:textId="77777777" w:rsidR="00066C63" w:rsidRDefault="00066C63">
            <w:pPr>
              <w:jc w:val="right"/>
              <w:rPr>
                <w:rFonts w:ascii="宋体"/>
              </w:rPr>
            </w:pPr>
          </w:p>
        </w:tc>
        <w:tc>
          <w:tcPr>
            <w:tcW w:w="0" w:type="auto"/>
            <w:tcBorders>
              <w:top w:val="single" w:sz="8" w:space="0" w:color="808080"/>
            </w:tcBorders>
            <w:shd w:val="clear" w:color="auto" w:fill="FFF1E7"/>
            <w:tcMar>
              <w:top w:w="40" w:type="dxa"/>
              <w:left w:w="20" w:type="dxa"/>
              <w:bottom w:w="40" w:type="dxa"/>
              <w:right w:w="0" w:type="dxa"/>
            </w:tcMar>
            <w:vAlign w:val="bottom"/>
          </w:tcPr>
          <w:p w14:paraId="669C6B33"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669C6B34" w14:textId="77777777" w:rsidR="00066C63" w:rsidRDefault="009656F6">
            <w:pPr>
              <w:jc w:val="right"/>
              <w:textAlignment w:val="bottom"/>
            </w:pPr>
            <w:r>
              <w:rPr>
                <w:rFonts w:ascii="Arial" w:eastAsia="宋体" w:hAnsi="Arial" w:cs="Arial"/>
                <w:color w:val="000000"/>
                <w:sz w:val="17"/>
                <w:szCs w:val="17"/>
              </w:rPr>
              <w:t>366 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B35" w14:textId="77777777" w:rsidR="00066C63" w:rsidRDefault="00066C63">
            <w:pPr>
              <w:jc w:val="right"/>
              <w:rPr>
                <w:rFonts w:ascii="宋体"/>
              </w:rPr>
            </w:pPr>
          </w:p>
        </w:tc>
        <w:tc>
          <w:tcPr>
            <w:tcW w:w="0" w:type="auto"/>
            <w:tcBorders>
              <w:top w:val="single" w:sz="8" w:space="0" w:color="808080"/>
            </w:tcBorders>
            <w:shd w:val="clear" w:color="auto" w:fill="FFF1E7"/>
            <w:tcMar>
              <w:top w:w="40" w:type="dxa"/>
              <w:left w:w="20" w:type="dxa"/>
              <w:bottom w:w="40" w:type="dxa"/>
              <w:right w:w="0" w:type="dxa"/>
            </w:tcMar>
            <w:vAlign w:val="bottom"/>
          </w:tcPr>
          <w:p w14:paraId="669C6B36"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669C6B37" w14:textId="77777777" w:rsidR="00066C63" w:rsidRDefault="009656F6">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B38" w14:textId="77777777" w:rsidR="00066C63" w:rsidRDefault="00066C63">
            <w:pPr>
              <w:jc w:val="right"/>
              <w:rPr>
                <w:rFonts w:ascii="宋体"/>
              </w:rPr>
            </w:pPr>
          </w:p>
        </w:tc>
        <w:tc>
          <w:tcPr>
            <w:tcW w:w="0" w:type="auto"/>
            <w:tcBorders>
              <w:top w:val="single" w:sz="8" w:space="0" w:color="808080"/>
            </w:tcBorders>
            <w:shd w:val="clear" w:color="auto" w:fill="FFF1E7"/>
            <w:tcMar>
              <w:top w:w="40" w:type="dxa"/>
              <w:left w:w="20" w:type="dxa"/>
              <w:bottom w:w="40" w:type="dxa"/>
              <w:right w:w="0" w:type="dxa"/>
            </w:tcMar>
            <w:vAlign w:val="bottom"/>
          </w:tcPr>
          <w:p w14:paraId="669C6B39"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669C6B3A" w14:textId="77777777" w:rsidR="00066C63" w:rsidRDefault="009656F6">
            <w:pPr>
              <w:jc w:val="right"/>
              <w:textAlignment w:val="bottom"/>
            </w:pPr>
            <w:r>
              <w:rPr>
                <w:rFonts w:ascii="Arial" w:eastAsia="宋体" w:hAnsi="Arial" w:cs="Arial"/>
                <w:color w:val="000000"/>
                <w:sz w:val="17"/>
                <w:szCs w:val="17"/>
              </w:rPr>
              <w:t>6,180 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B3B" w14:textId="77777777" w:rsidR="00066C63" w:rsidRDefault="00066C63">
            <w:pPr>
              <w:jc w:val="right"/>
              <w:rPr>
                <w:rFonts w:ascii="宋体"/>
              </w:rPr>
            </w:pPr>
          </w:p>
        </w:tc>
      </w:tr>
      <w:tr w:rsidR="00066C63" w14:paraId="669C6B50"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6B3D" w14:textId="77777777" w:rsidR="00066C63" w:rsidRDefault="009656F6">
            <w:pPr>
              <w:textAlignment w:val="bottom"/>
            </w:pPr>
            <w:r>
              <w:rPr>
                <w:rFonts w:ascii="Arial" w:eastAsia="宋体" w:hAnsi="Arial" w:cs="Arial"/>
                <w:color w:val="000000"/>
                <w:sz w:val="17"/>
                <w:szCs w:val="17"/>
              </w:rPr>
              <w:t>Sales through Direct to Consumer</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B3E" w14:textId="77777777" w:rsidR="00066C63" w:rsidRDefault="009656F6">
            <w:pPr>
              <w:jc w:val="right"/>
              <w:textAlignment w:val="bottom"/>
            </w:pPr>
            <w:r>
              <w:rPr>
                <w:rFonts w:ascii="Arial" w:eastAsia="宋体" w:hAnsi="Arial" w:cs="Arial"/>
                <w:color w:val="000000"/>
                <w:sz w:val="17"/>
                <w:szCs w:val="17"/>
              </w:rPr>
              <w:t>1,670 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B3F" w14:textId="77777777" w:rsidR="00066C63" w:rsidRDefault="00066C63">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B40" w14:textId="77777777" w:rsidR="00066C63" w:rsidRDefault="009656F6">
            <w:pPr>
              <w:jc w:val="right"/>
              <w:textAlignment w:val="bottom"/>
            </w:pPr>
            <w:r>
              <w:rPr>
                <w:rFonts w:ascii="Arial" w:eastAsia="宋体" w:hAnsi="Arial" w:cs="Arial"/>
                <w:color w:val="000000"/>
                <w:sz w:val="17"/>
                <w:szCs w:val="17"/>
              </w:rPr>
              <w:t>804 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B41" w14:textId="77777777" w:rsidR="00066C63" w:rsidRDefault="00066C63">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B42" w14:textId="77777777" w:rsidR="00066C63" w:rsidRDefault="009656F6">
            <w:pPr>
              <w:jc w:val="right"/>
              <w:textAlignment w:val="bottom"/>
            </w:pPr>
            <w:r>
              <w:rPr>
                <w:rFonts w:ascii="Arial" w:eastAsia="宋体" w:hAnsi="Arial" w:cs="Arial"/>
                <w:color w:val="000000"/>
                <w:sz w:val="17"/>
                <w:szCs w:val="17"/>
              </w:rPr>
              <w:t>1,010 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B43" w14:textId="77777777" w:rsidR="00066C63" w:rsidRDefault="00066C63">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B44" w14:textId="77777777" w:rsidR="00066C63" w:rsidRDefault="009656F6">
            <w:pPr>
              <w:jc w:val="right"/>
              <w:textAlignment w:val="bottom"/>
            </w:pPr>
            <w:r>
              <w:rPr>
                <w:rFonts w:ascii="Arial" w:eastAsia="宋体" w:hAnsi="Arial" w:cs="Arial"/>
                <w:color w:val="000000"/>
                <w:sz w:val="17"/>
                <w:szCs w:val="17"/>
              </w:rPr>
              <w:t>469 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B45" w14:textId="77777777" w:rsidR="00066C63" w:rsidRDefault="00066C63">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B46" w14:textId="77777777" w:rsidR="00066C63" w:rsidRDefault="009656F6">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B47" w14:textId="77777777" w:rsidR="00066C63" w:rsidRDefault="00066C63">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B48" w14:textId="77777777" w:rsidR="00066C63" w:rsidRDefault="009656F6">
            <w:pPr>
              <w:jc w:val="right"/>
              <w:textAlignment w:val="bottom"/>
            </w:pPr>
            <w:r>
              <w:rPr>
                <w:rFonts w:ascii="Arial" w:eastAsia="宋体" w:hAnsi="Arial" w:cs="Arial"/>
                <w:color w:val="000000"/>
                <w:sz w:val="17"/>
                <w:szCs w:val="17"/>
              </w:rPr>
              <w:t>3,953 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B49" w14:textId="77777777" w:rsidR="00066C63" w:rsidRDefault="00066C63">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B4A" w14:textId="77777777" w:rsidR="00066C63" w:rsidRDefault="009656F6">
            <w:pPr>
              <w:jc w:val="right"/>
              <w:textAlignment w:val="bottom"/>
            </w:pPr>
            <w:r>
              <w:rPr>
                <w:rFonts w:ascii="Arial" w:eastAsia="宋体" w:hAnsi="Arial" w:cs="Arial"/>
                <w:color w:val="000000"/>
                <w:sz w:val="17"/>
                <w:szCs w:val="17"/>
              </w:rPr>
              <w:t>181 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B4B" w14:textId="77777777" w:rsidR="00066C63" w:rsidRDefault="00066C63">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B4C" w14:textId="77777777" w:rsidR="00066C63" w:rsidRDefault="009656F6">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B4D" w14:textId="77777777" w:rsidR="00066C63" w:rsidRDefault="00066C63">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B4E" w14:textId="77777777" w:rsidR="00066C63" w:rsidRDefault="009656F6">
            <w:pPr>
              <w:jc w:val="right"/>
              <w:textAlignment w:val="bottom"/>
            </w:pPr>
            <w:r>
              <w:rPr>
                <w:rFonts w:ascii="Arial" w:eastAsia="宋体" w:hAnsi="Arial" w:cs="Arial"/>
                <w:color w:val="000000"/>
                <w:sz w:val="17"/>
                <w:szCs w:val="17"/>
              </w:rPr>
              <w:t>4,134 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B4F" w14:textId="77777777" w:rsidR="00066C63" w:rsidRDefault="00066C63">
            <w:pPr>
              <w:jc w:val="right"/>
              <w:rPr>
                <w:rFonts w:ascii="宋体"/>
              </w:rPr>
            </w:pPr>
          </w:p>
        </w:tc>
      </w:tr>
      <w:tr w:rsidR="00066C63" w14:paraId="669C6B64"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6B51" w14:textId="77777777" w:rsidR="00066C63" w:rsidRDefault="009656F6">
            <w:pPr>
              <w:textAlignment w:val="bottom"/>
            </w:pPr>
            <w:r>
              <w:rPr>
                <w:rFonts w:ascii="Arial" w:eastAsia="宋体" w:hAnsi="Arial" w:cs="Arial"/>
                <w:color w:val="000000"/>
                <w:sz w:val="17"/>
                <w:szCs w:val="17"/>
              </w:rPr>
              <w:t>Other</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B52" w14:textId="77777777" w:rsidR="00066C63" w:rsidRDefault="009656F6">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B53" w14:textId="77777777" w:rsidR="00066C63" w:rsidRDefault="00066C63">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B54" w14:textId="77777777" w:rsidR="00066C63" w:rsidRDefault="009656F6">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B55" w14:textId="77777777" w:rsidR="00066C63" w:rsidRDefault="00066C63">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B56" w14:textId="77777777" w:rsidR="00066C63" w:rsidRDefault="009656F6">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B57" w14:textId="77777777" w:rsidR="00066C63" w:rsidRDefault="00066C63">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B58" w14:textId="77777777" w:rsidR="00066C63" w:rsidRDefault="009656F6">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B59" w14:textId="77777777" w:rsidR="00066C63" w:rsidRDefault="00066C63">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B5A" w14:textId="77777777" w:rsidR="00066C63" w:rsidRDefault="009656F6">
            <w:pPr>
              <w:jc w:val="right"/>
              <w:textAlignment w:val="bottom"/>
            </w:pPr>
            <w:r>
              <w:rPr>
                <w:rFonts w:ascii="Arial" w:eastAsia="宋体" w:hAnsi="Arial" w:cs="Arial"/>
                <w:color w:val="000000"/>
                <w:sz w:val="17"/>
                <w:szCs w:val="17"/>
              </w:rPr>
              <w:t>6 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B5B" w14:textId="77777777" w:rsidR="00066C63" w:rsidRDefault="00066C63">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B5C" w14:textId="77777777" w:rsidR="00066C63" w:rsidRDefault="009656F6">
            <w:pPr>
              <w:jc w:val="right"/>
              <w:textAlignment w:val="bottom"/>
            </w:pPr>
            <w:r>
              <w:rPr>
                <w:rFonts w:ascii="Arial" w:eastAsia="宋体" w:hAnsi="Arial" w:cs="Arial"/>
                <w:color w:val="000000"/>
                <w:sz w:val="17"/>
                <w:szCs w:val="17"/>
              </w:rPr>
              <w:t>6 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B5D" w14:textId="77777777" w:rsidR="00066C63" w:rsidRDefault="00066C63">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B5E" w14:textId="77777777" w:rsidR="00066C63" w:rsidRDefault="009656F6">
            <w:pPr>
              <w:jc w:val="right"/>
              <w:textAlignment w:val="bottom"/>
            </w:pPr>
            <w:r>
              <w:rPr>
                <w:rFonts w:ascii="Arial" w:eastAsia="宋体" w:hAnsi="Arial" w:cs="Arial"/>
                <w:color w:val="000000"/>
                <w:sz w:val="17"/>
                <w:szCs w:val="17"/>
              </w:rPr>
              <w:t>23 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B5F" w14:textId="77777777" w:rsidR="00066C63" w:rsidRDefault="00066C63">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B60" w14:textId="77777777" w:rsidR="00066C63" w:rsidRDefault="009656F6">
            <w:pPr>
              <w:jc w:val="right"/>
              <w:textAlignment w:val="bottom"/>
            </w:pPr>
            <w:r>
              <w:rPr>
                <w:rFonts w:ascii="Arial" w:eastAsia="宋体" w:hAnsi="Arial" w:cs="Arial"/>
                <w:color w:val="000000"/>
                <w:sz w:val="17"/>
                <w:szCs w:val="17"/>
              </w:rPr>
              <w:t>14 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B61" w14:textId="77777777" w:rsidR="00066C63" w:rsidRDefault="00066C63">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B62" w14:textId="77777777" w:rsidR="00066C63" w:rsidRDefault="009656F6">
            <w:pPr>
              <w:jc w:val="right"/>
              <w:textAlignment w:val="bottom"/>
            </w:pPr>
            <w:r>
              <w:rPr>
                <w:rFonts w:ascii="Arial" w:eastAsia="宋体" w:hAnsi="Arial" w:cs="Arial"/>
                <w:color w:val="000000"/>
                <w:sz w:val="17"/>
                <w:szCs w:val="17"/>
              </w:rPr>
              <w:t>43 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B63" w14:textId="77777777" w:rsidR="00066C63" w:rsidRDefault="00066C63">
            <w:pPr>
              <w:jc w:val="right"/>
              <w:rPr>
                <w:rFonts w:ascii="宋体"/>
              </w:rPr>
            </w:pPr>
          </w:p>
        </w:tc>
      </w:tr>
      <w:tr w:rsidR="00066C63" w14:paraId="669C6B81"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669C6B65" w14:textId="77777777" w:rsidR="00066C63" w:rsidRDefault="009656F6">
            <w:pPr>
              <w:textAlignment w:val="bottom"/>
            </w:pPr>
            <w:r>
              <w:rPr>
                <w:rFonts w:ascii="Arial" w:eastAsia="宋体" w:hAnsi="Arial" w:cs="Arial"/>
                <w:b/>
                <w:bCs/>
                <w:color w:val="000000"/>
                <w:sz w:val="17"/>
                <w:szCs w:val="17"/>
              </w:rPr>
              <w:t>TOTAL REVENUES</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69C6B66"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669C6B67" w14:textId="77777777" w:rsidR="00066C63" w:rsidRDefault="009656F6">
            <w:pPr>
              <w:jc w:val="right"/>
              <w:textAlignment w:val="bottom"/>
            </w:pPr>
            <w:r>
              <w:rPr>
                <w:rFonts w:ascii="Arial" w:eastAsia="宋体" w:hAnsi="Arial" w:cs="Arial"/>
                <w:b/>
                <w:bCs/>
                <w:color w:val="000000"/>
                <w:sz w:val="17"/>
                <w:szCs w:val="17"/>
              </w:rPr>
              <w:t>3,564</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69C6B68" w14:textId="77777777" w:rsidR="00066C63" w:rsidRDefault="00066C63">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69C6B69"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669C6B6A" w14:textId="77777777" w:rsidR="00066C63" w:rsidRDefault="009656F6">
            <w:pPr>
              <w:jc w:val="right"/>
              <w:textAlignment w:val="bottom"/>
            </w:pPr>
            <w:r>
              <w:rPr>
                <w:rFonts w:ascii="Arial" w:eastAsia="宋体" w:hAnsi="Arial" w:cs="Arial"/>
                <w:b/>
                <w:bCs/>
                <w:color w:val="000000"/>
                <w:sz w:val="17"/>
                <w:szCs w:val="17"/>
              </w:rPr>
              <w:t>2,609</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69C6B6B" w14:textId="77777777" w:rsidR="00066C63" w:rsidRDefault="00066C63">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69C6B6C"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669C6B6D" w14:textId="77777777" w:rsidR="00066C63" w:rsidRDefault="009656F6">
            <w:pPr>
              <w:jc w:val="right"/>
              <w:textAlignment w:val="bottom"/>
            </w:pPr>
            <w:r>
              <w:rPr>
                <w:rFonts w:ascii="Arial" w:eastAsia="宋体" w:hAnsi="Arial" w:cs="Arial"/>
                <w:b/>
                <w:bCs/>
                <w:color w:val="000000"/>
                <w:sz w:val="17"/>
                <w:szCs w:val="17"/>
              </w:rPr>
              <w:t>2,279</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69C6B6E" w14:textId="77777777" w:rsidR="00066C63" w:rsidRDefault="00066C63">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69C6B6F"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669C6B70" w14:textId="77777777" w:rsidR="00066C63" w:rsidRDefault="009656F6">
            <w:pPr>
              <w:jc w:val="right"/>
              <w:textAlignment w:val="bottom"/>
            </w:pPr>
            <w:r>
              <w:rPr>
                <w:rFonts w:ascii="Arial" w:eastAsia="宋体" w:hAnsi="Arial" w:cs="Arial"/>
                <w:b/>
                <w:bCs/>
                <w:color w:val="000000"/>
                <w:sz w:val="17"/>
                <w:szCs w:val="17"/>
              </w:rPr>
              <w:t>1,315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69C6B71" w14:textId="77777777" w:rsidR="00066C63" w:rsidRDefault="00066C63">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69C6B72"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669C6B73" w14:textId="77777777" w:rsidR="00066C63" w:rsidRDefault="009656F6">
            <w:pPr>
              <w:jc w:val="right"/>
              <w:textAlignment w:val="bottom"/>
            </w:pPr>
            <w:r>
              <w:rPr>
                <w:rFonts w:ascii="Arial" w:eastAsia="宋体" w:hAnsi="Arial" w:cs="Arial"/>
                <w:b/>
                <w:bCs/>
                <w:color w:val="000000"/>
                <w:sz w:val="17"/>
                <w:szCs w:val="17"/>
              </w:rPr>
              <w:t>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69C6B74" w14:textId="77777777" w:rsidR="00066C63" w:rsidRDefault="00066C63">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69C6B75"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669C6B76" w14:textId="77777777" w:rsidR="00066C63" w:rsidRDefault="009656F6">
            <w:pPr>
              <w:jc w:val="right"/>
              <w:textAlignment w:val="bottom"/>
            </w:pPr>
            <w:r>
              <w:rPr>
                <w:rFonts w:ascii="Arial" w:eastAsia="宋体" w:hAnsi="Arial" w:cs="Arial"/>
                <w:b/>
                <w:bCs/>
                <w:color w:val="000000"/>
                <w:sz w:val="17"/>
                <w:szCs w:val="17"/>
              </w:rPr>
              <w:t>9,773</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69C6B77" w14:textId="77777777" w:rsidR="00066C63" w:rsidRDefault="00066C63">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69C6B78"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669C6B79" w14:textId="77777777" w:rsidR="00066C63" w:rsidRDefault="009656F6">
            <w:pPr>
              <w:jc w:val="right"/>
              <w:textAlignment w:val="bottom"/>
            </w:pPr>
            <w:r>
              <w:rPr>
                <w:rFonts w:ascii="Arial" w:eastAsia="宋体" w:hAnsi="Arial" w:cs="Arial"/>
                <w:b/>
                <w:bCs/>
                <w:color w:val="000000"/>
                <w:sz w:val="17"/>
                <w:szCs w:val="17"/>
              </w:rPr>
              <w:t>570</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69C6B7A" w14:textId="77777777" w:rsidR="00066C63" w:rsidRDefault="00066C63">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69C6B7B"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669C6B7C" w14:textId="77777777" w:rsidR="00066C63" w:rsidRDefault="009656F6">
            <w:pPr>
              <w:jc w:val="right"/>
              <w:textAlignment w:val="bottom"/>
            </w:pPr>
            <w:r>
              <w:rPr>
                <w:rFonts w:ascii="Arial" w:eastAsia="宋体" w:hAnsi="Arial" w:cs="Arial"/>
                <w:b/>
                <w:bCs/>
                <w:color w:val="000000"/>
                <w:sz w:val="17"/>
                <w:szCs w:val="17"/>
              </w:rPr>
              <w:t>14</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69C6B7D" w14:textId="77777777" w:rsidR="00066C63" w:rsidRDefault="00066C63">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69C6B7E"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669C6B7F" w14:textId="77777777" w:rsidR="00066C63" w:rsidRDefault="009656F6">
            <w:pPr>
              <w:jc w:val="right"/>
              <w:textAlignment w:val="bottom"/>
            </w:pPr>
            <w:r>
              <w:rPr>
                <w:rFonts w:ascii="Arial" w:eastAsia="宋体" w:hAnsi="Arial" w:cs="Arial"/>
                <w:b/>
                <w:bCs/>
                <w:color w:val="000000"/>
                <w:sz w:val="17"/>
                <w:szCs w:val="17"/>
              </w:rPr>
              <w:t>10,357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69C6B80" w14:textId="77777777" w:rsidR="00066C63" w:rsidRDefault="00066C63">
            <w:pPr>
              <w:jc w:val="right"/>
              <w:rPr>
                <w:rFonts w:ascii="宋体"/>
              </w:rPr>
            </w:pPr>
          </w:p>
        </w:tc>
      </w:tr>
    </w:tbl>
    <w:p w14:paraId="669C6B82" w14:textId="77777777" w:rsidR="00066C63" w:rsidRDefault="009656F6">
      <w:pPr>
        <w:spacing w:before="60" w:after="60"/>
        <w:ind w:hanging="360"/>
      </w:pPr>
      <w:r>
        <w:rPr>
          <w:rFonts w:ascii="Arial" w:eastAsia="宋体" w:hAnsi="Arial" w:cs="Arial"/>
          <w:i/>
          <w:iCs/>
          <w:color w:val="000000"/>
          <w:sz w:val="14"/>
          <w:szCs w:val="14"/>
        </w:rPr>
        <w:t xml:space="preserve">(1)    Refer to Note 13 — Acquisitions and Divestitures for additional information on the transition of the Company's NIKE </w:t>
      </w:r>
      <w:r>
        <w:rPr>
          <w:rFonts w:ascii="Arial" w:eastAsia="宋体" w:hAnsi="Arial" w:cs="Arial"/>
          <w:i/>
          <w:iCs/>
          <w:color w:val="000000"/>
          <w:sz w:val="14"/>
          <w:szCs w:val="14"/>
        </w:rPr>
        <w:t>Brand business in Brazil to a third-party distributor.</w:t>
      </w:r>
    </w:p>
    <w:tbl>
      <w:tblPr>
        <w:tblW w:w="5000" w:type="pct"/>
        <w:tblCellMar>
          <w:top w:w="15" w:type="dxa"/>
          <w:left w:w="15" w:type="dxa"/>
          <w:bottom w:w="15" w:type="dxa"/>
          <w:right w:w="15" w:type="dxa"/>
        </w:tblCellMar>
        <w:tblLook w:val="04A0" w:firstRow="1" w:lastRow="0" w:firstColumn="1" w:lastColumn="0" w:noHBand="0" w:noVBand="1"/>
      </w:tblPr>
      <w:tblGrid>
        <w:gridCol w:w="43"/>
        <w:gridCol w:w="1262"/>
        <w:gridCol w:w="39"/>
        <w:gridCol w:w="116"/>
        <w:gridCol w:w="614"/>
        <w:gridCol w:w="36"/>
        <w:gridCol w:w="116"/>
        <w:gridCol w:w="572"/>
        <w:gridCol w:w="36"/>
        <w:gridCol w:w="116"/>
        <w:gridCol w:w="600"/>
        <w:gridCol w:w="36"/>
        <w:gridCol w:w="116"/>
        <w:gridCol w:w="620"/>
        <w:gridCol w:w="36"/>
        <w:gridCol w:w="116"/>
        <w:gridCol w:w="671"/>
        <w:gridCol w:w="36"/>
        <w:gridCol w:w="115"/>
        <w:gridCol w:w="473"/>
        <w:gridCol w:w="36"/>
        <w:gridCol w:w="116"/>
        <w:gridCol w:w="699"/>
        <w:gridCol w:w="36"/>
        <w:gridCol w:w="116"/>
        <w:gridCol w:w="809"/>
        <w:gridCol w:w="36"/>
        <w:gridCol w:w="115"/>
        <w:gridCol w:w="568"/>
        <w:gridCol w:w="36"/>
      </w:tblGrid>
      <w:tr w:rsidR="00066C63" w14:paraId="669C6BA1" w14:textId="77777777">
        <w:tc>
          <w:tcPr>
            <w:tcW w:w="50" w:type="pct"/>
            <w:shd w:val="clear" w:color="auto" w:fill="auto"/>
          </w:tcPr>
          <w:p w14:paraId="669C6B83" w14:textId="77777777" w:rsidR="00066C63" w:rsidRDefault="00066C63">
            <w:pPr>
              <w:rPr>
                <w:rFonts w:ascii="宋体"/>
              </w:rPr>
            </w:pPr>
          </w:p>
        </w:tc>
        <w:tc>
          <w:tcPr>
            <w:tcW w:w="1110" w:type="pct"/>
            <w:shd w:val="clear" w:color="auto" w:fill="auto"/>
          </w:tcPr>
          <w:p w14:paraId="669C6B84" w14:textId="77777777" w:rsidR="00066C63" w:rsidRDefault="00066C63">
            <w:pPr>
              <w:rPr>
                <w:rFonts w:ascii="宋体"/>
              </w:rPr>
            </w:pPr>
          </w:p>
        </w:tc>
        <w:tc>
          <w:tcPr>
            <w:tcW w:w="5" w:type="pct"/>
            <w:shd w:val="clear" w:color="auto" w:fill="auto"/>
          </w:tcPr>
          <w:p w14:paraId="669C6B85" w14:textId="77777777" w:rsidR="00066C63" w:rsidRDefault="00066C63">
            <w:pPr>
              <w:rPr>
                <w:rFonts w:ascii="宋体"/>
              </w:rPr>
            </w:pPr>
          </w:p>
        </w:tc>
        <w:tc>
          <w:tcPr>
            <w:tcW w:w="50" w:type="pct"/>
            <w:shd w:val="clear" w:color="auto" w:fill="auto"/>
          </w:tcPr>
          <w:p w14:paraId="669C6B86" w14:textId="77777777" w:rsidR="00066C63" w:rsidRDefault="00066C63">
            <w:pPr>
              <w:rPr>
                <w:rFonts w:ascii="宋体"/>
              </w:rPr>
            </w:pPr>
          </w:p>
        </w:tc>
        <w:tc>
          <w:tcPr>
            <w:tcW w:w="353" w:type="pct"/>
            <w:shd w:val="clear" w:color="auto" w:fill="auto"/>
          </w:tcPr>
          <w:p w14:paraId="669C6B87" w14:textId="77777777" w:rsidR="00066C63" w:rsidRDefault="00066C63">
            <w:pPr>
              <w:rPr>
                <w:rFonts w:ascii="宋体"/>
              </w:rPr>
            </w:pPr>
          </w:p>
        </w:tc>
        <w:tc>
          <w:tcPr>
            <w:tcW w:w="5" w:type="pct"/>
            <w:shd w:val="clear" w:color="auto" w:fill="auto"/>
          </w:tcPr>
          <w:p w14:paraId="669C6B88" w14:textId="77777777" w:rsidR="00066C63" w:rsidRDefault="00066C63">
            <w:pPr>
              <w:rPr>
                <w:rFonts w:ascii="宋体"/>
              </w:rPr>
            </w:pPr>
          </w:p>
        </w:tc>
        <w:tc>
          <w:tcPr>
            <w:tcW w:w="50" w:type="pct"/>
            <w:shd w:val="clear" w:color="auto" w:fill="auto"/>
          </w:tcPr>
          <w:p w14:paraId="669C6B89" w14:textId="77777777" w:rsidR="00066C63" w:rsidRDefault="00066C63">
            <w:pPr>
              <w:rPr>
                <w:rFonts w:ascii="宋体"/>
              </w:rPr>
            </w:pPr>
          </w:p>
        </w:tc>
        <w:tc>
          <w:tcPr>
            <w:tcW w:w="353" w:type="pct"/>
            <w:shd w:val="clear" w:color="auto" w:fill="auto"/>
          </w:tcPr>
          <w:p w14:paraId="669C6B8A" w14:textId="77777777" w:rsidR="00066C63" w:rsidRDefault="00066C63">
            <w:pPr>
              <w:rPr>
                <w:rFonts w:ascii="宋体"/>
              </w:rPr>
            </w:pPr>
          </w:p>
        </w:tc>
        <w:tc>
          <w:tcPr>
            <w:tcW w:w="5" w:type="pct"/>
            <w:shd w:val="clear" w:color="auto" w:fill="auto"/>
          </w:tcPr>
          <w:p w14:paraId="669C6B8B" w14:textId="77777777" w:rsidR="00066C63" w:rsidRDefault="00066C63">
            <w:pPr>
              <w:rPr>
                <w:rFonts w:ascii="宋体"/>
              </w:rPr>
            </w:pPr>
          </w:p>
        </w:tc>
        <w:tc>
          <w:tcPr>
            <w:tcW w:w="50" w:type="pct"/>
            <w:shd w:val="clear" w:color="auto" w:fill="auto"/>
          </w:tcPr>
          <w:p w14:paraId="669C6B8C" w14:textId="77777777" w:rsidR="00066C63" w:rsidRDefault="00066C63">
            <w:pPr>
              <w:rPr>
                <w:rFonts w:ascii="宋体"/>
              </w:rPr>
            </w:pPr>
          </w:p>
        </w:tc>
        <w:tc>
          <w:tcPr>
            <w:tcW w:w="353" w:type="pct"/>
            <w:shd w:val="clear" w:color="auto" w:fill="auto"/>
          </w:tcPr>
          <w:p w14:paraId="669C6B8D" w14:textId="77777777" w:rsidR="00066C63" w:rsidRDefault="00066C63">
            <w:pPr>
              <w:rPr>
                <w:rFonts w:ascii="宋体"/>
              </w:rPr>
            </w:pPr>
          </w:p>
        </w:tc>
        <w:tc>
          <w:tcPr>
            <w:tcW w:w="5" w:type="pct"/>
            <w:shd w:val="clear" w:color="auto" w:fill="auto"/>
          </w:tcPr>
          <w:p w14:paraId="669C6B8E" w14:textId="77777777" w:rsidR="00066C63" w:rsidRDefault="00066C63">
            <w:pPr>
              <w:rPr>
                <w:rFonts w:ascii="宋体"/>
              </w:rPr>
            </w:pPr>
          </w:p>
        </w:tc>
        <w:tc>
          <w:tcPr>
            <w:tcW w:w="50" w:type="pct"/>
            <w:shd w:val="clear" w:color="auto" w:fill="auto"/>
          </w:tcPr>
          <w:p w14:paraId="669C6B8F" w14:textId="77777777" w:rsidR="00066C63" w:rsidRDefault="00066C63">
            <w:pPr>
              <w:rPr>
                <w:rFonts w:ascii="宋体"/>
              </w:rPr>
            </w:pPr>
          </w:p>
        </w:tc>
        <w:tc>
          <w:tcPr>
            <w:tcW w:w="384" w:type="pct"/>
            <w:shd w:val="clear" w:color="auto" w:fill="auto"/>
          </w:tcPr>
          <w:p w14:paraId="669C6B90" w14:textId="77777777" w:rsidR="00066C63" w:rsidRDefault="00066C63">
            <w:pPr>
              <w:rPr>
                <w:rFonts w:ascii="宋体"/>
              </w:rPr>
            </w:pPr>
          </w:p>
        </w:tc>
        <w:tc>
          <w:tcPr>
            <w:tcW w:w="5" w:type="pct"/>
            <w:shd w:val="clear" w:color="auto" w:fill="auto"/>
          </w:tcPr>
          <w:p w14:paraId="669C6B91" w14:textId="77777777" w:rsidR="00066C63" w:rsidRDefault="00066C63">
            <w:pPr>
              <w:rPr>
                <w:rFonts w:ascii="宋体"/>
              </w:rPr>
            </w:pPr>
          </w:p>
        </w:tc>
        <w:tc>
          <w:tcPr>
            <w:tcW w:w="50" w:type="pct"/>
            <w:shd w:val="clear" w:color="auto" w:fill="auto"/>
          </w:tcPr>
          <w:p w14:paraId="669C6B92" w14:textId="77777777" w:rsidR="00066C63" w:rsidRDefault="00066C63">
            <w:pPr>
              <w:rPr>
                <w:rFonts w:ascii="宋体"/>
              </w:rPr>
            </w:pPr>
          </w:p>
        </w:tc>
        <w:tc>
          <w:tcPr>
            <w:tcW w:w="369" w:type="pct"/>
            <w:shd w:val="clear" w:color="auto" w:fill="auto"/>
          </w:tcPr>
          <w:p w14:paraId="669C6B93" w14:textId="77777777" w:rsidR="00066C63" w:rsidRDefault="00066C63">
            <w:pPr>
              <w:rPr>
                <w:rFonts w:ascii="宋体"/>
              </w:rPr>
            </w:pPr>
          </w:p>
        </w:tc>
        <w:tc>
          <w:tcPr>
            <w:tcW w:w="5" w:type="pct"/>
            <w:shd w:val="clear" w:color="auto" w:fill="auto"/>
          </w:tcPr>
          <w:p w14:paraId="669C6B94" w14:textId="77777777" w:rsidR="00066C63" w:rsidRDefault="00066C63">
            <w:pPr>
              <w:rPr>
                <w:rFonts w:ascii="宋体"/>
              </w:rPr>
            </w:pPr>
          </w:p>
        </w:tc>
        <w:tc>
          <w:tcPr>
            <w:tcW w:w="50" w:type="pct"/>
            <w:shd w:val="clear" w:color="auto" w:fill="auto"/>
          </w:tcPr>
          <w:p w14:paraId="669C6B95" w14:textId="77777777" w:rsidR="00066C63" w:rsidRDefault="00066C63">
            <w:pPr>
              <w:rPr>
                <w:rFonts w:ascii="宋体"/>
              </w:rPr>
            </w:pPr>
          </w:p>
        </w:tc>
        <w:tc>
          <w:tcPr>
            <w:tcW w:w="353" w:type="pct"/>
            <w:shd w:val="clear" w:color="auto" w:fill="auto"/>
          </w:tcPr>
          <w:p w14:paraId="669C6B96" w14:textId="77777777" w:rsidR="00066C63" w:rsidRDefault="00066C63">
            <w:pPr>
              <w:rPr>
                <w:rFonts w:ascii="宋体"/>
              </w:rPr>
            </w:pPr>
          </w:p>
        </w:tc>
        <w:tc>
          <w:tcPr>
            <w:tcW w:w="5" w:type="pct"/>
            <w:shd w:val="clear" w:color="auto" w:fill="auto"/>
          </w:tcPr>
          <w:p w14:paraId="669C6B97" w14:textId="77777777" w:rsidR="00066C63" w:rsidRDefault="00066C63">
            <w:pPr>
              <w:rPr>
                <w:rFonts w:ascii="宋体"/>
              </w:rPr>
            </w:pPr>
          </w:p>
        </w:tc>
        <w:tc>
          <w:tcPr>
            <w:tcW w:w="50" w:type="pct"/>
            <w:shd w:val="clear" w:color="auto" w:fill="auto"/>
          </w:tcPr>
          <w:p w14:paraId="669C6B98" w14:textId="77777777" w:rsidR="00066C63" w:rsidRDefault="00066C63">
            <w:pPr>
              <w:rPr>
                <w:rFonts w:ascii="宋体"/>
              </w:rPr>
            </w:pPr>
          </w:p>
        </w:tc>
        <w:tc>
          <w:tcPr>
            <w:tcW w:w="384" w:type="pct"/>
            <w:shd w:val="clear" w:color="auto" w:fill="auto"/>
          </w:tcPr>
          <w:p w14:paraId="669C6B99" w14:textId="77777777" w:rsidR="00066C63" w:rsidRDefault="00066C63">
            <w:pPr>
              <w:rPr>
                <w:rFonts w:ascii="宋体"/>
              </w:rPr>
            </w:pPr>
          </w:p>
        </w:tc>
        <w:tc>
          <w:tcPr>
            <w:tcW w:w="5" w:type="pct"/>
            <w:shd w:val="clear" w:color="auto" w:fill="auto"/>
          </w:tcPr>
          <w:p w14:paraId="669C6B9A" w14:textId="77777777" w:rsidR="00066C63" w:rsidRDefault="00066C63">
            <w:pPr>
              <w:rPr>
                <w:rFonts w:ascii="宋体"/>
              </w:rPr>
            </w:pPr>
          </w:p>
        </w:tc>
        <w:tc>
          <w:tcPr>
            <w:tcW w:w="50" w:type="pct"/>
            <w:shd w:val="clear" w:color="auto" w:fill="auto"/>
          </w:tcPr>
          <w:p w14:paraId="669C6B9B" w14:textId="77777777" w:rsidR="00066C63" w:rsidRDefault="00066C63">
            <w:pPr>
              <w:rPr>
                <w:rFonts w:ascii="宋体"/>
              </w:rPr>
            </w:pPr>
          </w:p>
        </w:tc>
        <w:tc>
          <w:tcPr>
            <w:tcW w:w="431" w:type="pct"/>
            <w:shd w:val="clear" w:color="auto" w:fill="auto"/>
          </w:tcPr>
          <w:p w14:paraId="669C6B9C" w14:textId="77777777" w:rsidR="00066C63" w:rsidRDefault="00066C63">
            <w:pPr>
              <w:rPr>
                <w:rFonts w:ascii="宋体"/>
              </w:rPr>
            </w:pPr>
          </w:p>
        </w:tc>
        <w:tc>
          <w:tcPr>
            <w:tcW w:w="5" w:type="pct"/>
            <w:shd w:val="clear" w:color="auto" w:fill="auto"/>
          </w:tcPr>
          <w:p w14:paraId="669C6B9D" w14:textId="77777777" w:rsidR="00066C63" w:rsidRDefault="00066C63">
            <w:pPr>
              <w:rPr>
                <w:rFonts w:ascii="宋体"/>
              </w:rPr>
            </w:pPr>
          </w:p>
        </w:tc>
        <w:tc>
          <w:tcPr>
            <w:tcW w:w="50" w:type="pct"/>
            <w:shd w:val="clear" w:color="auto" w:fill="auto"/>
          </w:tcPr>
          <w:p w14:paraId="669C6B9E" w14:textId="77777777" w:rsidR="00066C63" w:rsidRDefault="00066C63">
            <w:pPr>
              <w:rPr>
                <w:rFonts w:ascii="宋体"/>
              </w:rPr>
            </w:pPr>
          </w:p>
        </w:tc>
        <w:tc>
          <w:tcPr>
            <w:tcW w:w="354" w:type="pct"/>
            <w:shd w:val="clear" w:color="auto" w:fill="auto"/>
          </w:tcPr>
          <w:p w14:paraId="669C6B9F" w14:textId="77777777" w:rsidR="00066C63" w:rsidRDefault="00066C63">
            <w:pPr>
              <w:rPr>
                <w:rFonts w:ascii="宋体"/>
              </w:rPr>
            </w:pPr>
          </w:p>
        </w:tc>
        <w:tc>
          <w:tcPr>
            <w:tcW w:w="5" w:type="pct"/>
            <w:shd w:val="clear" w:color="auto" w:fill="auto"/>
          </w:tcPr>
          <w:p w14:paraId="669C6BA0" w14:textId="77777777" w:rsidR="00066C63" w:rsidRDefault="00066C63">
            <w:pPr>
              <w:rPr>
                <w:rFonts w:ascii="宋体"/>
              </w:rPr>
            </w:pPr>
          </w:p>
        </w:tc>
      </w:tr>
      <w:tr w:rsidR="00066C63" w14:paraId="669C6BA4" w14:textId="77777777">
        <w:tc>
          <w:tcPr>
            <w:tcW w:w="0" w:type="auto"/>
            <w:gridSpan w:val="3"/>
            <w:shd w:val="clear" w:color="auto" w:fill="auto"/>
            <w:tcMar>
              <w:top w:w="0" w:type="dxa"/>
              <w:left w:w="20" w:type="dxa"/>
              <w:bottom w:w="0" w:type="dxa"/>
              <w:right w:w="20" w:type="dxa"/>
            </w:tcMar>
          </w:tcPr>
          <w:p w14:paraId="669C6BA2" w14:textId="77777777" w:rsidR="00066C63" w:rsidRDefault="00066C63">
            <w:pPr>
              <w:rPr>
                <w:rFonts w:ascii="宋体"/>
              </w:rPr>
            </w:pPr>
          </w:p>
        </w:tc>
        <w:tc>
          <w:tcPr>
            <w:tcW w:w="0" w:type="auto"/>
            <w:gridSpan w:val="27"/>
            <w:shd w:val="clear" w:color="auto" w:fill="auto"/>
            <w:tcMar>
              <w:top w:w="40" w:type="dxa"/>
              <w:left w:w="20" w:type="dxa"/>
              <w:bottom w:w="40" w:type="dxa"/>
              <w:right w:w="20" w:type="dxa"/>
            </w:tcMar>
            <w:vAlign w:val="bottom"/>
          </w:tcPr>
          <w:p w14:paraId="669C6BA3" w14:textId="77777777" w:rsidR="00066C63" w:rsidRDefault="009656F6">
            <w:pPr>
              <w:jc w:val="center"/>
              <w:textAlignment w:val="bottom"/>
            </w:pPr>
            <w:r>
              <w:rPr>
                <w:rFonts w:ascii="sans-serif" w:eastAsia="sans-serif" w:hAnsi="sans-serif" w:cs="sans-serif"/>
                <w:b/>
                <w:bCs/>
                <w:color w:val="000000"/>
                <w:sz w:val="17"/>
                <w:szCs w:val="17"/>
              </w:rPr>
              <w:t>THREE MONTHS ENDED FEBRUARY 29, 2020</w:t>
            </w:r>
          </w:p>
        </w:tc>
      </w:tr>
      <w:tr w:rsidR="00066C63" w14:paraId="669C6BAF" w14:textId="77777777">
        <w:tc>
          <w:tcPr>
            <w:tcW w:w="0" w:type="auto"/>
            <w:gridSpan w:val="3"/>
            <w:shd w:val="clear" w:color="auto" w:fill="auto"/>
            <w:tcMar>
              <w:top w:w="40" w:type="dxa"/>
              <w:left w:w="20" w:type="dxa"/>
              <w:bottom w:w="40" w:type="dxa"/>
              <w:right w:w="20" w:type="dxa"/>
            </w:tcMar>
            <w:vAlign w:val="bottom"/>
          </w:tcPr>
          <w:p w14:paraId="669C6BA5" w14:textId="77777777" w:rsidR="00066C63" w:rsidRDefault="009656F6">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BA6" w14:textId="77777777" w:rsidR="00066C63" w:rsidRDefault="009656F6">
            <w:pPr>
              <w:jc w:val="right"/>
              <w:textAlignment w:val="bottom"/>
            </w:pPr>
            <w:r>
              <w:rPr>
                <w:rFonts w:ascii="sans-serif" w:eastAsia="sans-serif" w:hAnsi="sans-serif" w:cs="sans-serif"/>
                <w:b/>
                <w:bCs/>
                <w:color w:val="000000"/>
                <w:sz w:val="17"/>
                <w:szCs w:val="17"/>
              </w:rPr>
              <w:t>NORTH AMERICA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BA7" w14:textId="77777777" w:rsidR="00066C63" w:rsidRDefault="009656F6">
            <w:pPr>
              <w:jc w:val="right"/>
              <w:textAlignment w:val="bottom"/>
            </w:pPr>
            <w:r>
              <w:rPr>
                <w:rFonts w:ascii="sans-serif" w:eastAsia="sans-serif" w:hAnsi="sans-serif" w:cs="sans-serif"/>
                <w:b/>
                <w:bCs/>
                <w:color w:val="000000"/>
                <w:sz w:val="17"/>
                <w:szCs w:val="17"/>
              </w:rPr>
              <w:t>EUROPE, MIDDLE EAST &amp; AFRICA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BA8" w14:textId="77777777" w:rsidR="00066C63" w:rsidRDefault="009656F6">
            <w:pPr>
              <w:jc w:val="right"/>
              <w:textAlignment w:val="bottom"/>
            </w:pPr>
            <w:r>
              <w:rPr>
                <w:rFonts w:ascii="sans-serif" w:eastAsia="sans-serif" w:hAnsi="sans-serif" w:cs="sans-serif"/>
                <w:b/>
                <w:bCs/>
                <w:color w:val="000000"/>
                <w:sz w:val="17"/>
                <w:szCs w:val="17"/>
              </w:rPr>
              <w:t xml:space="preserve">GREATER </w:t>
            </w:r>
            <w:r>
              <w:rPr>
                <w:rFonts w:ascii="sans-serif" w:eastAsia="sans-serif" w:hAnsi="sans-serif" w:cs="sans-serif"/>
                <w:b/>
                <w:bCs/>
                <w:color w:val="000000"/>
                <w:sz w:val="17"/>
                <w:szCs w:val="17"/>
              </w:rPr>
              <w:t>CHINA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BA9" w14:textId="77777777" w:rsidR="00066C63" w:rsidRDefault="009656F6">
            <w:pPr>
              <w:jc w:val="right"/>
              <w:textAlignment w:val="bottom"/>
            </w:pPr>
            <w:r>
              <w:rPr>
                <w:rFonts w:ascii="sans-serif" w:eastAsia="sans-serif" w:hAnsi="sans-serif" w:cs="sans-serif"/>
                <w:b/>
                <w:bCs/>
                <w:color w:val="000000"/>
                <w:sz w:val="17"/>
                <w:szCs w:val="17"/>
              </w:rPr>
              <w:t>ASIA PACIFIC &amp; LATIN AMERICA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BAA" w14:textId="77777777" w:rsidR="00066C63" w:rsidRDefault="009656F6">
            <w:pPr>
              <w:jc w:val="right"/>
              <w:textAlignment w:val="bottom"/>
            </w:pPr>
            <w:r>
              <w:rPr>
                <w:rFonts w:ascii="sans-serif" w:eastAsia="sans-serif" w:hAnsi="sans-serif" w:cs="sans-serif"/>
                <w:b/>
                <w:bCs/>
                <w:color w:val="000000"/>
                <w:sz w:val="17"/>
                <w:szCs w:val="17"/>
              </w:rPr>
              <w:t>GLOBAL BRAND DIVISIONS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BAB" w14:textId="77777777" w:rsidR="00066C63" w:rsidRDefault="009656F6">
            <w:pPr>
              <w:jc w:val="right"/>
              <w:textAlignment w:val="bottom"/>
            </w:pPr>
            <w:r>
              <w:rPr>
                <w:rFonts w:ascii="sans-serif" w:eastAsia="sans-serif" w:hAnsi="sans-serif" w:cs="sans-serif"/>
                <w:b/>
                <w:bCs/>
                <w:color w:val="000000"/>
                <w:sz w:val="17"/>
                <w:szCs w:val="17"/>
              </w:rPr>
              <w:t>TOTAL NIKE BRAND</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BAC" w14:textId="77777777" w:rsidR="00066C63" w:rsidRDefault="009656F6">
            <w:pPr>
              <w:jc w:val="right"/>
              <w:textAlignment w:val="bottom"/>
            </w:pPr>
            <w:r>
              <w:rPr>
                <w:rFonts w:ascii="sans-serif" w:eastAsia="sans-serif" w:hAnsi="sans-serif" w:cs="sans-serif"/>
                <w:b/>
                <w:bCs/>
                <w:color w:val="000000"/>
                <w:sz w:val="17"/>
                <w:szCs w:val="17"/>
              </w:rPr>
              <w:t>CONVERSE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BAD" w14:textId="77777777" w:rsidR="00066C63" w:rsidRDefault="009656F6">
            <w:pPr>
              <w:jc w:val="right"/>
              <w:textAlignment w:val="bottom"/>
            </w:pPr>
            <w:r>
              <w:rPr>
                <w:rFonts w:ascii="sans-serif" w:eastAsia="sans-serif" w:hAnsi="sans-serif" w:cs="sans-serif"/>
                <w:b/>
                <w:bCs/>
                <w:color w:val="000000"/>
                <w:sz w:val="17"/>
                <w:szCs w:val="17"/>
              </w:rPr>
              <w:t>CORPORATE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BAE" w14:textId="77777777" w:rsidR="00066C63" w:rsidRDefault="009656F6">
            <w:pPr>
              <w:jc w:val="right"/>
              <w:textAlignment w:val="bottom"/>
            </w:pPr>
            <w:r>
              <w:rPr>
                <w:rFonts w:ascii="sans-serif" w:eastAsia="sans-serif" w:hAnsi="sans-serif" w:cs="sans-serif"/>
                <w:b/>
                <w:bCs/>
                <w:color w:val="000000"/>
                <w:sz w:val="17"/>
                <w:szCs w:val="17"/>
              </w:rPr>
              <w:t>TOTAL NIKE, INC.</w:t>
            </w:r>
          </w:p>
        </w:tc>
      </w:tr>
      <w:tr w:rsidR="00066C63" w14:paraId="669C6BBA"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BB0" w14:textId="77777777" w:rsidR="00066C63" w:rsidRDefault="009656F6">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auto"/>
            <w:tcMar>
              <w:top w:w="0" w:type="dxa"/>
              <w:left w:w="20" w:type="dxa"/>
              <w:bottom w:w="0" w:type="dxa"/>
              <w:right w:w="20" w:type="dxa"/>
            </w:tcMar>
          </w:tcPr>
          <w:p w14:paraId="669C6BB1"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6BB2"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6BB3"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6BB4"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6BB5"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6BB6"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6BB7"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6BB8"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6BB9" w14:textId="77777777" w:rsidR="00066C63" w:rsidRDefault="00066C63">
            <w:pPr>
              <w:rPr>
                <w:rFonts w:ascii="宋体"/>
              </w:rPr>
            </w:pPr>
          </w:p>
        </w:tc>
      </w:tr>
      <w:tr w:rsidR="00066C63" w14:paraId="669C6BD7"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6BBB" w14:textId="77777777" w:rsidR="00066C63" w:rsidRDefault="009656F6">
            <w:pPr>
              <w:textAlignment w:val="bottom"/>
            </w:pPr>
            <w:r>
              <w:rPr>
                <w:rFonts w:ascii="Arial" w:eastAsia="宋体" w:hAnsi="Arial" w:cs="Arial"/>
                <w:color w:val="000000"/>
                <w:sz w:val="17"/>
                <w:szCs w:val="17"/>
              </w:rPr>
              <w:t>Footwear</w:t>
            </w:r>
          </w:p>
        </w:tc>
        <w:tc>
          <w:tcPr>
            <w:tcW w:w="0" w:type="auto"/>
            <w:tcBorders>
              <w:top w:val="single" w:sz="8" w:space="0" w:color="808080"/>
            </w:tcBorders>
            <w:shd w:val="clear" w:color="auto" w:fill="auto"/>
            <w:tcMar>
              <w:top w:w="40" w:type="dxa"/>
              <w:left w:w="20" w:type="dxa"/>
              <w:bottom w:w="40" w:type="dxa"/>
              <w:right w:w="0" w:type="dxa"/>
            </w:tcMar>
            <w:vAlign w:val="bottom"/>
          </w:tcPr>
          <w:p w14:paraId="669C6BBC"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669C6BBD" w14:textId="77777777" w:rsidR="00066C63" w:rsidRDefault="009656F6">
            <w:pPr>
              <w:jc w:val="right"/>
              <w:textAlignment w:val="bottom"/>
            </w:pPr>
            <w:r>
              <w:rPr>
                <w:rFonts w:ascii="Arial" w:eastAsia="宋体" w:hAnsi="Arial" w:cs="Arial"/>
                <w:color w:val="000000"/>
                <w:sz w:val="17"/>
                <w:szCs w:val="17"/>
              </w:rPr>
              <w:t>2,628 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BBE" w14:textId="77777777" w:rsidR="00066C63" w:rsidRDefault="00066C63">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669C6BBF"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669C6BC0" w14:textId="77777777" w:rsidR="00066C63" w:rsidRDefault="009656F6">
            <w:pPr>
              <w:jc w:val="right"/>
              <w:textAlignment w:val="bottom"/>
            </w:pPr>
            <w:r>
              <w:rPr>
                <w:rFonts w:ascii="Arial" w:eastAsia="宋体" w:hAnsi="Arial" w:cs="Arial"/>
                <w:color w:val="000000"/>
                <w:sz w:val="17"/>
                <w:szCs w:val="17"/>
              </w:rPr>
              <w:t>1,711 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BC1" w14:textId="77777777" w:rsidR="00066C63" w:rsidRDefault="00066C63">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669C6BC2"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669C6BC3" w14:textId="77777777" w:rsidR="00066C63" w:rsidRDefault="009656F6">
            <w:pPr>
              <w:jc w:val="right"/>
              <w:textAlignment w:val="bottom"/>
            </w:pPr>
            <w:r>
              <w:rPr>
                <w:rFonts w:ascii="Arial" w:eastAsia="宋体" w:hAnsi="Arial" w:cs="Arial"/>
                <w:color w:val="000000"/>
                <w:sz w:val="17"/>
                <w:szCs w:val="17"/>
              </w:rPr>
              <w:t>1,075 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BC4" w14:textId="77777777" w:rsidR="00066C63" w:rsidRDefault="00066C63">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669C6BC5"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669C6BC6" w14:textId="77777777" w:rsidR="00066C63" w:rsidRDefault="009656F6">
            <w:pPr>
              <w:jc w:val="right"/>
              <w:textAlignment w:val="bottom"/>
            </w:pPr>
            <w:r>
              <w:rPr>
                <w:rFonts w:ascii="Arial" w:eastAsia="宋体" w:hAnsi="Arial" w:cs="Arial"/>
                <w:color w:val="000000"/>
                <w:sz w:val="17"/>
                <w:szCs w:val="17"/>
              </w:rPr>
              <w:t>963 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BC7" w14:textId="77777777" w:rsidR="00066C63" w:rsidRDefault="00066C63">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669C6BC8"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669C6BC9" w14:textId="77777777" w:rsidR="00066C63" w:rsidRDefault="009656F6">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BCA" w14:textId="77777777" w:rsidR="00066C63" w:rsidRDefault="00066C63">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669C6BCB"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669C6BCC" w14:textId="77777777" w:rsidR="00066C63" w:rsidRDefault="009656F6">
            <w:pPr>
              <w:jc w:val="right"/>
              <w:textAlignment w:val="bottom"/>
            </w:pPr>
            <w:r>
              <w:rPr>
                <w:rFonts w:ascii="Arial" w:eastAsia="宋体" w:hAnsi="Arial" w:cs="Arial"/>
                <w:color w:val="000000"/>
                <w:sz w:val="17"/>
                <w:szCs w:val="17"/>
              </w:rPr>
              <w:t>6,377 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BCD" w14:textId="77777777" w:rsidR="00066C63" w:rsidRDefault="00066C63">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669C6BCE"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669C6BCF" w14:textId="77777777" w:rsidR="00066C63" w:rsidRDefault="009656F6">
            <w:pPr>
              <w:jc w:val="right"/>
              <w:textAlignment w:val="bottom"/>
            </w:pPr>
            <w:r>
              <w:rPr>
                <w:rFonts w:ascii="Arial" w:eastAsia="宋体" w:hAnsi="Arial" w:cs="Arial"/>
                <w:color w:val="000000"/>
                <w:sz w:val="17"/>
                <w:szCs w:val="17"/>
              </w:rPr>
              <w:t>455 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BD0" w14:textId="77777777" w:rsidR="00066C63" w:rsidRDefault="00066C63">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669C6BD1"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669C6BD2" w14:textId="77777777" w:rsidR="00066C63" w:rsidRDefault="009656F6">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BD3" w14:textId="77777777" w:rsidR="00066C63" w:rsidRDefault="00066C63">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669C6BD4"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669C6BD5" w14:textId="77777777" w:rsidR="00066C63" w:rsidRDefault="009656F6">
            <w:pPr>
              <w:jc w:val="right"/>
              <w:textAlignment w:val="bottom"/>
            </w:pPr>
            <w:r>
              <w:rPr>
                <w:rFonts w:ascii="Arial" w:eastAsia="宋体" w:hAnsi="Arial" w:cs="Arial"/>
                <w:color w:val="000000"/>
                <w:sz w:val="17"/>
                <w:szCs w:val="17"/>
              </w:rPr>
              <w:t>6,832 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BD6" w14:textId="77777777" w:rsidR="00066C63" w:rsidRDefault="00066C63">
            <w:pPr>
              <w:jc w:val="right"/>
              <w:rPr>
                <w:rFonts w:ascii="宋体"/>
              </w:rPr>
            </w:pPr>
          </w:p>
        </w:tc>
      </w:tr>
      <w:tr w:rsidR="00066C63" w14:paraId="669C6BEB"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6BD8" w14:textId="77777777" w:rsidR="00066C63" w:rsidRDefault="009656F6">
            <w:pPr>
              <w:textAlignment w:val="bottom"/>
            </w:pPr>
            <w:r>
              <w:rPr>
                <w:rFonts w:ascii="Arial" w:eastAsia="宋体" w:hAnsi="Arial" w:cs="Arial"/>
                <w:color w:val="000000"/>
                <w:sz w:val="17"/>
                <w:szCs w:val="17"/>
              </w:rPr>
              <w:t>Apparel</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BD9" w14:textId="77777777" w:rsidR="00066C63" w:rsidRDefault="009656F6">
            <w:pPr>
              <w:jc w:val="right"/>
              <w:textAlignment w:val="bottom"/>
            </w:pPr>
            <w:r>
              <w:rPr>
                <w:rFonts w:ascii="Arial" w:eastAsia="宋体" w:hAnsi="Arial" w:cs="Arial"/>
                <w:color w:val="000000"/>
                <w:sz w:val="17"/>
                <w:szCs w:val="17"/>
              </w:rPr>
              <w:t>1,228 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BDA"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BDB" w14:textId="77777777" w:rsidR="00066C63" w:rsidRDefault="009656F6">
            <w:pPr>
              <w:jc w:val="right"/>
              <w:textAlignment w:val="bottom"/>
            </w:pPr>
            <w:r>
              <w:rPr>
                <w:rFonts w:ascii="Arial" w:eastAsia="宋体" w:hAnsi="Arial" w:cs="Arial"/>
                <w:color w:val="000000"/>
                <w:sz w:val="17"/>
                <w:szCs w:val="17"/>
              </w:rPr>
              <w:t>889 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BDC"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BDD" w14:textId="77777777" w:rsidR="00066C63" w:rsidRDefault="009656F6">
            <w:pPr>
              <w:jc w:val="right"/>
              <w:textAlignment w:val="bottom"/>
            </w:pPr>
            <w:r>
              <w:rPr>
                <w:rFonts w:ascii="Arial" w:eastAsia="宋体" w:hAnsi="Arial" w:cs="Arial"/>
                <w:color w:val="000000"/>
                <w:sz w:val="17"/>
                <w:szCs w:val="17"/>
              </w:rPr>
              <w:t>400 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BDE"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BDF" w14:textId="77777777" w:rsidR="00066C63" w:rsidRDefault="009656F6">
            <w:pPr>
              <w:jc w:val="right"/>
              <w:textAlignment w:val="bottom"/>
            </w:pPr>
            <w:r>
              <w:rPr>
                <w:rFonts w:ascii="Arial" w:eastAsia="宋体" w:hAnsi="Arial" w:cs="Arial"/>
                <w:color w:val="000000"/>
                <w:sz w:val="17"/>
                <w:szCs w:val="17"/>
              </w:rPr>
              <w:t>388 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BE0"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BE1" w14:textId="77777777" w:rsidR="00066C63" w:rsidRDefault="009656F6">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BE2"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BE3" w14:textId="77777777" w:rsidR="00066C63" w:rsidRDefault="009656F6">
            <w:pPr>
              <w:jc w:val="right"/>
              <w:textAlignment w:val="bottom"/>
            </w:pPr>
            <w:r>
              <w:rPr>
                <w:rFonts w:ascii="Arial" w:eastAsia="宋体" w:hAnsi="Arial" w:cs="Arial"/>
                <w:color w:val="000000"/>
                <w:sz w:val="17"/>
                <w:szCs w:val="17"/>
              </w:rPr>
              <w:t>2,905 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BE4"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BE5" w14:textId="77777777" w:rsidR="00066C63" w:rsidRDefault="009656F6">
            <w:pPr>
              <w:jc w:val="right"/>
              <w:textAlignment w:val="bottom"/>
            </w:pPr>
            <w:r>
              <w:rPr>
                <w:rFonts w:ascii="Arial" w:eastAsia="宋体" w:hAnsi="Arial" w:cs="Arial"/>
                <w:color w:val="000000"/>
                <w:sz w:val="17"/>
                <w:szCs w:val="17"/>
              </w:rPr>
              <w:t>20 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BE6"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BE7" w14:textId="77777777" w:rsidR="00066C63" w:rsidRDefault="009656F6">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BE8"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BE9" w14:textId="77777777" w:rsidR="00066C63" w:rsidRDefault="009656F6">
            <w:pPr>
              <w:jc w:val="right"/>
              <w:textAlignment w:val="bottom"/>
            </w:pPr>
            <w:r>
              <w:rPr>
                <w:rFonts w:ascii="Arial" w:eastAsia="宋体" w:hAnsi="Arial" w:cs="Arial"/>
                <w:color w:val="000000"/>
                <w:sz w:val="17"/>
                <w:szCs w:val="17"/>
              </w:rPr>
              <w:t>2,925 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BEA" w14:textId="77777777" w:rsidR="00066C63" w:rsidRDefault="00066C63">
            <w:pPr>
              <w:jc w:val="right"/>
              <w:rPr>
                <w:rFonts w:ascii="宋体"/>
              </w:rPr>
            </w:pPr>
          </w:p>
        </w:tc>
      </w:tr>
      <w:tr w:rsidR="00066C63" w14:paraId="669C6BFF"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6BEC" w14:textId="77777777" w:rsidR="00066C63" w:rsidRDefault="009656F6">
            <w:pPr>
              <w:textAlignment w:val="bottom"/>
            </w:pPr>
            <w:r>
              <w:rPr>
                <w:rFonts w:ascii="Arial" w:eastAsia="宋体" w:hAnsi="Arial" w:cs="Arial"/>
                <w:color w:val="000000"/>
                <w:sz w:val="17"/>
                <w:szCs w:val="17"/>
              </w:rPr>
              <w:t>Equipment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BED" w14:textId="77777777" w:rsidR="00066C63" w:rsidRDefault="009656F6">
            <w:pPr>
              <w:jc w:val="right"/>
              <w:textAlignment w:val="bottom"/>
            </w:pPr>
            <w:r>
              <w:rPr>
                <w:rFonts w:ascii="Arial" w:eastAsia="宋体" w:hAnsi="Arial" w:cs="Arial"/>
                <w:color w:val="000000"/>
                <w:sz w:val="17"/>
                <w:szCs w:val="17"/>
              </w:rPr>
              <w:t>123 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BEE"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BEF" w14:textId="77777777" w:rsidR="00066C63" w:rsidRDefault="009656F6">
            <w:pPr>
              <w:jc w:val="right"/>
              <w:textAlignment w:val="bottom"/>
            </w:pPr>
            <w:r>
              <w:rPr>
                <w:rFonts w:ascii="Arial" w:eastAsia="宋体" w:hAnsi="Arial" w:cs="Arial"/>
                <w:color w:val="000000"/>
                <w:sz w:val="17"/>
                <w:szCs w:val="17"/>
              </w:rPr>
              <w:t>109 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BF0"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BF1" w14:textId="77777777" w:rsidR="00066C63" w:rsidRDefault="009656F6">
            <w:pPr>
              <w:jc w:val="right"/>
              <w:textAlignment w:val="bottom"/>
            </w:pPr>
            <w:r>
              <w:rPr>
                <w:rFonts w:ascii="Arial" w:eastAsia="宋体" w:hAnsi="Arial" w:cs="Arial"/>
                <w:color w:val="000000"/>
                <w:sz w:val="17"/>
                <w:szCs w:val="17"/>
              </w:rPr>
              <w:t>31 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BF2"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BF3" w14:textId="77777777" w:rsidR="00066C63" w:rsidRDefault="009656F6">
            <w:pPr>
              <w:jc w:val="right"/>
              <w:textAlignment w:val="bottom"/>
            </w:pPr>
            <w:r>
              <w:rPr>
                <w:rFonts w:ascii="Arial" w:eastAsia="宋体" w:hAnsi="Arial" w:cs="Arial"/>
                <w:color w:val="000000"/>
                <w:sz w:val="17"/>
                <w:szCs w:val="17"/>
              </w:rPr>
              <w:t>63 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BF4"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BF5" w14:textId="77777777" w:rsidR="00066C63" w:rsidRDefault="009656F6">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BF6"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BF7" w14:textId="77777777" w:rsidR="00066C63" w:rsidRDefault="009656F6">
            <w:pPr>
              <w:jc w:val="right"/>
              <w:textAlignment w:val="bottom"/>
            </w:pPr>
            <w:r>
              <w:rPr>
                <w:rFonts w:ascii="Arial" w:eastAsia="宋体" w:hAnsi="Arial" w:cs="Arial"/>
                <w:color w:val="000000"/>
                <w:sz w:val="17"/>
                <w:szCs w:val="17"/>
              </w:rPr>
              <w:t>326 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BF8"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BF9" w14:textId="77777777" w:rsidR="00066C63" w:rsidRDefault="009656F6">
            <w:pPr>
              <w:jc w:val="right"/>
              <w:textAlignment w:val="bottom"/>
            </w:pPr>
            <w:r>
              <w:rPr>
                <w:rFonts w:ascii="Arial" w:eastAsia="宋体" w:hAnsi="Arial" w:cs="Arial"/>
                <w:color w:val="000000"/>
                <w:sz w:val="17"/>
                <w:szCs w:val="17"/>
              </w:rPr>
              <w:t>5 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BFA"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BFB" w14:textId="77777777" w:rsidR="00066C63" w:rsidRDefault="009656F6">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BFC"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BFD" w14:textId="77777777" w:rsidR="00066C63" w:rsidRDefault="009656F6">
            <w:pPr>
              <w:jc w:val="right"/>
              <w:textAlignment w:val="bottom"/>
            </w:pPr>
            <w:r>
              <w:rPr>
                <w:rFonts w:ascii="Arial" w:eastAsia="宋体" w:hAnsi="Arial" w:cs="Arial"/>
                <w:color w:val="000000"/>
                <w:sz w:val="17"/>
                <w:szCs w:val="17"/>
              </w:rPr>
              <w:t>331 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BFE" w14:textId="77777777" w:rsidR="00066C63" w:rsidRDefault="00066C63">
            <w:pPr>
              <w:jc w:val="right"/>
              <w:rPr>
                <w:rFonts w:ascii="宋体"/>
              </w:rPr>
            </w:pPr>
          </w:p>
        </w:tc>
      </w:tr>
      <w:tr w:rsidR="00066C63" w14:paraId="669C6C13"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6C00" w14:textId="77777777" w:rsidR="00066C63" w:rsidRDefault="009656F6">
            <w:pPr>
              <w:textAlignment w:val="bottom"/>
            </w:pPr>
            <w:r>
              <w:rPr>
                <w:rFonts w:ascii="Arial" w:eastAsia="宋体" w:hAnsi="Arial" w:cs="Arial"/>
                <w:color w:val="000000"/>
                <w:sz w:val="17"/>
                <w:szCs w:val="17"/>
              </w:rPr>
              <w:t>Other</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C01" w14:textId="77777777" w:rsidR="00066C63" w:rsidRDefault="009656F6">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C02"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C03" w14:textId="77777777" w:rsidR="00066C63" w:rsidRDefault="009656F6">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C04"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C05" w14:textId="77777777" w:rsidR="00066C63" w:rsidRDefault="009656F6">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C06"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C07" w14:textId="77777777" w:rsidR="00066C63" w:rsidRDefault="009656F6">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C08"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C09" w14:textId="77777777" w:rsidR="00066C63" w:rsidRDefault="009656F6">
            <w:pPr>
              <w:jc w:val="right"/>
              <w:textAlignment w:val="bottom"/>
            </w:pPr>
            <w:r>
              <w:rPr>
                <w:rFonts w:ascii="Arial" w:eastAsia="宋体" w:hAnsi="Arial" w:cs="Arial"/>
                <w:color w:val="000000"/>
                <w:sz w:val="17"/>
                <w:szCs w:val="17"/>
              </w:rPr>
              <w:t>8 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C0A"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C0B" w14:textId="77777777" w:rsidR="00066C63" w:rsidRDefault="009656F6">
            <w:pPr>
              <w:jc w:val="right"/>
              <w:textAlignment w:val="bottom"/>
            </w:pPr>
            <w:r>
              <w:rPr>
                <w:rFonts w:ascii="Arial" w:eastAsia="宋体" w:hAnsi="Arial" w:cs="Arial"/>
                <w:color w:val="000000"/>
                <w:sz w:val="17"/>
                <w:szCs w:val="17"/>
              </w:rPr>
              <w:t>8 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C0C"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C0D" w14:textId="77777777" w:rsidR="00066C63" w:rsidRDefault="009656F6">
            <w:pPr>
              <w:jc w:val="right"/>
              <w:textAlignment w:val="bottom"/>
            </w:pPr>
            <w:r>
              <w:rPr>
                <w:rFonts w:ascii="Arial" w:eastAsia="宋体" w:hAnsi="Arial" w:cs="Arial"/>
                <w:color w:val="000000"/>
                <w:sz w:val="17"/>
                <w:szCs w:val="17"/>
              </w:rPr>
              <w:t>26 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C0E"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C0F" w14:textId="77777777" w:rsidR="00066C63" w:rsidRDefault="009656F6">
            <w:pPr>
              <w:jc w:val="right"/>
              <w:textAlignment w:val="bottom"/>
            </w:pPr>
            <w:r>
              <w:rPr>
                <w:rFonts w:ascii="Arial" w:eastAsia="宋体" w:hAnsi="Arial" w:cs="Arial"/>
                <w:color w:val="000000"/>
                <w:sz w:val="17"/>
                <w:szCs w:val="17"/>
              </w:rPr>
              <w:t>(18)</w:t>
            </w:r>
          </w:p>
        </w:tc>
        <w:tc>
          <w:tcPr>
            <w:tcW w:w="0" w:type="auto"/>
            <w:tcBorders>
              <w:top w:val="single" w:sz="8" w:space="0" w:color="808080"/>
            </w:tcBorders>
            <w:shd w:val="clear" w:color="auto" w:fill="auto"/>
            <w:tcMar>
              <w:top w:w="40" w:type="dxa"/>
              <w:left w:w="0" w:type="dxa"/>
              <w:bottom w:w="40" w:type="dxa"/>
              <w:right w:w="20" w:type="dxa"/>
            </w:tcMar>
            <w:vAlign w:val="bottom"/>
          </w:tcPr>
          <w:p w14:paraId="669C6C10"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C11" w14:textId="77777777" w:rsidR="00066C63" w:rsidRDefault="009656F6">
            <w:pPr>
              <w:jc w:val="right"/>
              <w:textAlignment w:val="bottom"/>
            </w:pPr>
            <w:r>
              <w:rPr>
                <w:rFonts w:ascii="Arial" w:eastAsia="宋体" w:hAnsi="Arial" w:cs="Arial"/>
                <w:color w:val="000000"/>
                <w:sz w:val="17"/>
                <w:szCs w:val="17"/>
              </w:rPr>
              <w:t>16 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C12" w14:textId="77777777" w:rsidR="00066C63" w:rsidRDefault="00066C63">
            <w:pPr>
              <w:jc w:val="right"/>
              <w:rPr>
                <w:rFonts w:ascii="宋体"/>
              </w:rPr>
            </w:pPr>
          </w:p>
        </w:tc>
      </w:tr>
      <w:tr w:rsidR="00066C63" w14:paraId="669C6C30"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C14" w14:textId="77777777" w:rsidR="00066C63" w:rsidRDefault="009656F6">
            <w:pPr>
              <w:textAlignment w:val="bottom"/>
            </w:pPr>
            <w:r>
              <w:rPr>
                <w:rFonts w:ascii="Arial" w:eastAsia="宋体" w:hAnsi="Arial" w:cs="Arial"/>
                <w:b/>
                <w:bCs/>
                <w:color w:val="000000"/>
                <w:sz w:val="17"/>
                <w:szCs w:val="17"/>
              </w:rPr>
              <w:t>TOTAL REVENUES</w:t>
            </w:r>
          </w:p>
        </w:tc>
        <w:tc>
          <w:tcPr>
            <w:tcW w:w="0" w:type="auto"/>
            <w:tcBorders>
              <w:top w:val="single" w:sz="8" w:space="0" w:color="E87722"/>
            </w:tcBorders>
            <w:shd w:val="clear" w:color="auto" w:fill="auto"/>
            <w:tcMar>
              <w:top w:w="40" w:type="dxa"/>
              <w:left w:w="20" w:type="dxa"/>
              <w:bottom w:w="40" w:type="dxa"/>
              <w:right w:w="0" w:type="dxa"/>
            </w:tcMar>
            <w:vAlign w:val="bottom"/>
          </w:tcPr>
          <w:p w14:paraId="669C6C15"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69C6C16" w14:textId="77777777" w:rsidR="00066C63" w:rsidRDefault="009656F6">
            <w:pPr>
              <w:jc w:val="right"/>
              <w:textAlignment w:val="bottom"/>
            </w:pPr>
            <w:r>
              <w:rPr>
                <w:rFonts w:ascii="Arial" w:eastAsia="宋体" w:hAnsi="Arial" w:cs="Arial"/>
                <w:b/>
                <w:bCs/>
                <w:color w:val="000000"/>
                <w:sz w:val="17"/>
                <w:szCs w:val="17"/>
              </w:rPr>
              <w:t>3,979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6C17" w14:textId="77777777" w:rsidR="00066C63" w:rsidRDefault="00066C63">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69C6C18"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69C6C19" w14:textId="77777777" w:rsidR="00066C63" w:rsidRDefault="009656F6">
            <w:pPr>
              <w:jc w:val="right"/>
              <w:textAlignment w:val="bottom"/>
            </w:pPr>
            <w:r>
              <w:rPr>
                <w:rFonts w:ascii="Arial" w:eastAsia="宋体" w:hAnsi="Arial" w:cs="Arial"/>
                <w:b/>
                <w:bCs/>
                <w:color w:val="000000"/>
                <w:sz w:val="17"/>
                <w:szCs w:val="17"/>
              </w:rPr>
              <w:t>2,709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6C1A" w14:textId="77777777" w:rsidR="00066C63" w:rsidRDefault="00066C63">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69C6C1B"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69C6C1C" w14:textId="77777777" w:rsidR="00066C63" w:rsidRDefault="009656F6">
            <w:pPr>
              <w:jc w:val="right"/>
              <w:textAlignment w:val="bottom"/>
            </w:pPr>
            <w:r>
              <w:rPr>
                <w:rFonts w:ascii="Arial" w:eastAsia="宋体" w:hAnsi="Arial" w:cs="Arial"/>
                <w:b/>
                <w:bCs/>
                <w:color w:val="000000"/>
                <w:sz w:val="17"/>
                <w:szCs w:val="17"/>
              </w:rPr>
              <w:t>1,506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6C1D" w14:textId="77777777" w:rsidR="00066C63" w:rsidRDefault="00066C63">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69C6C1E"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69C6C1F" w14:textId="77777777" w:rsidR="00066C63" w:rsidRDefault="009656F6">
            <w:pPr>
              <w:jc w:val="right"/>
              <w:textAlignment w:val="bottom"/>
            </w:pPr>
            <w:r>
              <w:rPr>
                <w:rFonts w:ascii="Arial" w:eastAsia="宋体" w:hAnsi="Arial" w:cs="Arial"/>
                <w:b/>
                <w:bCs/>
                <w:color w:val="000000"/>
                <w:sz w:val="17"/>
                <w:szCs w:val="17"/>
              </w:rPr>
              <w:t>1,414</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6C20" w14:textId="77777777" w:rsidR="00066C63" w:rsidRDefault="00066C63">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69C6C21"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69C6C22" w14:textId="77777777" w:rsidR="00066C63" w:rsidRDefault="009656F6">
            <w:pPr>
              <w:jc w:val="right"/>
              <w:textAlignment w:val="bottom"/>
            </w:pPr>
            <w:r>
              <w:rPr>
                <w:rFonts w:ascii="Arial" w:eastAsia="宋体" w:hAnsi="Arial" w:cs="Arial"/>
                <w:b/>
                <w:bCs/>
                <w:color w:val="000000"/>
                <w:sz w:val="17"/>
                <w:szCs w:val="17"/>
              </w:rPr>
              <w:t>8</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6C23" w14:textId="77777777" w:rsidR="00066C63" w:rsidRDefault="00066C63">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69C6C24"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69C6C25" w14:textId="77777777" w:rsidR="00066C63" w:rsidRDefault="009656F6">
            <w:pPr>
              <w:jc w:val="right"/>
              <w:textAlignment w:val="bottom"/>
            </w:pPr>
            <w:r>
              <w:rPr>
                <w:rFonts w:ascii="Arial" w:eastAsia="宋体" w:hAnsi="Arial" w:cs="Arial"/>
                <w:b/>
                <w:bCs/>
                <w:color w:val="000000"/>
                <w:sz w:val="17"/>
                <w:szCs w:val="17"/>
              </w:rPr>
              <w:t>9,616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6C26" w14:textId="77777777" w:rsidR="00066C63" w:rsidRDefault="00066C63">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69C6C27"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69C6C28" w14:textId="77777777" w:rsidR="00066C63" w:rsidRDefault="009656F6">
            <w:pPr>
              <w:jc w:val="right"/>
              <w:textAlignment w:val="bottom"/>
            </w:pPr>
            <w:r>
              <w:rPr>
                <w:rFonts w:ascii="Arial" w:eastAsia="宋体" w:hAnsi="Arial" w:cs="Arial"/>
                <w:b/>
                <w:bCs/>
                <w:color w:val="000000"/>
                <w:sz w:val="17"/>
                <w:szCs w:val="17"/>
              </w:rPr>
              <w:t>506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6C29" w14:textId="77777777" w:rsidR="00066C63" w:rsidRDefault="00066C63">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69C6C2A"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69C6C2B" w14:textId="77777777" w:rsidR="00066C63" w:rsidRDefault="009656F6">
            <w:pPr>
              <w:jc w:val="right"/>
              <w:textAlignment w:val="bottom"/>
            </w:pPr>
            <w:r>
              <w:rPr>
                <w:rFonts w:ascii="Arial" w:eastAsia="宋体" w:hAnsi="Arial" w:cs="Arial"/>
                <w:b/>
                <w:bCs/>
                <w:color w:val="000000"/>
                <w:sz w:val="17"/>
                <w:szCs w:val="17"/>
              </w:rPr>
              <w:t>(18)</w:t>
            </w:r>
          </w:p>
        </w:tc>
        <w:tc>
          <w:tcPr>
            <w:tcW w:w="0" w:type="auto"/>
            <w:tcBorders>
              <w:top w:val="single" w:sz="8" w:space="0" w:color="E87722"/>
            </w:tcBorders>
            <w:shd w:val="clear" w:color="auto" w:fill="auto"/>
            <w:tcMar>
              <w:top w:w="40" w:type="dxa"/>
              <w:left w:w="0" w:type="dxa"/>
              <w:bottom w:w="40" w:type="dxa"/>
              <w:right w:w="20" w:type="dxa"/>
            </w:tcMar>
            <w:vAlign w:val="bottom"/>
          </w:tcPr>
          <w:p w14:paraId="669C6C2C" w14:textId="77777777" w:rsidR="00066C63" w:rsidRDefault="00066C63">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69C6C2D"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69C6C2E" w14:textId="77777777" w:rsidR="00066C63" w:rsidRDefault="009656F6">
            <w:pPr>
              <w:jc w:val="right"/>
              <w:textAlignment w:val="bottom"/>
            </w:pPr>
            <w:r>
              <w:rPr>
                <w:rFonts w:ascii="Arial" w:eastAsia="宋体" w:hAnsi="Arial" w:cs="Arial"/>
                <w:b/>
                <w:bCs/>
                <w:color w:val="000000"/>
                <w:sz w:val="17"/>
                <w:szCs w:val="17"/>
              </w:rPr>
              <w:t>10,104</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6C2F" w14:textId="77777777" w:rsidR="00066C63" w:rsidRDefault="00066C63">
            <w:pPr>
              <w:jc w:val="right"/>
              <w:rPr>
                <w:rFonts w:ascii="宋体"/>
              </w:rPr>
            </w:pPr>
          </w:p>
        </w:tc>
      </w:tr>
      <w:tr w:rsidR="00066C63" w14:paraId="669C6C3B"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C31" w14:textId="77777777" w:rsidR="00066C63" w:rsidRDefault="009656F6">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auto"/>
            <w:tcMar>
              <w:top w:w="0" w:type="dxa"/>
              <w:left w:w="20" w:type="dxa"/>
              <w:bottom w:w="0" w:type="dxa"/>
              <w:right w:w="20" w:type="dxa"/>
            </w:tcMar>
          </w:tcPr>
          <w:p w14:paraId="669C6C32"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6C33"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6C34"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6C35"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6C36"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6C37"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6C38"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6C39"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6C3A" w14:textId="77777777" w:rsidR="00066C63" w:rsidRDefault="00066C63">
            <w:pPr>
              <w:rPr>
                <w:rFonts w:ascii="宋体"/>
              </w:rPr>
            </w:pPr>
          </w:p>
        </w:tc>
      </w:tr>
      <w:tr w:rsidR="00066C63" w14:paraId="669C6C58"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6C3C" w14:textId="77777777" w:rsidR="00066C63" w:rsidRDefault="009656F6">
            <w:pPr>
              <w:textAlignment w:val="bottom"/>
            </w:pPr>
            <w:r>
              <w:rPr>
                <w:rFonts w:ascii="Arial" w:eastAsia="宋体" w:hAnsi="Arial" w:cs="Arial"/>
                <w:color w:val="000000"/>
                <w:sz w:val="17"/>
                <w:szCs w:val="17"/>
              </w:rPr>
              <w:t>Sales to Wholesale Customers</w:t>
            </w:r>
          </w:p>
        </w:tc>
        <w:tc>
          <w:tcPr>
            <w:tcW w:w="0" w:type="auto"/>
            <w:tcBorders>
              <w:top w:val="single" w:sz="8" w:space="0" w:color="808080"/>
            </w:tcBorders>
            <w:shd w:val="clear" w:color="auto" w:fill="auto"/>
            <w:tcMar>
              <w:top w:w="40" w:type="dxa"/>
              <w:left w:w="20" w:type="dxa"/>
              <w:bottom w:w="40" w:type="dxa"/>
              <w:right w:w="0" w:type="dxa"/>
            </w:tcMar>
            <w:vAlign w:val="bottom"/>
          </w:tcPr>
          <w:p w14:paraId="669C6C3D"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669C6C3E" w14:textId="77777777" w:rsidR="00066C63" w:rsidRDefault="009656F6">
            <w:pPr>
              <w:jc w:val="right"/>
              <w:textAlignment w:val="bottom"/>
            </w:pPr>
            <w:r>
              <w:rPr>
                <w:rFonts w:ascii="Arial" w:eastAsia="宋体" w:hAnsi="Arial" w:cs="Arial"/>
                <w:color w:val="000000"/>
                <w:sz w:val="17"/>
                <w:szCs w:val="17"/>
              </w:rPr>
              <w:t>2,521 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C3F" w14:textId="77777777" w:rsidR="00066C63" w:rsidRDefault="00066C63">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669C6C40"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669C6C41" w14:textId="77777777" w:rsidR="00066C63" w:rsidRDefault="009656F6">
            <w:pPr>
              <w:jc w:val="right"/>
              <w:textAlignment w:val="bottom"/>
            </w:pPr>
            <w:r>
              <w:rPr>
                <w:rFonts w:ascii="Arial" w:eastAsia="宋体" w:hAnsi="Arial" w:cs="Arial"/>
                <w:color w:val="000000"/>
                <w:sz w:val="17"/>
                <w:szCs w:val="17"/>
              </w:rPr>
              <w:t>1,956 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C42" w14:textId="77777777" w:rsidR="00066C63" w:rsidRDefault="00066C63">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669C6C43"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669C6C44" w14:textId="77777777" w:rsidR="00066C63" w:rsidRDefault="009656F6">
            <w:pPr>
              <w:jc w:val="right"/>
              <w:textAlignment w:val="bottom"/>
            </w:pPr>
            <w:r>
              <w:rPr>
                <w:rFonts w:ascii="Arial" w:eastAsia="宋体" w:hAnsi="Arial" w:cs="Arial"/>
                <w:color w:val="000000"/>
                <w:sz w:val="17"/>
                <w:szCs w:val="17"/>
              </w:rPr>
              <w:t>881 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C45" w14:textId="77777777" w:rsidR="00066C63" w:rsidRDefault="00066C63">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669C6C46"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669C6C47" w14:textId="77777777" w:rsidR="00066C63" w:rsidRDefault="009656F6">
            <w:pPr>
              <w:jc w:val="right"/>
              <w:textAlignment w:val="bottom"/>
            </w:pPr>
            <w:r>
              <w:rPr>
                <w:rFonts w:ascii="Arial" w:eastAsia="宋体" w:hAnsi="Arial" w:cs="Arial"/>
                <w:color w:val="000000"/>
                <w:sz w:val="17"/>
                <w:szCs w:val="17"/>
              </w:rPr>
              <w:t>953 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C48" w14:textId="77777777" w:rsidR="00066C63" w:rsidRDefault="00066C63">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669C6C49"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669C6C4A" w14:textId="77777777" w:rsidR="00066C63" w:rsidRDefault="009656F6">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C4B" w14:textId="77777777" w:rsidR="00066C63" w:rsidRDefault="00066C63">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669C6C4C"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669C6C4D" w14:textId="77777777" w:rsidR="00066C63" w:rsidRDefault="009656F6">
            <w:pPr>
              <w:jc w:val="right"/>
              <w:textAlignment w:val="bottom"/>
            </w:pPr>
            <w:r>
              <w:rPr>
                <w:rFonts w:ascii="Arial" w:eastAsia="宋体" w:hAnsi="Arial" w:cs="Arial"/>
                <w:color w:val="000000"/>
                <w:sz w:val="17"/>
                <w:szCs w:val="17"/>
              </w:rPr>
              <w:t>6,311 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C4E" w14:textId="77777777" w:rsidR="00066C63" w:rsidRDefault="00066C63">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669C6C4F"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669C6C50" w14:textId="77777777" w:rsidR="00066C63" w:rsidRDefault="009656F6">
            <w:pPr>
              <w:jc w:val="right"/>
              <w:textAlignment w:val="bottom"/>
            </w:pPr>
            <w:r>
              <w:rPr>
                <w:rFonts w:ascii="Arial" w:eastAsia="宋体" w:hAnsi="Arial" w:cs="Arial"/>
                <w:color w:val="000000"/>
                <w:sz w:val="17"/>
                <w:szCs w:val="17"/>
              </w:rPr>
              <w:t>330 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C51" w14:textId="77777777" w:rsidR="00066C63" w:rsidRDefault="00066C63">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669C6C52"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669C6C53" w14:textId="77777777" w:rsidR="00066C63" w:rsidRDefault="009656F6">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C54" w14:textId="77777777" w:rsidR="00066C63" w:rsidRDefault="00066C63">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669C6C55"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669C6C56" w14:textId="77777777" w:rsidR="00066C63" w:rsidRDefault="009656F6">
            <w:pPr>
              <w:jc w:val="right"/>
              <w:textAlignment w:val="bottom"/>
            </w:pPr>
            <w:r>
              <w:rPr>
                <w:rFonts w:ascii="Arial" w:eastAsia="宋体" w:hAnsi="Arial" w:cs="Arial"/>
                <w:color w:val="000000"/>
                <w:sz w:val="17"/>
                <w:szCs w:val="17"/>
              </w:rPr>
              <w:t>6,641 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C57" w14:textId="77777777" w:rsidR="00066C63" w:rsidRDefault="00066C63">
            <w:pPr>
              <w:jc w:val="right"/>
              <w:rPr>
                <w:rFonts w:ascii="宋体"/>
              </w:rPr>
            </w:pPr>
          </w:p>
        </w:tc>
      </w:tr>
      <w:tr w:rsidR="00066C63" w14:paraId="669C6C6C"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6C59" w14:textId="77777777" w:rsidR="00066C63" w:rsidRDefault="009656F6">
            <w:pPr>
              <w:textAlignment w:val="bottom"/>
            </w:pPr>
            <w:r>
              <w:rPr>
                <w:rFonts w:ascii="Arial" w:eastAsia="宋体" w:hAnsi="Arial" w:cs="Arial"/>
                <w:color w:val="000000"/>
                <w:sz w:val="17"/>
                <w:szCs w:val="17"/>
              </w:rPr>
              <w:t>Sales through Direct to Consumer</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C5A" w14:textId="77777777" w:rsidR="00066C63" w:rsidRDefault="009656F6">
            <w:pPr>
              <w:jc w:val="right"/>
              <w:textAlignment w:val="bottom"/>
            </w:pPr>
            <w:r>
              <w:rPr>
                <w:rFonts w:ascii="Arial" w:eastAsia="宋体" w:hAnsi="Arial" w:cs="Arial"/>
                <w:color w:val="000000"/>
                <w:sz w:val="17"/>
                <w:szCs w:val="17"/>
              </w:rPr>
              <w:t>1,458 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C5B"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C5C" w14:textId="77777777" w:rsidR="00066C63" w:rsidRDefault="009656F6">
            <w:pPr>
              <w:jc w:val="right"/>
              <w:textAlignment w:val="bottom"/>
            </w:pPr>
            <w:r>
              <w:rPr>
                <w:rFonts w:ascii="Arial" w:eastAsia="宋体" w:hAnsi="Arial" w:cs="Arial"/>
                <w:color w:val="000000"/>
                <w:sz w:val="17"/>
                <w:szCs w:val="17"/>
              </w:rPr>
              <w:t>753 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C5D"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C5E" w14:textId="77777777" w:rsidR="00066C63" w:rsidRDefault="009656F6">
            <w:pPr>
              <w:jc w:val="right"/>
              <w:textAlignment w:val="bottom"/>
            </w:pPr>
            <w:r>
              <w:rPr>
                <w:rFonts w:ascii="Arial" w:eastAsia="宋体" w:hAnsi="Arial" w:cs="Arial"/>
                <w:color w:val="000000"/>
                <w:sz w:val="17"/>
                <w:szCs w:val="17"/>
              </w:rPr>
              <w:t>625 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C5F"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C60" w14:textId="77777777" w:rsidR="00066C63" w:rsidRDefault="009656F6">
            <w:pPr>
              <w:jc w:val="right"/>
              <w:textAlignment w:val="bottom"/>
            </w:pPr>
            <w:r>
              <w:rPr>
                <w:rFonts w:ascii="Arial" w:eastAsia="宋体" w:hAnsi="Arial" w:cs="Arial"/>
                <w:color w:val="000000"/>
                <w:sz w:val="17"/>
                <w:szCs w:val="17"/>
              </w:rPr>
              <w:t>461 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C61"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C62" w14:textId="77777777" w:rsidR="00066C63" w:rsidRDefault="009656F6">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C63"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C64" w14:textId="77777777" w:rsidR="00066C63" w:rsidRDefault="009656F6">
            <w:pPr>
              <w:jc w:val="right"/>
              <w:textAlignment w:val="bottom"/>
            </w:pPr>
            <w:r>
              <w:rPr>
                <w:rFonts w:ascii="Arial" w:eastAsia="宋体" w:hAnsi="Arial" w:cs="Arial"/>
                <w:color w:val="000000"/>
                <w:sz w:val="17"/>
                <w:szCs w:val="17"/>
              </w:rPr>
              <w:t>3,297 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C65"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C66" w14:textId="77777777" w:rsidR="00066C63" w:rsidRDefault="009656F6">
            <w:pPr>
              <w:jc w:val="right"/>
              <w:textAlignment w:val="bottom"/>
            </w:pPr>
            <w:r>
              <w:rPr>
                <w:rFonts w:ascii="Arial" w:eastAsia="宋体" w:hAnsi="Arial" w:cs="Arial"/>
                <w:color w:val="000000"/>
                <w:sz w:val="17"/>
                <w:szCs w:val="17"/>
              </w:rPr>
              <w:t>150 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C67"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C68" w14:textId="77777777" w:rsidR="00066C63" w:rsidRDefault="009656F6">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C69"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C6A" w14:textId="77777777" w:rsidR="00066C63" w:rsidRDefault="009656F6">
            <w:pPr>
              <w:jc w:val="right"/>
              <w:textAlignment w:val="bottom"/>
            </w:pPr>
            <w:r>
              <w:rPr>
                <w:rFonts w:ascii="Arial" w:eastAsia="宋体" w:hAnsi="Arial" w:cs="Arial"/>
                <w:color w:val="000000"/>
                <w:sz w:val="17"/>
                <w:szCs w:val="17"/>
              </w:rPr>
              <w:t>3,447 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C6B" w14:textId="77777777" w:rsidR="00066C63" w:rsidRDefault="00066C63">
            <w:pPr>
              <w:jc w:val="right"/>
              <w:rPr>
                <w:rFonts w:ascii="宋体"/>
              </w:rPr>
            </w:pPr>
          </w:p>
        </w:tc>
      </w:tr>
      <w:tr w:rsidR="00066C63" w14:paraId="669C6C80"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6C6D" w14:textId="77777777" w:rsidR="00066C63" w:rsidRDefault="009656F6">
            <w:pPr>
              <w:textAlignment w:val="bottom"/>
            </w:pPr>
            <w:r>
              <w:rPr>
                <w:rFonts w:ascii="Arial" w:eastAsia="宋体" w:hAnsi="Arial" w:cs="Arial"/>
                <w:color w:val="000000"/>
                <w:sz w:val="17"/>
                <w:szCs w:val="17"/>
              </w:rPr>
              <w:t>Other</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C6E" w14:textId="77777777" w:rsidR="00066C63" w:rsidRDefault="009656F6">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C6F"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C70" w14:textId="77777777" w:rsidR="00066C63" w:rsidRDefault="009656F6">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C71"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C72" w14:textId="77777777" w:rsidR="00066C63" w:rsidRDefault="009656F6">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C73"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C74" w14:textId="77777777" w:rsidR="00066C63" w:rsidRDefault="009656F6">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C75"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C76" w14:textId="77777777" w:rsidR="00066C63" w:rsidRDefault="009656F6">
            <w:pPr>
              <w:jc w:val="right"/>
              <w:textAlignment w:val="bottom"/>
            </w:pPr>
            <w:r>
              <w:rPr>
                <w:rFonts w:ascii="Arial" w:eastAsia="宋体" w:hAnsi="Arial" w:cs="Arial"/>
                <w:color w:val="000000"/>
                <w:sz w:val="17"/>
                <w:szCs w:val="17"/>
              </w:rPr>
              <w:t>8 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C77"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C78" w14:textId="77777777" w:rsidR="00066C63" w:rsidRDefault="009656F6">
            <w:pPr>
              <w:jc w:val="right"/>
              <w:textAlignment w:val="bottom"/>
            </w:pPr>
            <w:r>
              <w:rPr>
                <w:rFonts w:ascii="Arial" w:eastAsia="宋体" w:hAnsi="Arial" w:cs="Arial"/>
                <w:color w:val="000000"/>
                <w:sz w:val="17"/>
                <w:szCs w:val="17"/>
              </w:rPr>
              <w:t>8 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C79"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C7A" w14:textId="77777777" w:rsidR="00066C63" w:rsidRDefault="009656F6">
            <w:pPr>
              <w:jc w:val="right"/>
              <w:textAlignment w:val="bottom"/>
            </w:pPr>
            <w:r>
              <w:rPr>
                <w:rFonts w:ascii="Arial" w:eastAsia="宋体" w:hAnsi="Arial" w:cs="Arial"/>
                <w:color w:val="000000"/>
                <w:sz w:val="17"/>
                <w:szCs w:val="17"/>
              </w:rPr>
              <w:t>26 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C7B"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C7C" w14:textId="77777777" w:rsidR="00066C63" w:rsidRDefault="009656F6">
            <w:pPr>
              <w:jc w:val="right"/>
              <w:textAlignment w:val="bottom"/>
            </w:pPr>
            <w:r>
              <w:rPr>
                <w:rFonts w:ascii="Arial" w:eastAsia="宋体" w:hAnsi="Arial" w:cs="Arial"/>
                <w:color w:val="000000"/>
                <w:sz w:val="17"/>
                <w:szCs w:val="17"/>
              </w:rPr>
              <w:t>(18)</w:t>
            </w:r>
          </w:p>
        </w:tc>
        <w:tc>
          <w:tcPr>
            <w:tcW w:w="0" w:type="auto"/>
            <w:tcBorders>
              <w:top w:val="single" w:sz="8" w:space="0" w:color="808080"/>
            </w:tcBorders>
            <w:shd w:val="clear" w:color="auto" w:fill="auto"/>
            <w:tcMar>
              <w:top w:w="40" w:type="dxa"/>
              <w:left w:w="0" w:type="dxa"/>
              <w:bottom w:w="40" w:type="dxa"/>
              <w:right w:w="20" w:type="dxa"/>
            </w:tcMar>
            <w:vAlign w:val="bottom"/>
          </w:tcPr>
          <w:p w14:paraId="669C6C7D"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C7E" w14:textId="77777777" w:rsidR="00066C63" w:rsidRDefault="009656F6">
            <w:pPr>
              <w:jc w:val="right"/>
              <w:textAlignment w:val="bottom"/>
            </w:pPr>
            <w:r>
              <w:rPr>
                <w:rFonts w:ascii="Arial" w:eastAsia="宋体" w:hAnsi="Arial" w:cs="Arial"/>
                <w:color w:val="000000"/>
                <w:sz w:val="17"/>
                <w:szCs w:val="17"/>
              </w:rPr>
              <w:t>16 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C7F" w14:textId="77777777" w:rsidR="00066C63" w:rsidRDefault="00066C63">
            <w:pPr>
              <w:jc w:val="right"/>
              <w:rPr>
                <w:rFonts w:ascii="宋体"/>
              </w:rPr>
            </w:pPr>
          </w:p>
        </w:tc>
      </w:tr>
      <w:tr w:rsidR="00066C63" w14:paraId="669C6C9D"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669C6C81" w14:textId="77777777" w:rsidR="00066C63" w:rsidRDefault="009656F6">
            <w:pPr>
              <w:textAlignment w:val="bottom"/>
            </w:pPr>
            <w:r>
              <w:rPr>
                <w:rFonts w:ascii="Arial" w:eastAsia="宋体" w:hAnsi="Arial" w:cs="Arial"/>
                <w:b/>
                <w:bCs/>
                <w:color w:val="000000"/>
                <w:sz w:val="17"/>
                <w:szCs w:val="17"/>
              </w:rPr>
              <w:t>TOTAL REVENUES</w:t>
            </w: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69C6C82"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69C6C83" w14:textId="77777777" w:rsidR="00066C63" w:rsidRDefault="009656F6">
            <w:pPr>
              <w:jc w:val="right"/>
              <w:textAlignment w:val="bottom"/>
            </w:pPr>
            <w:r>
              <w:rPr>
                <w:rFonts w:ascii="Arial" w:eastAsia="宋体" w:hAnsi="Arial" w:cs="Arial"/>
                <w:b/>
                <w:bCs/>
                <w:color w:val="000000"/>
                <w:sz w:val="17"/>
                <w:szCs w:val="17"/>
              </w:rPr>
              <w:t>3,979</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69C6C84" w14:textId="77777777" w:rsidR="00066C63" w:rsidRDefault="00066C63">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69C6C85"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69C6C86" w14:textId="77777777" w:rsidR="00066C63" w:rsidRDefault="009656F6">
            <w:pPr>
              <w:jc w:val="right"/>
              <w:textAlignment w:val="bottom"/>
            </w:pPr>
            <w:r>
              <w:rPr>
                <w:rFonts w:ascii="Arial" w:eastAsia="宋体" w:hAnsi="Arial" w:cs="Arial"/>
                <w:b/>
                <w:bCs/>
                <w:color w:val="000000"/>
                <w:sz w:val="17"/>
                <w:szCs w:val="17"/>
              </w:rPr>
              <w:t>2,709</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69C6C87" w14:textId="77777777" w:rsidR="00066C63" w:rsidRDefault="00066C63">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69C6C88"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69C6C89" w14:textId="77777777" w:rsidR="00066C63" w:rsidRDefault="009656F6">
            <w:pPr>
              <w:jc w:val="right"/>
              <w:textAlignment w:val="bottom"/>
            </w:pPr>
            <w:r>
              <w:rPr>
                <w:rFonts w:ascii="Arial" w:eastAsia="宋体" w:hAnsi="Arial" w:cs="Arial"/>
                <w:b/>
                <w:bCs/>
                <w:color w:val="000000"/>
                <w:sz w:val="17"/>
                <w:szCs w:val="17"/>
              </w:rPr>
              <w:t>1,506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69C6C8A" w14:textId="77777777" w:rsidR="00066C63" w:rsidRDefault="00066C63">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69C6C8B"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69C6C8C" w14:textId="77777777" w:rsidR="00066C63" w:rsidRDefault="009656F6">
            <w:pPr>
              <w:jc w:val="right"/>
              <w:textAlignment w:val="bottom"/>
            </w:pPr>
            <w:r>
              <w:rPr>
                <w:rFonts w:ascii="Arial" w:eastAsia="宋体" w:hAnsi="Arial" w:cs="Arial"/>
                <w:b/>
                <w:bCs/>
                <w:color w:val="000000"/>
                <w:sz w:val="17"/>
                <w:szCs w:val="17"/>
              </w:rPr>
              <w:t>1,414</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69C6C8D" w14:textId="77777777" w:rsidR="00066C63" w:rsidRDefault="00066C63">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69C6C8E"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69C6C8F" w14:textId="77777777" w:rsidR="00066C63" w:rsidRDefault="009656F6">
            <w:pPr>
              <w:jc w:val="right"/>
              <w:textAlignment w:val="bottom"/>
            </w:pPr>
            <w:r>
              <w:rPr>
                <w:rFonts w:ascii="Arial" w:eastAsia="宋体" w:hAnsi="Arial" w:cs="Arial"/>
                <w:b/>
                <w:bCs/>
                <w:color w:val="000000"/>
                <w:sz w:val="17"/>
                <w:szCs w:val="17"/>
              </w:rPr>
              <w:t>8</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69C6C90" w14:textId="77777777" w:rsidR="00066C63" w:rsidRDefault="00066C63">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69C6C91"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69C6C92" w14:textId="77777777" w:rsidR="00066C63" w:rsidRDefault="009656F6">
            <w:pPr>
              <w:jc w:val="right"/>
              <w:textAlignment w:val="bottom"/>
            </w:pPr>
            <w:r>
              <w:rPr>
                <w:rFonts w:ascii="Arial" w:eastAsia="宋体" w:hAnsi="Arial" w:cs="Arial"/>
                <w:b/>
                <w:bCs/>
                <w:color w:val="000000"/>
                <w:sz w:val="17"/>
                <w:szCs w:val="17"/>
              </w:rPr>
              <w:t>9,616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69C6C93" w14:textId="77777777" w:rsidR="00066C63" w:rsidRDefault="00066C63">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69C6C94"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69C6C95" w14:textId="77777777" w:rsidR="00066C63" w:rsidRDefault="009656F6">
            <w:pPr>
              <w:jc w:val="right"/>
              <w:textAlignment w:val="bottom"/>
            </w:pPr>
            <w:r>
              <w:rPr>
                <w:rFonts w:ascii="Arial" w:eastAsia="宋体" w:hAnsi="Arial" w:cs="Arial"/>
                <w:b/>
                <w:bCs/>
                <w:color w:val="000000"/>
                <w:sz w:val="17"/>
                <w:szCs w:val="17"/>
              </w:rPr>
              <w:t>506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69C6C96" w14:textId="77777777" w:rsidR="00066C63" w:rsidRDefault="00066C63">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69C6C97"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69C6C98" w14:textId="77777777" w:rsidR="00066C63" w:rsidRDefault="009656F6">
            <w:pPr>
              <w:jc w:val="right"/>
              <w:textAlignment w:val="bottom"/>
            </w:pPr>
            <w:r>
              <w:rPr>
                <w:rFonts w:ascii="Arial" w:eastAsia="宋体" w:hAnsi="Arial" w:cs="Arial"/>
                <w:b/>
                <w:bCs/>
                <w:color w:val="000000"/>
                <w:sz w:val="17"/>
                <w:szCs w:val="17"/>
              </w:rPr>
              <w:t>(18)</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69C6C99" w14:textId="77777777" w:rsidR="00066C63" w:rsidRDefault="00066C63">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69C6C9A"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69C6C9B" w14:textId="77777777" w:rsidR="00066C63" w:rsidRDefault="009656F6">
            <w:pPr>
              <w:jc w:val="right"/>
              <w:textAlignment w:val="bottom"/>
            </w:pPr>
            <w:r>
              <w:rPr>
                <w:rFonts w:ascii="Arial" w:eastAsia="宋体" w:hAnsi="Arial" w:cs="Arial"/>
                <w:b/>
                <w:bCs/>
                <w:color w:val="000000"/>
                <w:sz w:val="17"/>
                <w:szCs w:val="17"/>
              </w:rPr>
              <w:t>10,104</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69C6C9C" w14:textId="77777777" w:rsidR="00066C63" w:rsidRDefault="00066C63">
            <w:pPr>
              <w:jc w:val="right"/>
              <w:rPr>
                <w:rFonts w:ascii="宋体"/>
              </w:rPr>
            </w:pPr>
          </w:p>
        </w:tc>
      </w:tr>
    </w:tbl>
    <w:p w14:paraId="669C6C9E" w14:textId="77777777" w:rsidR="00066C63" w:rsidRDefault="009656F6">
      <w:pPr>
        <w:spacing w:before="120" w:after="120"/>
        <w:jc w:val="right"/>
      </w:pPr>
      <w:r>
        <w:rPr>
          <w:rFonts w:ascii="Arial" w:eastAsia="宋体" w:hAnsi="Arial" w:cs="Arial"/>
          <w:color w:val="E87722"/>
          <w:sz w:val="17"/>
          <w:szCs w:val="17"/>
        </w:rPr>
        <w:t>19</w:t>
      </w:r>
    </w:p>
    <w:p w14:paraId="669C6C9F" w14:textId="77777777" w:rsidR="00066C63" w:rsidRDefault="009656F6">
      <w:r>
        <w:pict w14:anchorId="669C7E43">
          <v:rect id="_x0000_i1045" style="width:415.3pt;height:1.5pt" o:hralign="center" o:hrstd="t" o:hr="t" fillcolor="#a0a0a0" stroked="f"/>
        </w:pict>
      </w:r>
    </w:p>
    <w:p w14:paraId="669C6CA0" w14:textId="77777777" w:rsidR="00066C63" w:rsidRDefault="00066C63"/>
    <w:p w14:paraId="669C6CA1" w14:textId="77777777" w:rsidR="00066C63" w:rsidRDefault="009656F6">
      <w:hyperlink r:id="rId90" w:anchor="i1e99cb26debe49fe8b698d0f0eb1273a_7" w:history="1">
        <w:r>
          <w:rPr>
            <w:rStyle w:val="a5"/>
            <w:rFonts w:ascii="sans-serif" w:eastAsia="sans-serif" w:hAnsi="sans-serif" w:cs="sans-serif"/>
            <w:sz w:val="17"/>
            <w:szCs w:val="17"/>
          </w:rPr>
          <w:t>Table of C</w:t>
        </w:r>
        <w:r>
          <w:rPr>
            <w:rStyle w:val="a5"/>
            <w:rFonts w:ascii="sans-serif" w:eastAsia="sans-serif" w:hAnsi="sans-serif" w:cs="sans-serif"/>
            <w:sz w:val="17"/>
            <w:szCs w:val="17"/>
          </w:rPr>
          <w:t>ontents</w:t>
        </w:r>
      </w:hyperlink>
    </w:p>
    <w:p w14:paraId="669C6CA2" w14:textId="77777777" w:rsidR="00066C63" w:rsidRDefault="00066C63"/>
    <w:p w14:paraId="669C6CA3" w14:textId="77777777" w:rsidR="00066C63" w:rsidRDefault="00066C63"/>
    <w:tbl>
      <w:tblPr>
        <w:tblW w:w="5000" w:type="pct"/>
        <w:tblCellMar>
          <w:top w:w="15" w:type="dxa"/>
          <w:left w:w="15" w:type="dxa"/>
          <w:bottom w:w="15" w:type="dxa"/>
          <w:right w:w="15" w:type="dxa"/>
        </w:tblCellMar>
        <w:tblLook w:val="04A0" w:firstRow="1" w:lastRow="0" w:firstColumn="1" w:lastColumn="0" w:noHBand="0" w:noVBand="1"/>
      </w:tblPr>
      <w:tblGrid>
        <w:gridCol w:w="43"/>
        <w:gridCol w:w="1105"/>
        <w:gridCol w:w="39"/>
        <w:gridCol w:w="115"/>
        <w:gridCol w:w="568"/>
        <w:gridCol w:w="36"/>
        <w:gridCol w:w="116"/>
        <w:gridCol w:w="572"/>
        <w:gridCol w:w="36"/>
        <w:gridCol w:w="116"/>
        <w:gridCol w:w="600"/>
        <w:gridCol w:w="36"/>
        <w:gridCol w:w="116"/>
        <w:gridCol w:w="729"/>
        <w:gridCol w:w="36"/>
        <w:gridCol w:w="116"/>
        <w:gridCol w:w="671"/>
        <w:gridCol w:w="36"/>
        <w:gridCol w:w="115"/>
        <w:gridCol w:w="568"/>
        <w:gridCol w:w="36"/>
        <w:gridCol w:w="116"/>
        <w:gridCol w:w="699"/>
        <w:gridCol w:w="36"/>
        <w:gridCol w:w="116"/>
        <w:gridCol w:w="809"/>
        <w:gridCol w:w="36"/>
        <w:gridCol w:w="115"/>
        <w:gridCol w:w="568"/>
        <w:gridCol w:w="36"/>
      </w:tblGrid>
      <w:tr w:rsidR="00066C63" w14:paraId="669C6CC2" w14:textId="77777777">
        <w:tc>
          <w:tcPr>
            <w:tcW w:w="50" w:type="pct"/>
            <w:shd w:val="clear" w:color="auto" w:fill="auto"/>
          </w:tcPr>
          <w:p w14:paraId="669C6CA4" w14:textId="77777777" w:rsidR="00066C63" w:rsidRDefault="00066C63">
            <w:pPr>
              <w:rPr>
                <w:rFonts w:ascii="宋体"/>
              </w:rPr>
            </w:pPr>
          </w:p>
        </w:tc>
        <w:tc>
          <w:tcPr>
            <w:tcW w:w="1110" w:type="pct"/>
            <w:shd w:val="clear" w:color="auto" w:fill="auto"/>
          </w:tcPr>
          <w:p w14:paraId="669C6CA5" w14:textId="77777777" w:rsidR="00066C63" w:rsidRDefault="00066C63">
            <w:pPr>
              <w:rPr>
                <w:rFonts w:ascii="宋体"/>
              </w:rPr>
            </w:pPr>
          </w:p>
        </w:tc>
        <w:tc>
          <w:tcPr>
            <w:tcW w:w="5" w:type="pct"/>
            <w:shd w:val="clear" w:color="auto" w:fill="auto"/>
          </w:tcPr>
          <w:p w14:paraId="669C6CA6" w14:textId="77777777" w:rsidR="00066C63" w:rsidRDefault="00066C63">
            <w:pPr>
              <w:rPr>
                <w:rFonts w:ascii="宋体"/>
              </w:rPr>
            </w:pPr>
          </w:p>
        </w:tc>
        <w:tc>
          <w:tcPr>
            <w:tcW w:w="50" w:type="pct"/>
            <w:shd w:val="clear" w:color="auto" w:fill="auto"/>
          </w:tcPr>
          <w:p w14:paraId="669C6CA7" w14:textId="77777777" w:rsidR="00066C63" w:rsidRDefault="00066C63">
            <w:pPr>
              <w:rPr>
                <w:rFonts w:ascii="宋体"/>
              </w:rPr>
            </w:pPr>
          </w:p>
        </w:tc>
        <w:tc>
          <w:tcPr>
            <w:tcW w:w="353" w:type="pct"/>
            <w:shd w:val="clear" w:color="auto" w:fill="auto"/>
          </w:tcPr>
          <w:p w14:paraId="669C6CA8" w14:textId="77777777" w:rsidR="00066C63" w:rsidRDefault="00066C63">
            <w:pPr>
              <w:rPr>
                <w:rFonts w:ascii="宋体"/>
              </w:rPr>
            </w:pPr>
          </w:p>
        </w:tc>
        <w:tc>
          <w:tcPr>
            <w:tcW w:w="5" w:type="pct"/>
            <w:shd w:val="clear" w:color="auto" w:fill="auto"/>
          </w:tcPr>
          <w:p w14:paraId="669C6CA9" w14:textId="77777777" w:rsidR="00066C63" w:rsidRDefault="00066C63">
            <w:pPr>
              <w:rPr>
                <w:rFonts w:ascii="宋体"/>
              </w:rPr>
            </w:pPr>
          </w:p>
        </w:tc>
        <w:tc>
          <w:tcPr>
            <w:tcW w:w="50" w:type="pct"/>
            <w:shd w:val="clear" w:color="auto" w:fill="auto"/>
          </w:tcPr>
          <w:p w14:paraId="669C6CAA" w14:textId="77777777" w:rsidR="00066C63" w:rsidRDefault="00066C63">
            <w:pPr>
              <w:rPr>
                <w:rFonts w:ascii="宋体"/>
              </w:rPr>
            </w:pPr>
          </w:p>
        </w:tc>
        <w:tc>
          <w:tcPr>
            <w:tcW w:w="353" w:type="pct"/>
            <w:shd w:val="clear" w:color="auto" w:fill="auto"/>
          </w:tcPr>
          <w:p w14:paraId="669C6CAB" w14:textId="77777777" w:rsidR="00066C63" w:rsidRDefault="00066C63">
            <w:pPr>
              <w:rPr>
                <w:rFonts w:ascii="宋体"/>
              </w:rPr>
            </w:pPr>
          </w:p>
        </w:tc>
        <w:tc>
          <w:tcPr>
            <w:tcW w:w="5" w:type="pct"/>
            <w:shd w:val="clear" w:color="auto" w:fill="auto"/>
          </w:tcPr>
          <w:p w14:paraId="669C6CAC" w14:textId="77777777" w:rsidR="00066C63" w:rsidRDefault="00066C63">
            <w:pPr>
              <w:rPr>
                <w:rFonts w:ascii="宋体"/>
              </w:rPr>
            </w:pPr>
          </w:p>
        </w:tc>
        <w:tc>
          <w:tcPr>
            <w:tcW w:w="50" w:type="pct"/>
            <w:shd w:val="clear" w:color="auto" w:fill="auto"/>
          </w:tcPr>
          <w:p w14:paraId="669C6CAD" w14:textId="77777777" w:rsidR="00066C63" w:rsidRDefault="00066C63">
            <w:pPr>
              <w:rPr>
                <w:rFonts w:ascii="宋体"/>
              </w:rPr>
            </w:pPr>
          </w:p>
        </w:tc>
        <w:tc>
          <w:tcPr>
            <w:tcW w:w="353" w:type="pct"/>
            <w:shd w:val="clear" w:color="auto" w:fill="auto"/>
          </w:tcPr>
          <w:p w14:paraId="669C6CAE" w14:textId="77777777" w:rsidR="00066C63" w:rsidRDefault="00066C63">
            <w:pPr>
              <w:rPr>
                <w:rFonts w:ascii="宋体"/>
              </w:rPr>
            </w:pPr>
          </w:p>
        </w:tc>
        <w:tc>
          <w:tcPr>
            <w:tcW w:w="5" w:type="pct"/>
            <w:shd w:val="clear" w:color="auto" w:fill="auto"/>
          </w:tcPr>
          <w:p w14:paraId="669C6CAF" w14:textId="77777777" w:rsidR="00066C63" w:rsidRDefault="00066C63">
            <w:pPr>
              <w:rPr>
                <w:rFonts w:ascii="宋体"/>
              </w:rPr>
            </w:pPr>
          </w:p>
        </w:tc>
        <w:tc>
          <w:tcPr>
            <w:tcW w:w="50" w:type="pct"/>
            <w:shd w:val="clear" w:color="auto" w:fill="auto"/>
          </w:tcPr>
          <w:p w14:paraId="669C6CB0" w14:textId="77777777" w:rsidR="00066C63" w:rsidRDefault="00066C63">
            <w:pPr>
              <w:rPr>
                <w:rFonts w:ascii="宋体"/>
              </w:rPr>
            </w:pPr>
          </w:p>
        </w:tc>
        <w:tc>
          <w:tcPr>
            <w:tcW w:w="384" w:type="pct"/>
            <w:shd w:val="clear" w:color="auto" w:fill="auto"/>
          </w:tcPr>
          <w:p w14:paraId="669C6CB1" w14:textId="77777777" w:rsidR="00066C63" w:rsidRDefault="00066C63">
            <w:pPr>
              <w:rPr>
                <w:rFonts w:ascii="宋体"/>
              </w:rPr>
            </w:pPr>
          </w:p>
        </w:tc>
        <w:tc>
          <w:tcPr>
            <w:tcW w:w="5" w:type="pct"/>
            <w:shd w:val="clear" w:color="auto" w:fill="auto"/>
          </w:tcPr>
          <w:p w14:paraId="669C6CB2" w14:textId="77777777" w:rsidR="00066C63" w:rsidRDefault="00066C63">
            <w:pPr>
              <w:rPr>
                <w:rFonts w:ascii="宋体"/>
              </w:rPr>
            </w:pPr>
          </w:p>
        </w:tc>
        <w:tc>
          <w:tcPr>
            <w:tcW w:w="50" w:type="pct"/>
            <w:shd w:val="clear" w:color="auto" w:fill="auto"/>
          </w:tcPr>
          <w:p w14:paraId="669C6CB3" w14:textId="77777777" w:rsidR="00066C63" w:rsidRDefault="00066C63">
            <w:pPr>
              <w:rPr>
                <w:rFonts w:ascii="宋体"/>
              </w:rPr>
            </w:pPr>
          </w:p>
        </w:tc>
        <w:tc>
          <w:tcPr>
            <w:tcW w:w="369" w:type="pct"/>
            <w:shd w:val="clear" w:color="auto" w:fill="auto"/>
          </w:tcPr>
          <w:p w14:paraId="669C6CB4" w14:textId="77777777" w:rsidR="00066C63" w:rsidRDefault="00066C63">
            <w:pPr>
              <w:rPr>
                <w:rFonts w:ascii="宋体"/>
              </w:rPr>
            </w:pPr>
          </w:p>
        </w:tc>
        <w:tc>
          <w:tcPr>
            <w:tcW w:w="5" w:type="pct"/>
            <w:shd w:val="clear" w:color="auto" w:fill="auto"/>
          </w:tcPr>
          <w:p w14:paraId="669C6CB5" w14:textId="77777777" w:rsidR="00066C63" w:rsidRDefault="00066C63">
            <w:pPr>
              <w:rPr>
                <w:rFonts w:ascii="宋体"/>
              </w:rPr>
            </w:pPr>
          </w:p>
        </w:tc>
        <w:tc>
          <w:tcPr>
            <w:tcW w:w="50" w:type="pct"/>
            <w:shd w:val="clear" w:color="auto" w:fill="auto"/>
          </w:tcPr>
          <w:p w14:paraId="669C6CB6" w14:textId="77777777" w:rsidR="00066C63" w:rsidRDefault="00066C63">
            <w:pPr>
              <w:rPr>
                <w:rFonts w:ascii="宋体"/>
              </w:rPr>
            </w:pPr>
          </w:p>
        </w:tc>
        <w:tc>
          <w:tcPr>
            <w:tcW w:w="353" w:type="pct"/>
            <w:shd w:val="clear" w:color="auto" w:fill="auto"/>
          </w:tcPr>
          <w:p w14:paraId="669C6CB7" w14:textId="77777777" w:rsidR="00066C63" w:rsidRDefault="00066C63">
            <w:pPr>
              <w:rPr>
                <w:rFonts w:ascii="宋体"/>
              </w:rPr>
            </w:pPr>
          </w:p>
        </w:tc>
        <w:tc>
          <w:tcPr>
            <w:tcW w:w="5" w:type="pct"/>
            <w:shd w:val="clear" w:color="auto" w:fill="auto"/>
          </w:tcPr>
          <w:p w14:paraId="669C6CB8" w14:textId="77777777" w:rsidR="00066C63" w:rsidRDefault="00066C63">
            <w:pPr>
              <w:rPr>
                <w:rFonts w:ascii="宋体"/>
              </w:rPr>
            </w:pPr>
          </w:p>
        </w:tc>
        <w:tc>
          <w:tcPr>
            <w:tcW w:w="50" w:type="pct"/>
            <w:shd w:val="clear" w:color="auto" w:fill="auto"/>
          </w:tcPr>
          <w:p w14:paraId="669C6CB9" w14:textId="77777777" w:rsidR="00066C63" w:rsidRDefault="00066C63">
            <w:pPr>
              <w:rPr>
                <w:rFonts w:ascii="宋体"/>
              </w:rPr>
            </w:pPr>
          </w:p>
        </w:tc>
        <w:tc>
          <w:tcPr>
            <w:tcW w:w="384" w:type="pct"/>
            <w:shd w:val="clear" w:color="auto" w:fill="auto"/>
          </w:tcPr>
          <w:p w14:paraId="669C6CBA" w14:textId="77777777" w:rsidR="00066C63" w:rsidRDefault="00066C63">
            <w:pPr>
              <w:rPr>
                <w:rFonts w:ascii="宋体"/>
              </w:rPr>
            </w:pPr>
          </w:p>
        </w:tc>
        <w:tc>
          <w:tcPr>
            <w:tcW w:w="5" w:type="pct"/>
            <w:shd w:val="clear" w:color="auto" w:fill="auto"/>
          </w:tcPr>
          <w:p w14:paraId="669C6CBB" w14:textId="77777777" w:rsidR="00066C63" w:rsidRDefault="00066C63">
            <w:pPr>
              <w:rPr>
                <w:rFonts w:ascii="宋体"/>
              </w:rPr>
            </w:pPr>
          </w:p>
        </w:tc>
        <w:tc>
          <w:tcPr>
            <w:tcW w:w="50" w:type="pct"/>
            <w:shd w:val="clear" w:color="auto" w:fill="auto"/>
          </w:tcPr>
          <w:p w14:paraId="669C6CBC" w14:textId="77777777" w:rsidR="00066C63" w:rsidRDefault="00066C63">
            <w:pPr>
              <w:rPr>
                <w:rFonts w:ascii="宋体"/>
              </w:rPr>
            </w:pPr>
          </w:p>
        </w:tc>
        <w:tc>
          <w:tcPr>
            <w:tcW w:w="431" w:type="pct"/>
            <w:shd w:val="clear" w:color="auto" w:fill="auto"/>
          </w:tcPr>
          <w:p w14:paraId="669C6CBD" w14:textId="77777777" w:rsidR="00066C63" w:rsidRDefault="00066C63">
            <w:pPr>
              <w:rPr>
                <w:rFonts w:ascii="宋体"/>
              </w:rPr>
            </w:pPr>
          </w:p>
        </w:tc>
        <w:tc>
          <w:tcPr>
            <w:tcW w:w="5" w:type="pct"/>
            <w:shd w:val="clear" w:color="auto" w:fill="auto"/>
          </w:tcPr>
          <w:p w14:paraId="669C6CBE" w14:textId="77777777" w:rsidR="00066C63" w:rsidRDefault="00066C63">
            <w:pPr>
              <w:rPr>
                <w:rFonts w:ascii="宋体"/>
              </w:rPr>
            </w:pPr>
          </w:p>
        </w:tc>
        <w:tc>
          <w:tcPr>
            <w:tcW w:w="50" w:type="pct"/>
            <w:shd w:val="clear" w:color="auto" w:fill="auto"/>
          </w:tcPr>
          <w:p w14:paraId="669C6CBF" w14:textId="77777777" w:rsidR="00066C63" w:rsidRDefault="00066C63">
            <w:pPr>
              <w:rPr>
                <w:rFonts w:ascii="宋体"/>
              </w:rPr>
            </w:pPr>
          </w:p>
        </w:tc>
        <w:tc>
          <w:tcPr>
            <w:tcW w:w="354" w:type="pct"/>
            <w:shd w:val="clear" w:color="auto" w:fill="auto"/>
          </w:tcPr>
          <w:p w14:paraId="669C6CC0" w14:textId="77777777" w:rsidR="00066C63" w:rsidRDefault="00066C63">
            <w:pPr>
              <w:rPr>
                <w:rFonts w:ascii="宋体"/>
              </w:rPr>
            </w:pPr>
          </w:p>
        </w:tc>
        <w:tc>
          <w:tcPr>
            <w:tcW w:w="5" w:type="pct"/>
            <w:shd w:val="clear" w:color="auto" w:fill="auto"/>
          </w:tcPr>
          <w:p w14:paraId="669C6CC1" w14:textId="77777777" w:rsidR="00066C63" w:rsidRDefault="00066C63">
            <w:pPr>
              <w:rPr>
                <w:rFonts w:ascii="宋体"/>
              </w:rPr>
            </w:pPr>
          </w:p>
        </w:tc>
      </w:tr>
      <w:tr w:rsidR="00066C63" w14:paraId="669C6CC5" w14:textId="77777777">
        <w:tc>
          <w:tcPr>
            <w:tcW w:w="0" w:type="auto"/>
            <w:gridSpan w:val="3"/>
            <w:shd w:val="clear" w:color="auto" w:fill="auto"/>
            <w:tcMar>
              <w:top w:w="0" w:type="dxa"/>
              <w:left w:w="20" w:type="dxa"/>
              <w:bottom w:w="0" w:type="dxa"/>
              <w:right w:w="20" w:type="dxa"/>
            </w:tcMar>
          </w:tcPr>
          <w:p w14:paraId="669C6CC3" w14:textId="77777777" w:rsidR="00066C63" w:rsidRDefault="00066C63">
            <w:pPr>
              <w:rPr>
                <w:rFonts w:ascii="宋体"/>
              </w:rPr>
            </w:pPr>
          </w:p>
        </w:tc>
        <w:tc>
          <w:tcPr>
            <w:tcW w:w="0" w:type="auto"/>
            <w:gridSpan w:val="27"/>
            <w:shd w:val="clear" w:color="auto" w:fill="auto"/>
            <w:tcMar>
              <w:top w:w="40" w:type="dxa"/>
              <w:left w:w="20" w:type="dxa"/>
              <w:bottom w:w="40" w:type="dxa"/>
              <w:right w:w="20" w:type="dxa"/>
            </w:tcMar>
            <w:vAlign w:val="bottom"/>
          </w:tcPr>
          <w:p w14:paraId="669C6CC4" w14:textId="77777777" w:rsidR="00066C63" w:rsidRDefault="009656F6">
            <w:pPr>
              <w:jc w:val="center"/>
              <w:textAlignment w:val="bottom"/>
            </w:pPr>
            <w:r>
              <w:rPr>
                <w:rFonts w:ascii="sans-serif" w:eastAsia="sans-serif" w:hAnsi="sans-serif" w:cs="sans-serif"/>
                <w:b/>
                <w:bCs/>
                <w:color w:val="000000"/>
                <w:sz w:val="17"/>
                <w:szCs w:val="17"/>
              </w:rPr>
              <w:t>NINE MONTHS ENDED FEBRUARY 28, 2021</w:t>
            </w:r>
          </w:p>
        </w:tc>
      </w:tr>
      <w:tr w:rsidR="00066C63" w14:paraId="669C6CD0" w14:textId="77777777">
        <w:tc>
          <w:tcPr>
            <w:tcW w:w="0" w:type="auto"/>
            <w:gridSpan w:val="3"/>
            <w:shd w:val="clear" w:color="auto" w:fill="auto"/>
            <w:tcMar>
              <w:top w:w="40" w:type="dxa"/>
              <w:left w:w="20" w:type="dxa"/>
              <w:bottom w:w="40" w:type="dxa"/>
              <w:right w:w="20" w:type="dxa"/>
            </w:tcMar>
            <w:vAlign w:val="bottom"/>
          </w:tcPr>
          <w:p w14:paraId="669C6CC6" w14:textId="77777777" w:rsidR="00066C63" w:rsidRDefault="009656F6">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CC7" w14:textId="77777777" w:rsidR="00066C63" w:rsidRDefault="009656F6">
            <w:pPr>
              <w:jc w:val="right"/>
              <w:textAlignment w:val="bottom"/>
            </w:pPr>
            <w:r>
              <w:rPr>
                <w:rFonts w:ascii="sans-serif" w:eastAsia="sans-serif" w:hAnsi="sans-serif" w:cs="sans-serif"/>
                <w:b/>
                <w:bCs/>
                <w:color w:val="000000"/>
                <w:sz w:val="17"/>
                <w:szCs w:val="17"/>
              </w:rPr>
              <w:t>NORTH AMERICA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CC8" w14:textId="77777777" w:rsidR="00066C63" w:rsidRDefault="009656F6">
            <w:pPr>
              <w:jc w:val="right"/>
              <w:textAlignment w:val="bottom"/>
            </w:pPr>
            <w:r>
              <w:rPr>
                <w:rFonts w:ascii="sans-serif" w:eastAsia="sans-serif" w:hAnsi="sans-serif" w:cs="sans-serif"/>
                <w:b/>
                <w:bCs/>
                <w:color w:val="000000"/>
                <w:sz w:val="17"/>
                <w:szCs w:val="17"/>
              </w:rPr>
              <w:t>EUROPE, MIDDLE EAST &amp; AFRICA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CC9" w14:textId="77777777" w:rsidR="00066C63" w:rsidRDefault="009656F6">
            <w:pPr>
              <w:jc w:val="right"/>
              <w:textAlignment w:val="bottom"/>
            </w:pPr>
            <w:r>
              <w:rPr>
                <w:rFonts w:ascii="sans-serif" w:eastAsia="sans-serif" w:hAnsi="sans-serif" w:cs="sans-serif"/>
                <w:b/>
                <w:bCs/>
                <w:color w:val="000000"/>
                <w:sz w:val="17"/>
                <w:szCs w:val="17"/>
              </w:rPr>
              <w:t xml:space="preserve">GREATER </w:t>
            </w:r>
            <w:r>
              <w:rPr>
                <w:rFonts w:ascii="sans-serif" w:eastAsia="sans-serif" w:hAnsi="sans-serif" w:cs="sans-serif"/>
                <w:b/>
                <w:bCs/>
                <w:color w:val="000000"/>
                <w:sz w:val="17"/>
                <w:szCs w:val="17"/>
              </w:rPr>
              <w:t>CHINA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CCA" w14:textId="77777777" w:rsidR="00066C63" w:rsidRDefault="009656F6">
            <w:pPr>
              <w:jc w:val="right"/>
              <w:textAlignment w:val="bottom"/>
            </w:pPr>
            <w:r>
              <w:rPr>
                <w:rFonts w:ascii="sans-serif" w:eastAsia="sans-serif" w:hAnsi="sans-serif" w:cs="sans-serif"/>
                <w:b/>
                <w:bCs/>
                <w:color w:val="000000"/>
                <w:sz w:val="17"/>
                <w:szCs w:val="17"/>
              </w:rPr>
              <w:t>ASIA PACIFIC &amp; LATIN AMERICA</w:t>
            </w:r>
            <w:r>
              <w:rPr>
                <w:rFonts w:ascii="sans-serif" w:eastAsia="sans-serif" w:hAnsi="sans-serif" w:cs="sans-serif"/>
                <w:b/>
                <w:bCs/>
                <w:color w:val="000000"/>
                <w:sz w:val="11"/>
                <w:szCs w:val="11"/>
              </w:rPr>
              <w:t>(1)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CCB" w14:textId="77777777" w:rsidR="00066C63" w:rsidRDefault="009656F6">
            <w:pPr>
              <w:jc w:val="right"/>
              <w:textAlignment w:val="bottom"/>
            </w:pPr>
            <w:r>
              <w:rPr>
                <w:rFonts w:ascii="sans-serif" w:eastAsia="sans-serif" w:hAnsi="sans-serif" w:cs="sans-serif"/>
                <w:b/>
                <w:bCs/>
                <w:color w:val="000000"/>
                <w:sz w:val="17"/>
                <w:szCs w:val="17"/>
              </w:rPr>
              <w:t>GLOBAL BRAND DIVISIONS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CCC" w14:textId="77777777" w:rsidR="00066C63" w:rsidRDefault="009656F6">
            <w:pPr>
              <w:jc w:val="right"/>
              <w:textAlignment w:val="bottom"/>
            </w:pPr>
            <w:r>
              <w:rPr>
                <w:rFonts w:ascii="sans-serif" w:eastAsia="sans-serif" w:hAnsi="sans-serif" w:cs="sans-serif"/>
                <w:b/>
                <w:bCs/>
                <w:color w:val="000000"/>
                <w:sz w:val="17"/>
                <w:szCs w:val="17"/>
              </w:rPr>
              <w:t>TOTAL NIKE BRAND</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CCD" w14:textId="77777777" w:rsidR="00066C63" w:rsidRDefault="009656F6">
            <w:pPr>
              <w:jc w:val="right"/>
              <w:textAlignment w:val="bottom"/>
            </w:pPr>
            <w:r>
              <w:rPr>
                <w:rFonts w:ascii="sans-serif" w:eastAsia="sans-serif" w:hAnsi="sans-serif" w:cs="sans-serif"/>
                <w:b/>
                <w:bCs/>
                <w:color w:val="000000"/>
                <w:sz w:val="17"/>
                <w:szCs w:val="17"/>
              </w:rPr>
              <w:t>CONVERSE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CCE" w14:textId="77777777" w:rsidR="00066C63" w:rsidRDefault="009656F6">
            <w:pPr>
              <w:jc w:val="right"/>
              <w:textAlignment w:val="bottom"/>
            </w:pPr>
            <w:r>
              <w:rPr>
                <w:rFonts w:ascii="sans-serif" w:eastAsia="sans-serif" w:hAnsi="sans-serif" w:cs="sans-serif"/>
                <w:b/>
                <w:bCs/>
                <w:color w:val="000000"/>
                <w:sz w:val="17"/>
                <w:szCs w:val="17"/>
              </w:rPr>
              <w:t>CORPORATE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CCF" w14:textId="77777777" w:rsidR="00066C63" w:rsidRDefault="009656F6">
            <w:pPr>
              <w:jc w:val="right"/>
              <w:textAlignment w:val="bottom"/>
            </w:pPr>
            <w:r>
              <w:rPr>
                <w:rFonts w:ascii="sans-serif" w:eastAsia="sans-serif" w:hAnsi="sans-serif" w:cs="sans-serif"/>
                <w:b/>
                <w:bCs/>
                <w:color w:val="000000"/>
                <w:sz w:val="17"/>
                <w:szCs w:val="17"/>
              </w:rPr>
              <w:t>TOTAL NIKE, INC.</w:t>
            </w:r>
          </w:p>
        </w:tc>
      </w:tr>
      <w:tr w:rsidR="00066C63" w14:paraId="669C6CDB"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CD1" w14:textId="77777777" w:rsidR="00066C63" w:rsidRDefault="009656F6">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FFF1E7"/>
            <w:tcMar>
              <w:top w:w="0" w:type="dxa"/>
              <w:left w:w="20" w:type="dxa"/>
              <w:bottom w:w="0" w:type="dxa"/>
              <w:right w:w="20" w:type="dxa"/>
            </w:tcMar>
          </w:tcPr>
          <w:p w14:paraId="669C6CD2" w14:textId="77777777" w:rsidR="00066C63" w:rsidRDefault="00066C63">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669C6CD3" w14:textId="77777777" w:rsidR="00066C63" w:rsidRDefault="00066C63">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669C6CD4" w14:textId="77777777" w:rsidR="00066C63" w:rsidRDefault="00066C63">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669C6CD5" w14:textId="77777777" w:rsidR="00066C63" w:rsidRDefault="00066C63">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669C6CD6" w14:textId="77777777" w:rsidR="00066C63" w:rsidRDefault="00066C63">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669C6CD7" w14:textId="77777777" w:rsidR="00066C63" w:rsidRDefault="00066C63">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669C6CD8" w14:textId="77777777" w:rsidR="00066C63" w:rsidRDefault="00066C63">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669C6CD9" w14:textId="77777777" w:rsidR="00066C63" w:rsidRDefault="00066C63">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669C6CDA" w14:textId="77777777" w:rsidR="00066C63" w:rsidRDefault="00066C63">
            <w:pPr>
              <w:rPr>
                <w:rFonts w:ascii="宋体"/>
              </w:rPr>
            </w:pPr>
          </w:p>
        </w:tc>
      </w:tr>
      <w:tr w:rsidR="00066C63" w14:paraId="669C6CF8"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6CDC" w14:textId="77777777" w:rsidR="00066C63" w:rsidRDefault="009656F6">
            <w:pPr>
              <w:textAlignment w:val="bottom"/>
            </w:pPr>
            <w:r>
              <w:rPr>
                <w:rFonts w:ascii="Arial" w:eastAsia="宋体" w:hAnsi="Arial" w:cs="Arial"/>
                <w:color w:val="000000"/>
                <w:sz w:val="17"/>
                <w:szCs w:val="17"/>
              </w:rPr>
              <w:t>Footwear</w:t>
            </w:r>
          </w:p>
        </w:tc>
        <w:tc>
          <w:tcPr>
            <w:tcW w:w="0" w:type="auto"/>
            <w:tcBorders>
              <w:top w:val="single" w:sz="8" w:space="0" w:color="808080"/>
            </w:tcBorders>
            <w:shd w:val="clear" w:color="auto" w:fill="FFF1E7"/>
            <w:tcMar>
              <w:top w:w="40" w:type="dxa"/>
              <w:left w:w="20" w:type="dxa"/>
              <w:bottom w:w="40" w:type="dxa"/>
              <w:right w:w="0" w:type="dxa"/>
            </w:tcMar>
            <w:vAlign w:val="bottom"/>
          </w:tcPr>
          <w:p w14:paraId="669C6CDD"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669C6CDE" w14:textId="77777777" w:rsidR="00066C63" w:rsidRDefault="009656F6">
            <w:pPr>
              <w:jc w:val="right"/>
              <w:textAlignment w:val="bottom"/>
            </w:pPr>
            <w:r>
              <w:rPr>
                <w:rFonts w:ascii="Arial" w:eastAsia="宋体" w:hAnsi="Arial" w:cs="Arial"/>
                <w:color w:val="000000"/>
                <w:sz w:val="17"/>
                <w:szCs w:val="17"/>
              </w:rPr>
              <w:t>7,851 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CDF" w14:textId="77777777" w:rsidR="00066C63" w:rsidRDefault="00066C63">
            <w:pPr>
              <w:jc w:val="right"/>
              <w:rPr>
                <w:rFonts w:ascii="宋体"/>
              </w:rPr>
            </w:pPr>
          </w:p>
        </w:tc>
        <w:tc>
          <w:tcPr>
            <w:tcW w:w="0" w:type="auto"/>
            <w:tcBorders>
              <w:top w:val="single" w:sz="8" w:space="0" w:color="808080"/>
            </w:tcBorders>
            <w:shd w:val="clear" w:color="auto" w:fill="FFF1E7"/>
            <w:tcMar>
              <w:top w:w="40" w:type="dxa"/>
              <w:left w:w="20" w:type="dxa"/>
              <w:bottom w:w="40" w:type="dxa"/>
              <w:right w:w="0" w:type="dxa"/>
            </w:tcMar>
            <w:vAlign w:val="bottom"/>
          </w:tcPr>
          <w:p w14:paraId="669C6CE0"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669C6CE1" w14:textId="77777777" w:rsidR="00066C63" w:rsidRDefault="009656F6">
            <w:pPr>
              <w:jc w:val="right"/>
              <w:textAlignment w:val="bottom"/>
            </w:pPr>
            <w:r>
              <w:rPr>
                <w:rFonts w:ascii="Arial" w:eastAsia="宋体" w:hAnsi="Arial" w:cs="Arial"/>
                <w:color w:val="000000"/>
                <w:sz w:val="17"/>
                <w:szCs w:val="17"/>
              </w:rPr>
              <w:t>5,139 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CE2" w14:textId="77777777" w:rsidR="00066C63" w:rsidRDefault="00066C63">
            <w:pPr>
              <w:jc w:val="right"/>
              <w:rPr>
                <w:rFonts w:ascii="宋体"/>
              </w:rPr>
            </w:pPr>
          </w:p>
        </w:tc>
        <w:tc>
          <w:tcPr>
            <w:tcW w:w="0" w:type="auto"/>
            <w:tcBorders>
              <w:top w:val="single" w:sz="8" w:space="0" w:color="808080"/>
            </w:tcBorders>
            <w:shd w:val="clear" w:color="auto" w:fill="FFF1E7"/>
            <w:tcMar>
              <w:top w:w="40" w:type="dxa"/>
              <w:left w:w="20" w:type="dxa"/>
              <w:bottom w:w="40" w:type="dxa"/>
              <w:right w:w="0" w:type="dxa"/>
            </w:tcMar>
            <w:vAlign w:val="bottom"/>
          </w:tcPr>
          <w:p w14:paraId="669C6CE3"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669C6CE4" w14:textId="77777777" w:rsidR="00066C63" w:rsidRDefault="009656F6">
            <w:pPr>
              <w:jc w:val="right"/>
              <w:textAlignment w:val="bottom"/>
            </w:pPr>
            <w:r>
              <w:rPr>
                <w:rFonts w:ascii="Arial" w:eastAsia="宋体" w:hAnsi="Arial" w:cs="Arial"/>
                <w:color w:val="000000"/>
                <w:sz w:val="17"/>
                <w:szCs w:val="17"/>
              </w:rPr>
              <w:t>4,432 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CE5" w14:textId="77777777" w:rsidR="00066C63" w:rsidRDefault="00066C63">
            <w:pPr>
              <w:jc w:val="right"/>
              <w:rPr>
                <w:rFonts w:ascii="宋体"/>
              </w:rPr>
            </w:pPr>
          </w:p>
        </w:tc>
        <w:tc>
          <w:tcPr>
            <w:tcW w:w="0" w:type="auto"/>
            <w:tcBorders>
              <w:top w:val="single" w:sz="8" w:space="0" w:color="808080"/>
            </w:tcBorders>
            <w:shd w:val="clear" w:color="auto" w:fill="FFF1E7"/>
            <w:tcMar>
              <w:top w:w="40" w:type="dxa"/>
              <w:left w:w="20" w:type="dxa"/>
              <w:bottom w:w="40" w:type="dxa"/>
              <w:right w:w="0" w:type="dxa"/>
            </w:tcMar>
            <w:vAlign w:val="bottom"/>
          </w:tcPr>
          <w:p w14:paraId="669C6CE6"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669C6CE7" w14:textId="77777777" w:rsidR="00066C63" w:rsidRDefault="009656F6">
            <w:pPr>
              <w:jc w:val="right"/>
              <w:textAlignment w:val="bottom"/>
            </w:pPr>
            <w:r>
              <w:rPr>
                <w:rFonts w:ascii="Arial" w:eastAsia="宋体" w:hAnsi="Arial" w:cs="Arial"/>
                <w:color w:val="000000"/>
                <w:sz w:val="17"/>
                <w:szCs w:val="17"/>
              </w:rPr>
              <w:t>2,652 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CE8" w14:textId="77777777" w:rsidR="00066C63" w:rsidRDefault="00066C63">
            <w:pPr>
              <w:jc w:val="right"/>
              <w:rPr>
                <w:rFonts w:ascii="宋体"/>
              </w:rPr>
            </w:pPr>
          </w:p>
        </w:tc>
        <w:tc>
          <w:tcPr>
            <w:tcW w:w="0" w:type="auto"/>
            <w:tcBorders>
              <w:top w:val="single" w:sz="8" w:space="0" w:color="808080"/>
            </w:tcBorders>
            <w:shd w:val="clear" w:color="auto" w:fill="FFF1E7"/>
            <w:tcMar>
              <w:top w:w="40" w:type="dxa"/>
              <w:left w:w="20" w:type="dxa"/>
              <w:bottom w:w="40" w:type="dxa"/>
              <w:right w:w="0" w:type="dxa"/>
            </w:tcMar>
            <w:vAlign w:val="bottom"/>
          </w:tcPr>
          <w:p w14:paraId="669C6CE9"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669C6CEA" w14:textId="77777777" w:rsidR="00066C63" w:rsidRDefault="009656F6">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CEB" w14:textId="77777777" w:rsidR="00066C63" w:rsidRDefault="00066C63">
            <w:pPr>
              <w:jc w:val="right"/>
              <w:rPr>
                <w:rFonts w:ascii="宋体"/>
              </w:rPr>
            </w:pPr>
          </w:p>
        </w:tc>
        <w:tc>
          <w:tcPr>
            <w:tcW w:w="0" w:type="auto"/>
            <w:tcBorders>
              <w:top w:val="single" w:sz="8" w:space="0" w:color="808080"/>
            </w:tcBorders>
            <w:shd w:val="clear" w:color="auto" w:fill="FFF1E7"/>
            <w:tcMar>
              <w:top w:w="40" w:type="dxa"/>
              <w:left w:w="20" w:type="dxa"/>
              <w:bottom w:w="40" w:type="dxa"/>
              <w:right w:w="0" w:type="dxa"/>
            </w:tcMar>
            <w:vAlign w:val="bottom"/>
          </w:tcPr>
          <w:p w14:paraId="669C6CEC"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669C6CED" w14:textId="77777777" w:rsidR="00066C63" w:rsidRDefault="009656F6">
            <w:pPr>
              <w:jc w:val="right"/>
              <w:textAlignment w:val="bottom"/>
            </w:pPr>
            <w:r>
              <w:rPr>
                <w:rFonts w:ascii="Arial" w:eastAsia="宋体" w:hAnsi="Arial" w:cs="Arial"/>
                <w:color w:val="000000"/>
                <w:sz w:val="17"/>
                <w:szCs w:val="17"/>
              </w:rPr>
              <w:t>20,074 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CEE" w14:textId="77777777" w:rsidR="00066C63" w:rsidRDefault="00066C63">
            <w:pPr>
              <w:jc w:val="right"/>
              <w:rPr>
                <w:rFonts w:ascii="宋体"/>
              </w:rPr>
            </w:pPr>
          </w:p>
        </w:tc>
        <w:tc>
          <w:tcPr>
            <w:tcW w:w="0" w:type="auto"/>
            <w:tcBorders>
              <w:top w:val="single" w:sz="8" w:space="0" w:color="808080"/>
            </w:tcBorders>
            <w:shd w:val="clear" w:color="auto" w:fill="FFF1E7"/>
            <w:tcMar>
              <w:top w:w="40" w:type="dxa"/>
              <w:left w:w="20" w:type="dxa"/>
              <w:bottom w:w="40" w:type="dxa"/>
              <w:right w:w="0" w:type="dxa"/>
            </w:tcMar>
            <w:vAlign w:val="bottom"/>
          </w:tcPr>
          <w:p w14:paraId="669C6CEF"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669C6CF0" w14:textId="77777777" w:rsidR="00066C63" w:rsidRDefault="009656F6">
            <w:pPr>
              <w:jc w:val="right"/>
              <w:textAlignment w:val="bottom"/>
            </w:pPr>
            <w:r>
              <w:rPr>
                <w:rFonts w:ascii="Arial" w:eastAsia="宋体" w:hAnsi="Arial" w:cs="Arial"/>
                <w:color w:val="000000"/>
                <w:sz w:val="17"/>
                <w:szCs w:val="17"/>
              </w:rPr>
              <w:t>1,442 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CF1" w14:textId="77777777" w:rsidR="00066C63" w:rsidRDefault="00066C63">
            <w:pPr>
              <w:jc w:val="right"/>
              <w:rPr>
                <w:rFonts w:ascii="宋体"/>
              </w:rPr>
            </w:pPr>
          </w:p>
        </w:tc>
        <w:tc>
          <w:tcPr>
            <w:tcW w:w="0" w:type="auto"/>
            <w:tcBorders>
              <w:top w:val="single" w:sz="8" w:space="0" w:color="808080"/>
            </w:tcBorders>
            <w:shd w:val="clear" w:color="auto" w:fill="FFF1E7"/>
            <w:tcMar>
              <w:top w:w="40" w:type="dxa"/>
              <w:left w:w="20" w:type="dxa"/>
              <w:bottom w:w="40" w:type="dxa"/>
              <w:right w:w="0" w:type="dxa"/>
            </w:tcMar>
            <w:vAlign w:val="bottom"/>
          </w:tcPr>
          <w:p w14:paraId="669C6CF2"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669C6CF3" w14:textId="77777777" w:rsidR="00066C63" w:rsidRDefault="009656F6">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CF4" w14:textId="77777777" w:rsidR="00066C63" w:rsidRDefault="00066C63">
            <w:pPr>
              <w:jc w:val="right"/>
              <w:rPr>
                <w:rFonts w:ascii="宋体"/>
              </w:rPr>
            </w:pPr>
          </w:p>
        </w:tc>
        <w:tc>
          <w:tcPr>
            <w:tcW w:w="0" w:type="auto"/>
            <w:tcBorders>
              <w:top w:val="single" w:sz="8" w:space="0" w:color="808080"/>
            </w:tcBorders>
            <w:shd w:val="clear" w:color="auto" w:fill="FFF1E7"/>
            <w:tcMar>
              <w:top w:w="40" w:type="dxa"/>
              <w:left w:w="20" w:type="dxa"/>
              <w:bottom w:w="40" w:type="dxa"/>
              <w:right w:w="0" w:type="dxa"/>
            </w:tcMar>
            <w:vAlign w:val="bottom"/>
          </w:tcPr>
          <w:p w14:paraId="669C6CF5"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669C6CF6" w14:textId="77777777" w:rsidR="00066C63" w:rsidRDefault="009656F6">
            <w:pPr>
              <w:jc w:val="right"/>
              <w:textAlignment w:val="bottom"/>
            </w:pPr>
            <w:r>
              <w:rPr>
                <w:rFonts w:ascii="Arial" w:eastAsia="宋体" w:hAnsi="Arial" w:cs="Arial"/>
                <w:color w:val="000000"/>
                <w:sz w:val="17"/>
                <w:szCs w:val="17"/>
              </w:rPr>
              <w:t>21,516 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CF7" w14:textId="77777777" w:rsidR="00066C63" w:rsidRDefault="00066C63">
            <w:pPr>
              <w:jc w:val="right"/>
              <w:rPr>
                <w:rFonts w:ascii="宋体"/>
              </w:rPr>
            </w:pPr>
          </w:p>
        </w:tc>
      </w:tr>
      <w:tr w:rsidR="00066C63" w14:paraId="669C6D0C"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6CF9" w14:textId="77777777" w:rsidR="00066C63" w:rsidRDefault="009656F6">
            <w:pPr>
              <w:textAlignment w:val="bottom"/>
            </w:pPr>
            <w:r>
              <w:rPr>
                <w:rFonts w:ascii="Arial" w:eastAsia="宋体" w:hAnsi="Arial" w:cs="Arial"/>
                <w:color w:val="000000"/>
                <w:sz w:val="17"/>
                <w:szCs w:val="17"/>
              </w:rPr>
              <w:t>Apparel</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CFA" w14:textId="77777777" w:rsidR="00066C63" w:rsidRDefault="009656F6">
            <w:pPr>
              <w:jc w:val="right"/>
              <w:textAlignment w:val="bottom"/>
            </w:pPr>
            <w:r>
              <w:rPr>
                <w:rFonts w:ascii="Arial" w:eastAsia="宋体" w:hAnsi="Arial" w:cs="Arial"/>
                <w:color w:val="000000"/>
                <w:sz w:val="17"/>
                <w:szCs w:val="17"/>
              </w:rPr>
              <w:t>3,580 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CFB" w14:textId="77777777" w:rsidR="00066C63" w:rsidRDefault="00066C63">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CFC" w14:textId="77777777" w:rsidR="00066C63" w:rsidRDefault="009656F6">
            <w:pPr>
              <w:jc w:val="right"/>
              <w:textAlignment w:val="bottom"/>
            </w:pPr>
            <w:r>
              <w:rPr>
                <w:rFonts w:ascii="Arial" w:eastAsia="宋体" w:hAnsi="Arial" w:cs="Arial"/>
                <w:color w:val="000000"/>
                <w:sz w:val="17"/>
                <w:szCs w:val="17"/>
              </w:rPr>
              <w:t>2,973 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CFD" w14:textId="77777777" w:rsidR="00066C63" w:rsidRDefault="00066C63">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CFE" w14:textId="77777777" w:rsidR="00066C63" w:rsidRDefault="009656F6">
            <w:pPr>
              <w:jc w:val="right"/>
              <w:textAlignment w:val="bottom"/>
            </w:pPr>
            <w:r>
              <w:rPr>
                <w:rFonts w:ascii="Arial" w:eastAsia="宋体" w:hAnsi="Arial" w:cs="Arial"/>
                <w:color w:val="000000"/>
                <w:sz w:val="17"/>
                <w:szCs w:val="17"/>
              </w:rPr>
              <w:t>1,775 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CFF" w14:textId="77777777" w:rsidR="00066C63" w:rsidRDefault="00066C63">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D00" w14:textId="77777777" w:rsidR="00066C63" w:rsidRDefault="009656F6">
            <w:pPr>
              <w:jc w:val="right"/>
              <w:textAlignment w:val="bottom"/>
            </w:pPr>
            <w:r>
              <w:rPr>
                <w:rFonts w:ascii="Arial" w:eastAsia="宋体" w:hAnsi="Arial" w:cs="Arial"/>
                <w:color w:val="000000"/>
                <w:sz w:val="17"/>
                <w:szCs w:val="17"/>
              </w:rPr>
              <w:t>1,098 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D01" w14:textId="77777777" w:rsidR="00066C63" w:rsidRDefault="00066C63">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D02" w14:textId="77777777" w:rsidR="00066C63" w:rsidRDefault="009656F6">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D03" w14:textId="77777777" w:rsidR="00066C63" w:rsidRDefault="00066C63">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D04" w14:textId="77777777" w:rsidR="00066C63" w:rsidRDefault="009656F6">
            <w:pPr>
              <w:jc w:val="right"/>
              <w:textAlignment w:val="bottom"/>
            </w:pPr>
            <w:r>
              <w:rPr>
                <w:rFonts w:ascii="Arial" w:eastAsia="宋体" w:hAnsi="Arial" w:cs="Arial"/>
                <w:color w:val="000000"/>
                <w:sz w:val="17"/>
                <w:szCs w:val="17"/>
              </w:rPr>
              <w:t>9,426 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D05" w14:textId="77777777" w:rsidR="00066C63" w:rsidRDefault="00066C63">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D06" w14:textId="77777777" w:rsidR="00066C63" w:rsidRDefault="009656F6">
            <w:pPr>
              <w:jc w:val="right"/>
              <w:textAlignment w:val="bottom"/>
            </w:pPr>
            <w:r>
              <w:rPr>
                <w:rFonts w:ascii="Arial" w:eastAsia="宋体" w:hAnsi="Arial" w:cs="Arial"/>
                <w:color w:val="000000"/>
                <w:sz w:val="17"/>
                <w:szCs w:val="17"/>
              </w:rPr>
              <w:t>82 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D07" w14:textId="77777777" w:rsidR="00066C63" w:rsidRDefault="00066C63">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D08" w14:textId="77777777" w:rsidR="00066C63" w:rsidRDefault="009656F6">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D09" w14:textId="77777777" w:rsidR="00066C63" w:rsidRDefault="00066C63">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D0A" w14:textId="77777777" w:rsidR="00066C63" w:rsidRDefault="009656F6">
            <w:pPr>
              <w:jc w:val="right"/>
              <w:textAlignment w:val="bottom"/>
            </w:pPr>
            <w:r>
              <w:rPr>
                <w:rFonts w:ascii="Arial" w:eastAsia="宋体" w:hAnsi="Arial" w:cs="Arial"/>
                <w:color w:val="000000"/>
                <w:sz w:val="17"/>
                <w:szCs w:val="17"/>
              </w:rPr>
              <w:t>9,508 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D0B" w14:textId="77777777" w:rsidR="00066C63" w:rsidRDefault="00066C63">
            <w:pPr>
              <w:jc w:val="right"/>
              <w:rPr>
                <w:rFonts w:ascii="宋体"/>
              </w:rPr>
            </w:pPr>
          </w:p>
        </w:tc>
      </w:tr>
      <w:tr w:rsidR="00066C63" w14:paraId="669C6D20"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6D0D" w14:textId="77777777" w:rsidR="00066C63" w:rsidRDefault="009656F6">
            <w:pPr>
              <w:textAlignment w:val="bottom"/>
            </w:pPr>
            <w:r>
              <w:rPr>
                <w:rFonts w:ascii="Arial" w:eastAsia="宋体" w:hAnsi="Arial" w:cs="Arial"/>
                <w:color w:val="000000"/>
                <w:sz w:val="17"/>
                <w:szCs w:val="17"/>
              </w:rPr>
              <w:t>Equipment</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D0E" w14:textId="77777777" w:rsidR="00066C63" w:rsidRDefault="009656F6">
            <w:pPr>
              <w:jc w:val="right"/>
              <w:textAlignment w:val="bottom"/>
            </w:pPr>
            <w:r>
              <w:rPr>
                <w:rFonts w:ascii="Arial" w:eastAsia="宋体" w:hAnsi="Arial" w:cs="Arial"/>
                <w:color w:val="000000"/>
                <w:sz w:val="17"/>
                <w:szCs w:val="17"/>
              </w:rPr>
              <w:t>364 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D0F" w14:textId="77777777" w:rsidR="00066C63" w:rsidRDefault="00066C63">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D10" w14:textId="77777777" w:rsidR="00066C63" w:rsidRDefault="009656F6">
            <w:pPr>
              <w:jc w:val="right"/>
              <w:textAlignment w:val="bottom"/>
            </w:pPr>
            <w:r>
              <w:rPr>
                <w:rFonts w:ascii="Arial" w:eastAsia="宋体" w:hAnsi="Arial" w:cs="Arial"/>
                <w:color w:val="000000"/>
                <w:sz w:val="17"/>
                <w:szCs w:val="17"/>
              </w:rPr>
              <w:t>365 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D11" w14:textId="77777777" w:rsidR="00066C63" w:rsidRDefault="00066C63">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D12" w14:textId="77777777" w:rsidR="00066C63" w:rsidRDefault="009656F6">
            <w:pPr>
              <w:jc w:val="right"/>
              <w:textAlignment w:val="bottom"/>
            </w:pPr>
            <w:r>
              <w:rPr>
                <w:rFonts w:ascii="Arial" w:eastAsia="宋体" w:hAnsi="Arial" w:cs="Arial"/>
                <w:color w:val="000000"/>
                <w:sz w:val="17"/>
                <w:szCs w:val="17"/>
              </w:rPr>
              <w:t>150 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D13" w14:textId="77777777" w:rsidR="00066C63" w:rsidRDefault="00066C63">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D14" w14:textId="77777777" w:rsidR="00066C63" w:rsidRDefault="009656F6">
            <w:pPr>
              <w:jc w:val="right"/>
              <w:textAlignment w:val="bottom"/>
            </w:pPr>
            <w:r>
              <w:rPr>
                <w:rFonts w:ascii="Arial" w:eastAsia="宋体" w:hAnsi="Arial" w:cs="Arial"/>
                <w:color w:val="000000"/>
                <w:sz w:val="17"/>
                <w:szCs w:val="17"/>
              </w:rPr>
              <w:t>135 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D15" w14:textId="77777777" w:rsidR="00066C63" w:rsidRDefault="00066C63">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D16" w14:textId="77777777" w:rsidR="00066C63" w:rsidRDefault="009656F6">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D17" w14:textId="77777777" w:rsidR="00066C63" w:rsidRDefault="00066C63">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D18" w14:textId="77777777" w:rsidR="00066C63" w:rsidRDefault="009656F6">
            <w:pPr>
              <w:jc w:val="right"/>
              <w:textAlignment w:val="bottom"/>
            </w:pPr>
            <w:r>
              <w:rPr>
                <w:rFonts w:ascii="Arial" w:eastAsia="宋体" w:hAnsi="Arial" w:cs="Arial"/>
                <w:color w:val="000000"/>
                <w:sz w:val="17"/>
                <w:szCs w:val="17"/>
              </w:rPr>
              <w:t>1,014 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D19" w14:textId="77777777" w:rsidR="00066C63" w:rsidRDefault="00066C63">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D1A" w14:textId="77777777" w:rsidR="00066C63" w:rsidRDefault="009656F6">
            <w:pPr>
              <w:jc w:val="right"/>
              <w:textAlignment w:val="bottom"/>
            </w:pPr>
            <w:r>
              <w:rPr>
                <w:rFonts w:ascii="Arial" w:eastAsia="宋体" w:hAnsi="Arial" w:cs="Arial"/>
                <w:color w:val="000000"/>
                <w:sz w:val="17"/>
                <w:szCs w:val="17"/>
              </w:rPr>
              <w:t>22 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D1B" w14:textId="77777777" w:rsidR="00066C63" w:rsidRDefault="00066C63">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D1C" w14:textId="77777777" w:rsidR="00066C63" w:rsidRDefault="009656F6">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D1D" w14:textId="77777777" w:rsidR="00066C63" w:rsidRDefault="00066C63">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D1E" w14:textId="77777777" w:rsidR="00066C63" w:rsidRDefault="009656F6">
            <w:pPr>
              <w:jc w:val="right"/>
              <w:textAlignment w:val="bottom"/>
            </w:pPr>
            <w:r>
              <w:rPr>
                <w:rFonts w:ascii="Arial" w:eastAsia="宋体" w:hAnsi="Arial" w:cs="Arial"/>
                <w:color w:val="000000"/>
                <w:sz w:val="17"/>
                <w:szCs w:val="17"/>
              </w:rPr>
              <w:t>1,036 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D1F" w14:textId="77777777" w:rsidR="00066C63" w:rsidRDefault="00066C63">
            <w:pPr>
              <w:jc w:val="right"/>
              <w:rPr>
                <w:rFonts w:ascii="宋体"/>
              </w:rPr>
            </w:pPr>
          </w:p>
        </w:tc>
      </w:tr>
      <w:tr w:rsidR="00066C63" w14:paraId="669C6D34"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6D21" w14:textId="77777777" w:rsidR="00066C63" w:rsidRDefault="009656F6">
            <w:pPr>
              <w:textAlignment w:val="bottom"/>
            </w:pPr>
            <w:r>
              <w:rPr>
                <w:rFonts w:ascii="Arial" w:eastAsia="宋体" w:hAnsi="Arial" w:cs="Arial"/>
                <w:color w:val="000000"/>
                <w:sz w:val="17"/>
                <w:szCs w:val="17"/>
              </w:rPr>
              <w:t>Other</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D22" w14:textId="77777777" w:rsidR="00066C63" w:rsidRDefault="009656F6">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D23" w14:textId="77777777" w:rsidR="00066C63" w:rsidRDefault="00066C63">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D24" w14:textId="77777777" w:rsidR="00066C63" w:rsidRDefault="009656F6">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D25" w14:textId="77777777" w:rsidR="00066C63" w:rsidRDefault="00066C63">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D26" w14:textId="77777777" w:rsidR="00066C63" w:rsidRDefault="009656F6">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D27" w14:textId="77777777" w:rsidR="00066C63" w:rsidRDefault="00066C63">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D28" w14:textId="77777777" w:rsidR="00066C63" w:rsidRDefault="009656F6">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D29" w14:textId="77777777" w:rsidR="00066C63" w:rsidRDefault="00066C63">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D2A" w14:textId="77777777" w:rsidR="00066C63" w:rsidRDefault="009656F6">
            <w:pPr>
              <w:jc w:val="right"/>
              <w:textAlignment w:val="bottom"/>
            </w:pPr>
            <w:r>
              <w:rPr>
                <w:rFonts w:ascii="Arial" w:eastAsia="宋体" w:hAnsi="Arial" w:cs="Arial"/>
                <w:color w:val="000000"/>
                <w:sz w:val="17"/>
                <w:szCs w:val="17"/>
              </w:rPr>
              <w:t>18 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D2B" w14:textId="77777777" w:rsidR="00066C63" w:rsidRDefault="00066C63">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D2C" w14:textId="77777777" w:rsidR="00066C63" w:rsidRDefault="009656F6">
            <w:pPr>
              <w:jc w:val="right"/>
              <w:textAlignment w:val="bottom"/>
            </w:pPr>
            <w:r>
              <w:rPr>
                <w:rFonts w:ascii="Arial" w:eastAsia="宋体" w:hAnsi="Arial" w:cs="Arial"/>
                <w:color w:val="000000"/>
                <w:sz w:val="17"/>
                <w:szCs w:val="17"/>
              </w:rPr>
              <w:t>18 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D2D" w14:textId="77777777" w:rsidR="00066C63" w:rsidRDefault="00066C63">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D2E" w14:textId="77777777" w:rsidR="00066C63" w:rsidRDefault="009656F6">
            <w:pPr>
              <w:jc w:val="right"/>
              <w:textAlignment w:val="bottom"/>
            </w:pPr>
            <w:r>
              <w:rPr>
                <w:rFonts w:ascii="Arial" w:eastAsia="宋体" w:hAnsi="Arial" w:cs="Arial"/>
                <w:color w:val="000000"/>
                <w:sz w:val="17"/>
                <w:szCs w:val="17"/>
              </w:rPr>
              <w:t>63 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D2F" w14:textId="77777777" w:rsidR="00066C63" w:rsidRDefault="00066C63">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D30" w14:textId="77777777" w:rsidR="00066C63" w:rsidRDefault="009656F6">
            <w:pPr>
              <w:jc w:val="right"/>
              <w:textAlignment w:val="bottom"/>
            </w:pPr>
            <w:r>
              <w:rPr>
                <w:rFonts w:ascii="Arial" w:eastAsia="宋体" w:hAnsi="Arial" w:cs="Arial"/>
                <w:color w:val="000000"/>
                <w:sz w:val="17"/>
                <w:szCs w:val="17"/>
              </w:rPr>
              <w:t>53 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D31" w14:textId="77777777" w:rsidR="00066C63" w:rsidRDefault="00066C63">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D32" w14:textId="77777777" w:rsidR="00066C63" w:rsidRDefault="009656F6">
            <w:pPr>
              <w:jc w:val="right"/>
              <w:textAlignment w:val="bottom"/>
            </w:pPr>
            <w:r>
              <w:rPr>
                <w:rFonts w:ascii="Arial" w:eastAsia="宋体" w:hAnsi="Arial" w:cs="Arial"/>
                <w:color w:val="000000"/>
                <w:sz w:val="17"/>
                <w:szCs w:val="17"/>
              </w:rPr>
              <w:t>134 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D33" w14:textId="77777777" w:rsidR="00066C63" w:rsidRDefault="00066C63">
            <w:pPr>
              <w:jc w:val="right"/>
              <w:rPr>
                <w:rFonts w:ascii="宋体"/>
              </w:rPr>
            </w:pPr>
          </w:p>
        </w:tc>
      </w:tr>
      <w:tr w:rsidR="00066C63" w14:paraId="669C6D51"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D35" w14:textId="77777777" w:rsidR="00066C63" w:rsidRDefault="009656F6">
            <w:pPr>
              <w:textAlignment w:val="bottom"/>
            </w:pPr>
            <w:r>
              <w:rPr>
                <w:rFonts w:ascii="Arial" w:eastAsia="宋体" w:hAnsi="Arial" w:cs="Arial"/>
                <w:b/>
                <w:bCs/>
                <w:color w:val="000000"/>
                <w:sz w:val="17"/>
                <w:szCs w:val="17"/>
              </w:rPr>
              <w:t>TOTAL 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669C6D36"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669C6D37" w14:textId="77777777" w:rsidR="00066C63" w:rsidRDefault="009656F6">
            <w:pPr>
              <w:jc w:val="right"/>
              <w:textAlignment w:val="bottom"/>
            </w:pPr>
            <w:r>
              <w:rPr>
                <w:rFonts w:ascii="Arial" w:eastAsia="宋体" w:hAnsi="Arial" w:cs="Arial"/>
                <w:b/>
                <w:bCs/>
                <w:color w:val="000000"/>
                <w:sz w:val="17"/>
                <w:szCs w:val="17"/>
              </w:rPr>
              <w:t>11,795</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6D38" w14:textId="77777777" w:rsidR="00066C63" w:rsidRDefault="00066C63">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669C6D39"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669C6D3A" w14:textId="77777777" w:rsidR="00066C63" w:rsidRDefault="009656F6">
            <w:pPr>
              <w:jc w:val="right"/>
              <w:textAlignment w:val="bottom"/>
            </w:pPr>
            <w:r>
              <w:rPr>
                <w:rFonts w:ascii="Arial" w:eastAsia="宋体" w:hAnsi="Arial" w:cs="Arial"/>
                <w:b/>
                <w:bCs/>
                <w:color w:val="000000"/>
                <w:sz w:val="17"/>
                <w:szCs w:val="17"/>
              </w:rPr>
              <w:t>8,477</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6D3B" w14:textId="77777777" w:rsidR="00066C63" w:rsidRDefault="00066C63">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669C6D3C"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669C6D3D" w14:textId="77777777" w:rsidR="00066C63" w:rsidRDefault="009656F6">
            <w:pPr>
              <w:jc w:val="right"/>
              <w:textAlignment w:val="bottom"/>
            </w:pPr>
            <w:r>
              <w:rPr>
                <w:rFonts w:ascii="Arial" w:eastAsia="宋体" w:hAnsi="Arial" w:cs="Arial"/>
                <w:b/>
                <w:bCs/>
                <w:color w:val="000000"/>
                <w:sz w:val="17"/>
                <w:szCs w:val="17"/>
              </w:rPr>
              <w:t>6,357</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6D3E" w14:textId="77777777" w:rsidR="00066C63" w:rsidRDefault="00066C63">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669C6D3F"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669C6D40" w14:textId="77777777" w:rsidR="00066C63" w:rsidRDefault="009656F6">
            <w:pPr>
              <w:jc w:val="right"/>
              <w:textAlignment w:val="bottom"/>
            </w:pPr>
            <w:r>
              <w:rPr>
                <w:rFonts w:ascii="Arial" w:eastAsia="宋体" w:hAnsi="Arial" w:cs="Arial"/>
                <w:b/>
                <w:bCs/>
                <w:color w:val="000000"/>
                <w:sz w:val="17"/>
                <w:szCs w:val="17"/>
              </w:rPr>
              <w:t>3,885</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6D41" w14:textId="77777777" w:rsidR="00066C63" w:rsidRDefault="00066C63">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669C6D42"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669C6D43" w14:textId="77777777" w:rsidR="00066C63" w:rsidRDefault="009656F6">
            <w:pPr>
              <w:jc w:val="right"/>
              <w:textAlignment w:val="bottom"/>
            </w:pPr>
            <w:r>
              <w:rPr>
                <w:rFonts w:ascii="Arial" w:eastAsia="宋体" w:hAnsi="Arial" w:cs="Arial"/>
                <w:b/>
                <w:bCs/>
                <w:color w:val="000000"/>
                <w:sz w:val="17"/>
                <w:szCs w:val="17"/>
              </w:rPr>
              <w:t>18</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6D44" w14:textId="77777777" w:rsidR="00066C63" w:rsidRDefault="00066C63">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669C6D45"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669C6D46" w14:textId="77777777" w:rsidR="00066C63" w:rsidRDefault="009656F6">
            <w:pPr>
              <w:jc w:val="right"/>
              <w:textAlignment w:val="bottom"/>
            </w:pPr>
            <w:r>
              <w:rPr>
                <w:rFonts w:ascii="Arial" w:eastAsia="宋体" w:hAnsi="Arial" w:cs="Arial"/>
                <w:b/>
                <w:bCs/>
                <w:color w:val="000000"/>
                <w:sz w:val="17"/>
                <w:szCs w:val="17"/>
              </w:rPr>
              <w:t>30,532</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6D47" w14:textId="77777777" w:rsidR="00066C63" w:rsidRDefault="00066C63">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669C6D48"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669C6D49" w14:textId="77777777" w:rsidR="00066C63" w:rsidRDefault="009656F6">
            <w:pPr>
              <w:jc w:val="right"/>
              <w:textAlignment w:val="bottom"/>
            </w:pPr>
            <w:r>
              <w:rPr>
                <w:rFonts w:ascii="Arial" w:eastAsia="宋体" w:hAnsi="Arial" w:cs="Arial"/>
                <w:b/>
                <w:bCs/>
                <w:color w:val="000000"/>
                <w:sz w:val="17"/>
                <w:szCs w:val="17"/>
              </w:rPr>
              <w:t>1,609</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6D4A" w14:textId="77777777" w:rsidR="00066C63" w:rsidRDefault="00066C63">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669C6D4B"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669C6D4C" w14:textId="77777777" w:rsidR="00066C63" w:rsidRDefault="009656F6">
            <w:pPr>
              <w:jc w:val="right"/>
              <w:textAlignment w:val="bottom"/>
            </w:pPr>
            <w:r>
              <w:rPr>
                <w:rFonts w:ascii="Arial" w:eastAsia="宋体" w:hAnsi="Arial" w:cs="Arial"/>
                <w:b/>
                <w:bCs/>
                <w:color w:val="000000"/>
                <w:sz w:val="17"/>
                <w:szCs w:val="17"/>
              </w:rPr>
              <w:t>53</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6D4D" w14:textId="77777777" w:rsidR="00066C63" w:rsidRDefault="00066C63">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669C6D4E"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669C6D4F" w14:textId="77777777" w:rsidR="00066C63" w:rsidRDefault="009656F6">
            <w:pPr>
              <w:jc w:val="right"/>
              <w:textAlignment w:val="bottom"/>
            </w:pPr>
            <w:r>
              <w:rPr>
                <w:rFonts w:ascii="Arial" w:eastAsia="宋体" w:hAnsi="Arial" w:cs="Arial"/>
                <w:b/>
                <w:bCs/>
                <w:color w:val="000000"/>
                <w:sz w:val="17"/>
                <w:szCs w:val="17"/>
              </w:rPr>
              <w:t>32,194</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6D50" w14:textId="77777777" w:rsidR="00066C63" w:rsidRDefault="00066C63">
            <w:pPr>
              <w:jc w:val="right"/>
              <w:rPr>
                <w:rFonts w:ascii="宋体"/>
              </w:rPr>
            </w:pPr>
          </w:p>
        </w:tc>
      </w:tr>
      <w:tr w:rsidR="00066C63" w14:paraId="669C6D5C"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D52" w14:textId="77777777" w:rsidR="00066C63" w:rsidRDefault="009656F6">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FFF1E7"/>
            <w:tcMar>
              <w:top w:w="0" w:type="dxa"/>
              <w:left w:w="20" w:type="dxa"/>
              <w:bottom w:w="0" w:type="dxa"/>
              <w:right w:w="20" w:type="dxa"/>
            </w:tcMar>
          </w:tcPr>
          <w:p w14:paraId="669C6D53" w14:textId="77777777" w:rsidR="00066C63" w:rsidRDefault="00066C63">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669C6D54" w14:textId="77777777" w:rsidR="00066C63" w:rsidRDefault="00066C63">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669C6D55" w14:textId="77777777" w:rsidR="00066C63" w:rsidRDefault="00066C63">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669C6D56" w14:textId="77777777" w:rsidR="00066C63" w:rsidRDefault="00066C63">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669C6D57" w14:textId="77777777" w:rsidR="00066C63" w:rsidRDefault="00066C63">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669C6D58" w14:textId="77777777" w:rsidR="00066C63" w:rsidRDefault="00066C63">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669C6D59" w14:textId="77777777" w:rsidR="00066C63" w:rsidRDefault="00066C63">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669C6D5A" w14:textId="77777777" w:rsidR="00066C63" w:rsidRDefault="00066C63">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669C6D5B" w14:textId="77777777" w:rsidR="00066C63" w:rsidRDefault="00066C63">
            <w:pPr>
              <w:rPr>
                <w:rFonts w:ascii="宋体"/>
              </w:rPr>
            </w:pPr>
          </w:p>
        </w:tc>
      </w:tr>
      <w:tr w:rsidR="00066C63" w14:paraId="669C6D79"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6D5D" w14:textId="77777777" w:rsidR="00066C63" w:rsidRDefault="009656F6">
            <w:pPr>
              <w:textAlignment w:val="bottom"/>
            </w:pPr>
            <w:r>
              <w:rPr>
                <w:rFonts w:ascii="Arial" w:eastAsia="宋体" w:hAnsi="Arial" w:cs="Arial"/>
                <w:color w:val="000000"/>
                <w:sz w:val="17"/>
                <w:szCs w:val="17"/>
              </w:rPr>
              <w:t>Sales to Wholesale Customers</w:t>
            </w:r>
          </w:p>
        </w:tc>
        <w:tc>
          <w:tcPr>
            <w:tcW w:w="0" w:type="auto"/>
            <w:tcBorders>
              <w:top w:val="single" w:sz="8" w:space="0" w:color="808080"/>
            </w:tcBorders>
            <w:shd w:val="clear" w:color="auto" w:fill="FFF1E7"/>
            <w:tcMar>
              <w:top w:w="40" w:type="dxa"/>
              <w:left w:w="20" w:type="dxa"/>
              <w:bottom w:w="40" w:type="dxa"/>
              <w:right w:w="0" w:type="dxa"/>
            </w:tcMar>
            <w:vAlign w:val="bottom"/>
          </w:tcPr>
          <w:p w14:paraId="669C6D5E"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669C6D5F" w14:textId="77777777" w:rsidR="00066C63" w:rsidRDefault="009656F6">
            <w:pPr>
              <w:jc w:val="right"/>
              <w:textAlignment w:val="bottom"/>
            </w:pPr>
            <w:r>
              <w:rPr>
                <w:rFonts w:ascii="Arial" w:eastAsia="宋体" w:hAnsi="Arial" w:cs="Arial"/>
                <w:color w:val="000000"/>
                <w:sz w:val="17"/>
                <w:szCs w:val="17"/>
              </w:rPr>
              <w:t>6,967 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D60" w14:textId="77777777" w:rsidR="00066C63" w:rsidRDefault="00066C63">
            <w:pPr>
              <w:jc w:val="right"/>
              <w:rPr>
                <w:rFonts w:ascii="宋体"/>
              </w:rPr>
            </w:pPr>
          </w:p>
        </w:tc>
        <w:tc>
          <w:tcPr>
            <w:tcW w:w="0" w:type="auto"/>
            <w:tcBorders>
              <w:top w:val="single" w:sz="8" w:space="0" w:color="808080"/>
            </w:tcBorders>
            <w:shd w:val="clear" w:color="auto" w:fill="FFF1E7"/>
            <w:tcMar>
              <w:top w:w="40" w:type="dxa"/>
              <w:left w:w="20" w:type="dxa"/>
              <w:bottom w:w="40" w:type="dxa"/>
              <w:right w:w="0" w:type="dxa"/>
            </w:tcMar>
            <w:vAlign w:val="bottom"/>
          </w:tcPr>
          <w:p w14:paraId="669C6D61"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669C6D62" w14:textId="77777777" w:rsidR="00066C63" w:rsidRDefault="009656F6">
            <w:pPr>
              <w:jc w:val="right"/>
              <w:textAlignment w:val="bottom"/>
            </w:pPr>
            <w:r>
              <w:rPr>
                <w:rFonts w:ascii="Arial" w:eastAsia="宋体" w:hAnsi="Arial" w:cs="Arial"/>
                <w:color w:val="000000"/>
                <w:sz w:val="17"/>
                <w:szCs w:val="17"/>
              </w:rPr>
              <w:t>5,763 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D63" w14:textId="77777777" w:rsidR="00066C63" w:rsidRDefault="00066C63">
            <w:pPr>
              <w:jc w:val="right"/>
              <w:rPr>
                <w:rFonts w:ascii="宋体"/>
              </w:rPr>
            </w:pPr>
          </w:p>
        </w:tc>
        <w:tc>
          <w:tcPr>
            <w:tcW w:w="0" w:type="auto"/>
            <w:tcBorders>
              <w:top w:val="single" w:sz="8" w:space="0" w:color="808080"/>
            </w:tcBorders>
            <w:shd w:val="clear" w:color="auto" w:fill="FFF1E7"/>
            <w:tcMar>
              <w:top w:w="40" w:type="dxa"/>
              <w:left w:w="20" w:type="dxa"/>
              <w:bottom w:w="40" w:type="dxa"/>
              <w:right w:w="0" w:type="dxa"/>
            </w:tcMar>
            <w:vAlign w:val="bottom"/>
          </w:tcPr>
          <w:p w14:paraId="669C6D64"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669C6D65" w14:textId="77777777" w:rsidR="00066C63" w:rsidRDefault="009656F6">
            <w:pPr>
              <w:jc w:val="right"/>
              <w:textAlignment w:val="bottom"/>
            </w:pPr>
            <w:r>
              <w:rPr>
                <w:rFonts w:ascii="Arial" w:eastAsia="宋体" w:hAnsi="Arial" w:cs="Arial"/>
                <w:color w:val="000000"/>
                <w:sz w:val="17"/>
                <w:szCs w:val="17"/>
              </w:rPr>
              <w:t>3,392 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D66" w14:textId="77777777" w:rsidR="00066C63" w:rsidRDefault="00066C63">
            <w:pPr>
              <w:jc w:val="right"/>
              <w:rPr>
                <w:rFonts w:ascii="宋体"/>
              </w:rPr>
            </w:pPr>
          </w:p>
        </w:tc>
        <w:tc>
          <w:tcPr>
            <w:tcW w:w="0" w:type="auto"/>
            <w:tcBorders>
              <w:top w:val="single" w:sz="8" w:space="0" w:color="808080"/>
            </w:tcBorders>
            <w:shd w:val="clear" w:color="auto" w:fill="FFF1E7"/>
            <w:tcMar>
              <w:top w:w="40" w:type="dxa"/>
              <w:left w:w="20" w:type="dxa"/>
              <w:bottom w:w="40" w:type="dxa"/>
              <w:right w:w="0" w:type="dxa"/>
            </w:tcMar>
            <w:vAlign w:val="bottom"/>
          </w:tcPr>
          <w:p w14:paraId="669C6D67"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669C6D68" w14:textId="77777777" w:rsidR="00066C63" w:rsidRDefault="009656F6">
            <w:pPr>
              <w:jc w:val="right"/>
              <w:textAlignment w:val="bottom"/>
            </w:pPr>
            <w:r>
              <w:rPr>
                <w:rFonts w:ascii="Arial" w:eastAsia="宋体" w:hAnsi="Arial" w:cs="Arial"/>
                <w:color w:val="000000"/>
                <w:sz w:val="17"/>
                <w:szCs w:val="17"/>
              </w:rPr>
              <w:t>2,479 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D69" w14:textId="77777777" w:rsidR="00066C63" w:rsidRDefault="00066C63">
            <w:pPr>
              <w:jc w:val="right"/>
              <w:rPr>
                <w:rFonts w:ascii="宋体"/>
              </w:rPr>
            </w:pPr>
          </w:p>
        </w:tc>
        <w:tc>
          <w:tcPr>
            <w:tcW w:w="0" w:type="auto"/>
            <w:tcBorders>
              <w:top w:val="single" w:sz="8" w:space="0" w:color="808080"/>
            </w:tcBorders>
            <w:shd w:val="clear" w:color="auto" w:fill="FFF1E7"/>
            <w:tcMar>
              <w:top w:w="40" w:type="dxa"/>
              <w:left w:w="20" w:type="dxa"/>
              <w:bottom w:w="40" w:type="dxa"/>
              <w:right w:w="0" w:type="dxa"/>
            </w:tcMar>
            <w:vAlign w:val="bottom"/>
          </w:tcPr>
          <w:p w14:paraId="669C6D6A"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669C6D6B" w14:textId="77777777" w:rsidR="00066C63" w:rsidRDefault="009656F6">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D6C" w14:textId="77777777" w:rsidR="00066C63" w:rsidRDefault="00066C63">
            <w:pPr>
              <w:jc w:val="right"/>
              <w:rPr>
                <w:rFonts w:ascii="宋体"/>
              </w:rPr>
            </w:pPr>
          </w:p>
        </w:tc>
        <w:tc>
          <w:tcPr>
            <w:tcW w:w="0" w:type="auto"/>
            <w:tcBorders>
              <w:top w:val="single" w:sz="8" w:space="0" w:color="808080"/>
            </w:tcBorders>
            <w:shd w:val="clear" w:color="auto" w:fill="FFF1E7"/>
            <w:tcMar>
              <w:top w:w="40" w:type="dxa"/>
              <w:left w:w="20" w:type="dxa"/>
              <w:bottom w:w="40" w:type="dxa"/>
              <w:right w:w="0" w:type="dxa"/>
            </w:tcMar>
            <w:vAlign w:val="bottom"/>
          </w:tcPr>
          <w:p w14:paraId="669C6D6D"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669C6D6E" w14:textId="77777777" w:rsidR="00066C63" w:rsidRDefault="009656F6">
            <w:pPr>
              <w:jc w:val="right"/>
              <w:textAlignment w:val="bottom"/>
            </w:pPr>
            <w:r>
              <w:rPr>
                <w:rFonts w:ascii="Arial" w:eastAsia="宋体" w:hAnsi="Arial" w:cs="Arial"/>
                <w:color w:val="000000"/>
                <w:sz w:val="17"/>
                <w:szCs w:val="17"/>
              </w:rPr>
              <w:t>18,601 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D6F" w14:textId="77777777" w:rsidR="00066C63" w:rsidRDefault="00066C63">
            <w:pPr>
              <w:jc w:val="right"/>
              <w:rPr>
                <w:rFonts w:ascii="宋体"/>
              </w:rPr>
            </w:pPr>
          </w:p>
        </w:tc>
        <w:tc>
          <w:tcPr>
            <w:tcW w:w="0" w:type="auto"/>
            <w:tcBorders>
              <w:top w:val="single" w:sz="8" w:space="0" w:color="808080"/>
            </w:tcBorders>
            <w:shd w:val="clear" w:color="auto" w:fill="FFF1E7"/>
            <w:tcMar>
              <w:top w:w="40" w:type="dxa"/>
              <w:left w:w="20" w:type="dxa"/>
              <w:bottom w:w="40" w:type="dxa"/>
              <w:right w:w="0" w:type="dxa"/>
            </w:tcMar>
            <w:vAlign w:val="bottom"/>
          </w:tcPr>
          <w:p w14:paraId="669C6D70"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669C6D71" w14:textId="77777777" w:rsidR="00066C63" w:rsidRDefault="009656F6">
            <w:pPr>
              <w:jc w:val="right"/>
              <w:textAlignment w:val="bottom"/>
            </w:pPr>
            <w:r>
              <w:rPr>
                <w:rFonts w:ascii="Arial" w:eastAsia="宋体" w:hAnsi="Arial" w:cs="Arial"/>
                <w:color w:val="000000"/>
                <w:sz w:val="17"/>
                <w:szCs w:val="17"/>
              </w:rPr>
              <w:t>998 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D72" w14:textId="77777777" w:rsidR="00066C63" w:rsidRDefault="00066C63">
            <w:pPr>
              <w:jc w:val="right"/>
              <w:rPr>
                <w:rFonts w:ascii="宋体"/>
              </w:rPr>
            </w:pPr>
          </w:p>
        </w:tc>
        <w:tc>
          <w:tcPr>
            <w:tcW w:w="0" w:type="auto"/>
            <w:tcBorders>
              <w:top w:val="single" w:sz="8" w:space="0" w:color="808080"/>
            </w:tcBorders>
            <w:shd w:val="clear" w:color="auto" w:fill="FFF1E7"/>
            <w:tcMar>
              <w:top w:w="40" w:type="dxa"/>
              <w:left w:w="20" w:type="dxa"/>
              <w:bottom w:w="40" w:type="dxa"/>
              <w:right w:w="0" w:type="dxa"/>
            </w:tcMar>
            <w:vAlign w:val="bottom"/>
          </w:tcPr>
          <w:p w14:paraId="669C6D73"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669C6D74" w14:textId="77777777" w:rsidR="00066C63" w:rsidRDefault="009656F6">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D75" w14:textId="77777777" w:rsidR="00066C63" w:rsidRDefault="00066C63">
            <w:pPr>
              <w:jc w:val="right"/>
              <w:rPr>
                <w:rFonts w:ascii="宋体"/>
              </w:rPr>
            </w:pPr>
          </w:p>
        </w:tc>
        <w:tc>
          <w:tcPr>
            <w:tcW w:w="0" w:type="auto"/>
            <w:tcBorders>
              <w:top w:val="single" w:sz="8" w:space="0" w:color="808080"/>
            </w:tcBorders>
            <w:shd w:val="clear" w:color="auto" w:fill="FFF1E7"/>
            <w:tcMar>
              <w:top w:w="40" w:type="dxa"/>
              <w:left w:w="20" w:type="dxa"/>
              <w:bottom w:w="40" w:type="dxa"/>
              <w:right w:w="0" w:type="dxa"/>
            </w:tcMar>
            <w:vAlign w:val="bottom"/>
          </w:tcPr>
          <w:p w14:paraId="669C6D76"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669C6D77" w14:textId="77777777" w:rsidR="00066C63" w:rsidRDefault="009656F6">
            <w:pPr>
              <w:jc w:val="right"/>
              <w:textAlignment w:val="bottom"/>
            </w:pPr>
            <w:r>
              <w:rPr>
                <w:rFonts w:ascii="Arial" w:eastAsia="宋体" w:hAnsi="Arial" w:cs="Arial"/>
                <w:color w:val="000000"/>
                <w:sz w:val="17"/>
                <w:szCs w:val="17"/>
              </w:rPr>
              <w:t>19,599 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D78" w14:textId="77777777" w:rsidR="00066C63" w:rsidRDefault="00066C63">
            <w:pPr>
              <w:jc w:val="right"/>
              <w:rPr>
                <w:rFonts w:ascii="宋体"/>
              </w:rPr>
            </w:pPr>
          </w:p>
        </w:tc>
      </w:tr>
      <w:tr w:rsidR="00066C63" w14:paraId="669C6D8D"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6D7A" w14:textId="77777777" w:rsidR="00066C63" w:rsidRDefault="009656F6">
            <w:pPr>
              <w:textAlignment w:val="bottom"/>
            </w:pPr>
            <w:r>
              <w:rPr>
                <w:rFonts w:ascii="Arial" w:eastAsia="宋体" w:hAnsi="Arial" w:cs="Arial"/>
                <w:color w:val="000000"/>
                <w:sz w:val="17"/>
                <w:szCs w:val="17"/>
              </w:rPr>
              <w:t>Sales through Direct to Consumer</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D7B" w14:textId="77777777" w:rsidR="00066C63" w:rsidRDefault="009656F6">
            <w:pPr>
              <w:jc w:val="right"/>
              <w:textAlignment w:val="bottom"/>
            </w:pPr>
            <w:r>
              <w:rPr>
                <w:rFonts w:ascii="Arial" w:eastAsia="宋体" w:hAnsi="Arial" w:cs="Arial"/>
                <w:color w:val="000000"/>
                <w:sz w:val="17"/>
                <w:szCs w:val="17"/>
              </w:rPr>
              <w:t>4,828 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D7C" w14:textId="77777777" w:rsidR="00066C63" w:rsidRDefault="00066C63">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D7D" w14:textId="77777777" w:rsidR="00066C63" w:rsidRDefault="009656F6">
            <w:pPr>
              <w:jc w:val="right"/>
              <w:textAlignment w:val="bottom"/>
            </w:pPr>
            <w:r>
              <w:rPr>
                <w:rFonts w:ascii="Arial" w:eastAsia="宋体" w:hAnsi="Arial" w:cs="Arial"/>
                <w:color w:val="000000"/>
                <w:sz w:val="17"/>
                <w:szCs w:val="17"/>
              </w:rPr>
              <w:t>2,714 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D7E" w14:textId="77777777" w:rsidR="00066C63" w:rsidRDefault="00066C63">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D7F" w14:textId="77777777" w:rsidR="00066C63" w:rsidRDefault="009656F6">
            <w:pPr>
              <w:jc w:val="right"/>
              <w:textAlignment w:val="bottom"/>
            </w:pPr>
            <w:r>
              <w:rPr>
                <w:rFonts w:ascii="Arial" w:eastAsia="宋体" w:hAnsi="Arial" w:cs="Arial"/>
                <w:color w:val="000000"/>
                <w:sz w:val="17"/>
                <w:szCs w:val="17"/>
              </w:rPr>
              <w:t>2,965 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D80" w14:textId="77777777" w:rsidR="00066C63" w:rsidRDefault="00066C63">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D81" w14:textId="77777777" w:rsidR="00066C63" w:rsidRDefault="009656F6">
            <w:pPr>
              <w:jc w:val="right"/>
              <w:textAlignment w:val="bottom"/>
            </w:pPr>
            <w:r>
              <w:rPr>
                <w:rFonts w:ascii="Arial" w:eastAsia="宋体" w:hAnsi="Arial" w:cs="Arial"/>
                <w:color w:val="000000"/>
                <w:sz w:val="17"/>
                <w:szCs w:val="17"/>
              </w:rPr>
              <w:t>1,406 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D82" w14:textId="77777777" w:rsidR="00066C63" w:rsidRDefault="00066C63">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D83" w14:textId="77777777" w:rsidR="00066C63" w:rsidRDefault="009656F6">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D84" w14:textId="77777777" w:rsidR="00066C63" w:rsidRDefault="00066C63">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D85" w14:textId="77777777" w:rsidR="00066C63" w:rsidRDefault="009656F6">
            <w:pPr>
              <w:jc w:val="right"/>
              <w:textAlignment w:val="bottom"/>
            </w:pPr>
            <w:r>
              <w:rPr>
                <w:rFonts w:ascii="Arial" w:eastAsia="宋体" w:hAnsi="Arial" w:cs="Arial"/>
                <w:color w:val="000000"/>
                <w:sz w:val="17"/>
                <w:szCs w:val="17"/>
              </w:rPr>
              <w:t>11,913 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D86" w14:textId="77777777" w:rsidR="00066C63" w:rsidRDefault="00066C63">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D87" w14:textId="77777777" w:rsidR="00066C63" w:rsidRDefault="009656F6">
            <w:pPr>
              <w:jc w:val="right"/>
              <w:textAlignment w:val="bottom"/>
            </w:pPr>
            <w:r>
              <w:rPr>
                <w:rFonts w:ascii="Arial" w:eastAsia="宋体" w:hAnsi="Arial" w:cs="Arial"/>
                <w:color w:val="000000"/>
                <w:sz w:val="17"/>
                <w:szCs w:val="17"/>
              </w:rPr>
              <w:t>548 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D88" w14:textId="77777777" w:rsidR="00066C63" w:rsidRDefault="00066C63">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D89" w14:textId="77777777" w:rsidR="00066C63" w:rsidRDefault="009656F6">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D8A" w14:textId="77777777" w:rsidR="00066C63" w:rsidRDefault="00066C63">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D8B" w14:textId="77777777" w:rsidR="00066C63" w:rsidRDefault="009656F6">
            <w:pPr>
              <w:jc w:val="right"/>
              <w:textAlignment w:val="bottom"/>
            </w:pPr>
            <w:r>
              <w:rPr>
                <w:rFonts w:ascii="Arial" w:eastAsia="宋体" w:hAnsi="Arial" w:cs="Arial"/>
                <w:color w:val="000000"/>
                <w:sz w:val="17"/>
                <w:szCs w:val="17"/>
              </w:rPr>
              <w:t>12,461 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D8C" w14:textId="77777777" w:rsidR="00066C63" w:rsidRDefault="00066C63">
            <w:pPr>
              <w:jc w:val="right"/>
              <w:rPr>
                <w:rFonts w:ascii="宋体"/>
              </w:rPr>
            </w:pPr>
          </w:p>
        </w:tc>
      </w:tr>
      <w:tr w:rsidR="00066C63" w14:paraId="669C6DA1"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6D8E" w14:textId="77777777" w:rsidR="00066C63" w:rsidRDefault="009656F6">
            <w:pPr>
              <w:textAlignment w:val="bottom"/>
            </w:pPr>
            <w:r>
              <w:rPr>
                <w:rFonts w:ascii="Arial" w:eastAsia="宋体" w:hAnsi="Arial" w:cs="Arial"/>
                <w:color w:val="000000"/>
                <w:sz w:val="17"/>
                <w:szCs w:val="17"/>
              </w:rPr>
              <w:t>Other</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D8F" w14:textId="77777777" w:rsidR="00066C63" w:rsidRDefault="009656F6">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D90" w14:textId="77777777" w:rsidR="00066C63" w:rsidRDefault="00066C63">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D91" w14:textId="77777777" w:rsidR="00066C63" w:rsidRDefault="009656F6">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D92" w14:textId="77777777" w:rsidR="00066C63" w:rsidRDefault="00066C63">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D93" w14:textId="77777777" w:rsidR="00066C63" w:rsidRDefault="009656F6">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D94" w14:textId="77777777" w:rsidR="00066C63" w:rsidRDefault="00066C63">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D95" w14:textId="77777777" w:rsidR="00066C63" w:rsidRDefault="009656F6">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D96" w14:textId="77777777" w:rsidR="00066C63" w:rsidRDefault="00066C63">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D97" w14:textId="77777777" w:rsidR="00066C63" w:rsidRDefault="009656F6">
            <w:pPr>
              <w:jc w:val="right"/>
              <w:textAlignment w:val="bottom"/>
            </w:pPr>
            <w:r>
              <w:rPr>
                <w:rFonts w:ascii="Arial" w:eastAsia="宋体" w:hAnsi="Arial" w:cs="Arial"/>
                <w:color w:val="000000"/>
                <w:sz w:val="17"/>
                <w:szCs w:val="17"/>
              </w:rPr>
              <w:t>18 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D98" w14:textId="77777777" w:rsidR="00066C63" w:rsidRDefault="00066C63">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D99" w14:textId="77777777" w:rsidR="00066C63" w:rsidRDefault="009656F6">
            <w:pPr>
              <w:jc w:val="right"/>
              <w:textAlignment w:val="bottom"/>
            </w:pPr>
            <w:r>
              <w:rPr>
                <w:rFonts w:ascii="Arial" w:eastAsia="宋体" w:hAnsi="Arial" w:cs="Arial"/>
                <w:color w:val="000000"/>
                <w:sz w:val="17"/>
                <w:szCs w:val="17"/>
              </w:rPr>
              <w:t>18 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D9A" w14:textId="77777777" w:rsidR="00066C63" w:rsidRDefault="00066C63">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D9B" w14:textId="77777777" w:rsidR="00066C63" w:rsidRDefault="009656F6">
            <w:pPr>
              <w:jc w:val="right"/>
              <w:textAlignment w:val="bottom"/>
            </w:pPr>
            <w:r>
              <w:rPr>
                <w:rFonts w:ascii="Arial" w:eastAsia="宋体" w:hAnsi="Arial" w:cs="Arial"/>
                <w:color w:val="000000"/>
                <w:sz w:val="17"/>
                <w:szCs w:val="17"/>
              </w:rPr>
              <w:t>63 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D9C" w14:textId="77777777" w:rsidR="00066C63" w:rsidRDefault="00066C63">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D9D" w14:textId="77777777" w:rsidR="00066C63" w:rsidRDefault="009656F6">
            <w:pPr>
              <w:jc w:val="right"/>
              <w:textAlignment w:val="bottom"/>
            </w:pPr>
            <w:r>
              <w:rPr>
                <w:rFonts w:ascii="Arial" w:eastAsia="宋体" w:hAnsi="Arial" w:cs="Arial"/>
                <w:color w:val="000000"/>
                <w:sz w:val="17"/>
                <w:szCs w:val="17"/>
              </w:rPr>
              <w:t>53 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D9E" w14:textId="77777777" w:rsidR="00066C63" w:rsidRDefault="00066C63">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D9F" w14:textId="77777777" w:rsidR="00066C63" w:rsidRDefault="009656F6">
            <w:pPr>
              <w:jc w:val="right"/>
              <w:textAlignment w:val="bottom"/>
            </w:pPr>
            <w:r>
              <w:rPr>
                <w:rFonts w:ascii="Arial" w:eastAsia="宋体" w:hAnsi="Arial" w:cs="Arial"/>
                <w:color w:val="000000"/>
                <w:sz w:val="17"/>
                <w:szCs w:val="17"/>
              </w:rPr>
              <w:t>134 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DA0" w14:textId="77777777" w:rsidR="00066C63" w:rsidRDefault="00066C63">
            <w:pPr>
              <w:jc w:val="right"/>
              <w:rPr>
                <w:rFonts w:ascii="宋体"/>
              </w:rPr>
            </w:pPr>
          </w:p>
        </w:tc>
      </w:tr>
      <w:tr w:rsidR="00066C63" w14:paraId="669C6DBE"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669C6DA2" w14:textId="77777777" w:rsidR="00066C63" w:rsidRDefault="009656F6">
            <w:pPr>
              <w:textAlignment w:val="bottom"/>
            </w:pPr>
            <w:r>
              <w:rPr>
                <w:rFonts w:ascii="Arial" w:eastAsia="宋体" w:hAnsi="Arial" w:cs="Arial"/>
                <w:b/>
                <w:bCs/>
                <w:color w:val="000000"/>
                <w:sz w:val="17"/>
                <w:szCs w:val="17"/>
              </w:rPr>
              <w:t>TOTAL REVENUES</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69C6DA3"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669C6DA4" w14:textId="77777777" w:rsidR="00066C63" w:rsidRDefault="009656F6">
            <w:pPr>
              <w:jc w:val="right"/>
              <w:textAlignment w:val="bottom"/>
            </w:pPr>
            <w:r>
              <w:rPr>
                <w:rFonts w:ascii="Arial" w:eastAsia="宋体" w:hAnsi="Arial" w:cs="Arial"/>
                <w:b/>
                <w:bCs/>
                <w:color w:val="000000"/>
                <w:sz w:val="17"/>
                <w:szCs w:val="17"/>
              </w:rPr>
              <w:t>11,795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69C6DA5" w14:textId="77777777" w:rsidR="00066C63" w:rsidRDefault="00066C63">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69C6DA6"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669C6DA7" w14:textId="77777777" w:rsidR="00066C63" w:rsidRDefault="009656F6">
            <w:pPr>
              <w:jc w:val="right"/>
              <w:textAlignment w:val="bottom"/>
            </w:pPr>
            <w:r>
              <w:rPr>
                <w:rFonts w:ascii="Arial" w:eastAsia="宋体" w:hAnsi="Arial" w:cs="Arial"/>
                <w:b/>
                <w:bCs/>
                <w:color w:val="000000"/>
                <w:sz w:val="17"/>
                <w:szCs w:val="17"/>
              </w:rPr>
              <w:t>8,477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69C6DA8" w14:textId="77777777" w:rsidR="00066C63" w:rsidRDefault="00066C63">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69C6DA9"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669C6DAA" w14:textId="77777777" w:rsidR="00066C63" w:rsidRDefault="009656F6">
            <w:pPr>
              <w:jc w:val="right"/>
              <w:textAlignment w:val="bottom"/>
            </w:pPr>
            <w:r>
              <w:rPr>
                <w:rFonts w:ascii="Arial" w:eastAsia="宋体" w:hAnsi="Arial" w:cs="Arial"/>
                <w:b/>
                <w:bCs/>
                <w:color w:val="000000"/>
                <w:sz w:val="17"/>
                <w:szCs w:val="17"/>
              </w:rPr>
              <w:t>6,357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69C6DAB" w14:textId="77777777" w:rsidR="00066C63" w:rsidRDefault="00066C63">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69C6DAC"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669C6DAD" w14:textId="77777777" w:rsidR="00066C63" w:rsidRDefault="009656F6">
            <w:pPr>
              <w:jc w:val="right"/>
              <w:textAlignment w:val="bottom"/>
            </w:pPr>
            <w:r>
              <w:rPr>
                <w:rFonts w:ascii="Arial" w:eastAsia="宋体" w:hAnsi="Arial" w:cs="Arial"/>
                <w:b/>
                <w:bCs/>
                <w:color w:val="000000"/>
                <w:sz w:val="17"/>
                <w:szCs w:val="17"/>
              </w:rPr>
              <w:t>3,885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69C6DAE" w14:textId="77777777" w:rsidR="00066C63" w:rsidRDefault="00066C63">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69C6DAF"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669C6DB0" w14:textId="77777777" w:rsidR="00066C63" w:rsidRDefault="009656F6">
            <w:pPr>
              <w:jc w:val="right"/>
              <w:textAlignment w:val="bottom"/>
            </w:pPr>
            <w:r>
              <w:rPr>
                <w:rFonts w:ascii="Arial" w:eastAsia="宋体" w:hAnsi="Arial" w:cs="Arial"/>
                <w:b/>
                <w:bCs/>
                <w:color w:val="000000"/>
                <w:sz w:val="17"/>
                <w:szCs w:val="17"/>
              </w:rPr>
              <w:t>18</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69C6DB1" w14:textId="77777777" w:rsidR="00066C63" w:rsidRDefault="00066C63">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69C6DB2"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669C6DB3" w14:textId="77777777" w:rsidR="00066C63" w:rsidRDefault="009656F6">
            <w:pPr>
              <w:jc w:val="right"/>
              <w:textAlignment w:val="bottom"/>
            </w:pPr>
            <w:r>
              <w:rPr>
                <w:rFonts w:ascii="Arial" w:eastAsia="宋体" w:hAnsi="Arial" w:cs="Arial"/>
                <w:b/>
                <w:bCs/>
                <w:color w:val="000000"/>
                <w:sz w:val="17"/>
                <w:szCs w:val="17"/>
              </w:rPr>
              <w:t>30,532</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69C6DB4" w14:textId="77777777" w:rsidR="00066C63" w:rsidRDefault="00066C63">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69C6DB5"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669C6DB6" w14:textId="77777777" w:rsidR="00066C63" w:rsidRDefault="009656F6">
            <w:pPr>
              <w:jc w:val="right"/>
              <w:textAlignment w:val="bottom"/>
            </w:pPr>
            <w:r>
              <w:rPr>
                <w:rFonts w:ascii="Arial" w:eastAsia="宋体" w:hAnsi="Arial" w:cs="Arial"/>
                <w:b/>
                <w:bCs/>
                <w:color w:val="000000"/>
                <w:sz w:val="17"/>
                <w:szCs w:val="17"/>
              </w:rPr>
              <w:t>1,609</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69C6DB7" w14:textId="77777777" w:rsidR="00066C63" w:rsidRDefault="00066C63">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69C6DB8"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669C6DB9" w14:textId="77777777" w:rsidR="00066C63" w:rsidRDefault="009656F6">
            <w:pPr>
              <w:jc w:val="right"/>
              <w:textAlignment w:val="bottom"/>
            </w:pPr>
            <w:r>
              <w:rPr>
                <w:rFonts w:ascii="Arial" w:eastAsia="宋体" w:hAnsi="Arial" w:cs="Arial"/>
                <w:b/>
                <w:bCs/>
                <w:color w:val="000000"/>
                <w:sz w:val="17"/>
                <w:szCs w:val="17"/>
              </w:rPr>
              <w:t>53</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69C6DBA" w14:textId="77777777" w:rsidR="00066C63" w:rsidRDefault="00066C63">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69C6DBB"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669C6DBC" w14:textId="77777777" w:rsidR="00066C63" w:rsidRDefault="009656F6">
            <w:pPr>
              <w:jc w:val="right"/>
              <w:textAlignment w:val="bottom"/>
            </w:pPr>
            <w:r>
              <w:rPr>
                <w:rFonts w:ascii="Arial" w:eastAsia="宋体" w:hAnsi="Arial" w:cs="Arial"/>
                <w:b/>
                <w:bCs/>
                <w:color w:val="000000"/>
                <w:sz w:val="17"/>
                <w:szCs w:val="17"/>
              </w:rPr>
              <w:t>32,194</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69C6DBD" w14:textId="77777777" w:rsidR="00066C63" w:rsidRDefault="00066C63">
            <w:pPr>
              <w:jc w:val="right"/>
              <w:rPr>
                <w:rFonts w:ascii="宋体"/>
              </w:rPr>
            </w:pPr>
          </w:p>
        </w:tc>
      </w:tr>
    </w:tbl>
    <w:p w14:paraId="669C6DBF" w14:textId="77777777" w:rsidR="00066C63" w:rsidRDefault="009656F6">
      <w:pPr>
        <w:spacing w:before="60" w:after="60"/>
        <w:ind w:hanging="360"/>
      </w:pPr>
      <w:r>
        <w:rPr>
          <w:rFonts w:ascii="Arial" w:eastAsia="宋体" w:hAnsi="Arial" w:cs="Arial"/>
          <w:i/>
          <w:iCs/>
          <w:color w:val="000000"/>
          <w:sz w:val="14"/>
          <w:szCs w:val="14"/>
        </w:rPr>
        <w:t xml:space="preserve">(1)    Refer to Note 13 — Acquisitions and Divestitures for additional information on the transition of the Company's NIKE Brand business in Brazil to a </w:t>
      </w:r>
      <w:r>
        <w:rPr>
          <w:rFonts w:ascii="Arial" w:eastAsia="宋体" w:hAnsi="Arial" w:cs="Arial"/>
          <w:i/>
          <w:iCs/>
          <w:color w:val="000000"/>
          <w:sz w:val="14"/>
          <w:szCs w:val="14"/>
        </w:rPr>
        <w:t>third-party distributor.</w:t>
      </w:r>
    </w:p>
    <w:tbl>
      <w:tblPr>
        <w:tblW w:w="5000" w:type="pct"/>
        <w:tblCellMar>
          <w:top w:w="15" w:type="dxa"/>
          <w:left w:w="15" w:type="dxa"/>
          <w:bottom w:w="15" w:type="dxa"/>
          <w:right w:w="15" w:type="dxa"/>
        </w:tblCellMar>
        <w:tblLook w:val="04A0" w:firstRow="1" w:lastRow="0" w:firstColumn="1" w:lastColumn="0" w:noHBand="0" w:noVBand="1"/>
      </w:tblPr>
      <w:tblGrid>
        <w:gridCol w:w="43"/>
        <w:gridCol w:w="1214"/>
        <w:gridCol w:w="39"/>
        <w:gridCol w:w="115"/>
        <w:gridCol w:w="568"/>
        <w:gridCol w:w="36"/>
        <w:gridCol w:w="116"/>
        <w:gridCol w:w="572"/>
        <w:gridCol w:w="36"/>
        <w:gridCol w:w="116"/>
        <w:gridCol w:w="600"/>
        <w:gridCol w:w="36"/>
        <w:gridCol w:w="116"/>
        <w:gridCol w:w="620"/>
        <w:gridCol w:w="36"/>
        <w:gridCol w:w="116"/>
        <w:gridCol w:w="671"/>
        <w:gridCol w:w="36"/>
        <w:gridCol w:w="115"/>
        <w:gridCol w:w="568"/>
        <w:gridCol w:w="36"/>
        <w:gridCol w:w="116"/>
        <w:gridCol w:w="699"/>
        <w:gridCol w:w="36"/>
        <w:gridCol w:w="116"/>
        <w:gridCol w:w="809"/>
        <w:gridCol w:w="36"/>
        <w:gridCol w:w="115"/>
        <w:gridCol w:w="568"/>
        <w:gridCol w:w="36"/>
      </w:tblGrid>
      <w:tr w:rsidR="00066C63" w14:paraId="669C6DDE" w14:textId="77777777">
        <w:tc>
          <w:tcPr>
            <w:tcW w:w="50" w:type="pct"/>
            <w:shd w:val="clear" w:color="auto" w:fill="auto"/>
          </w:tcPr>
          <w:p w14:paraId="669C6DC0" w14:textId="77777777" w:rsidR="00066C63" w:rsidRDefault="00066C63">
            <w:pPr>
              <w:rPr>
                <w:rFonts w:ascii="宋体"/>
              </w:rPr>
            </w:pPr>
          </w:p>
        </w:tc>
        <w:tc>
          <w:tcPr>
            <w:tcW w:w="1110" w:type="pct"/>
            <w:shd w:val="clear" w:color="auto" w:fill="auto"/>
          </w:tcPr>
          <w:p w14:paraId="669C6DC1" w14:textId="77777777" w:rsidR="00066C63" w:rsidRDefault="00066C63">
            <w:pPr>
              <w:rPr>
                <w:rFonts w:ascii="宋体"/>
              </w:rPr>
            </w:pPr>
          </w:p>
        </w:tc>
        <w:tc>
          <w:tcPr>
            <w:tcW w:w="5" w:type="pct"/>
            <w:shd w:val="clear" w:color="auto" w:fill="auto"/>
          </w:tcPr>
          <w:p w14:paraId="669C6DC2" w14:textId="77777777" w:rsidR="00066C63" w:rsidRDefault="00066C63">
            <w:pPr>
              <w:rPr>
                <w:rFonts w:ascii="宋体"/>
              </w:rPr>
            </w:pPr>
          </w:p>
        </w:tc>
        <w:tc>
          <w:tcPr>
            <w:tcW w:w="50" w:type="pct"/>
            <w:shd w:val="clear" w:color="auto" w:fill="auto"/>
          </w:tcPr>
          <w:p w14:paraId="669C6DC3" w14:textId="77777777" w:rsidR="00066C63" w:rsidRDefault="00066C63">
            <w:pPr>
              <w:rPr>
                <w:rFonts w:ascii="宋体"/>
              </w:rPr>
            </w:pPr>
          </w:p>
        </w:tc>
        <w:tc>
          <w:tcPr>
            <w:tcW w:w="353" w:type="pct"/>
            <w:shd w:val="clear" w:color="auto" w:fill="auto"/>
          </w:tcPr>
          <w:p w14:paraId="669C6DC4" w14:textId="77777777" w:rsidR="00066C63" w:rsidRDefault="00066C63">
            <w:pPr>
              <w:rPr>
                <w:rFonts w:ascii="宋体"/>
              </w:rPr>
            </w:pPr>
          </w:p>
        </w:tc>
        <w:tc>
          <w:tcPr>
            <w:tcW w:w="5" w:type="pct"/>
            <w:shd w:val="clear" w:color="auto" w:fill="auto"/>
          </w:tcPr>
          <w:p w14:paraId="669C6DC5" w14:textId="77777777" w:rsidR="00066C63" w:rsidRDefault="00066C63">
            <w:pPr>
              <w:rPr>
                <w:rFonts w:ascii="宋体"/>
              </w:rPr>
            </w:pPr>
          </w:p>
        </w:tc>
        <w:tc>
          <w:tcPr>
            <w:tcW w:w="50" w:type="pct"/>
            <w:shd w:val="clear" w:color="auto" w:fill="auto"/>
          </w:tcPr>
          <w:p w14:paraId="669C6DC6" w14:textId="77777777" w:rsidR="00066C63" w:rsidRDefault="00066C63">
            <w:pPr>
              <w:rPr>
                <w:rFonts w:ascii="宋体"/>
              </w:rPr>
            </w:pPr>
          </w:p>
        </w:tc>
        <w:tc>
          <w:tcPr>
            <w:tcW w:w="353" w:type="pct"/>
            <w:shd w:val="clear" w:color="auto" w:fill="auto"/>
          </w:tcPr>
          <w:p w14:paraId="669C6DC7" w14:textId="77777777" w:rsidR="00066C63" w:rsidRDefault="00066C63">
            <w:pPr>
              <w:rPr>
                <w:rFonts w:ascii="宋体"/>
              </w:rPr>
            </w:pPr>
          </w:p>
        </w:tc>
        <w:tc>
          <w:tcPr>
            <w:tcW w:w="5" w:type="pct"/>
            <w:shd w:val="clear" w:color="auto" w:fill="auto"/>
          </w:tcPr>
          <w:p w14:paraId="669C6DC8" w14:textId="77777777" w:rsidR="00066C63" w:rsidRDefault="00066C63">
            <w:pPr>
              <w:rPr>
                <w:rFonts w:ascii="宋体"/>
              </w:rPr>
            </w:pPr>
          </w:p>
        </w:tc>
        <w:tc>
          <w:tcPr>
            <w:tcW w:w="50" w:type="pct"/>
            <w:shd w:val="clear" w:color="auto" w:fill="auto"/>
          </w:tcPr>
          <w:p w14:paraId="669C6DC9" w14:textId="77777777" w:rsidR="00066C63" w:rsidRDefault="00066C63">
            <w:pPr>
              <w:rPr>
                <w:rFonts w:ascii="宋体"/>
              </w:rPr>
            </w:pPr>
          </w:p>
        </w:tc>
        <w:tc>
          <w:tcPr>
            <w:tcW w:w="353" w:type="pct"/>
            <w:shd w:val="clear" w:color="auto" w:fill="auto"/>
          </w:tcPr>
          <w:p w14:paraId="669C6DCA" w14:textId="77777777" w:rsidR="00066C63" w:rsidRDefault="00066C63">
            <w:pPr>
              <w:rPr>
                <w:rFonts w:ascii="宋体"/>
              </w:rPr>
            </w:pPr>
          </w:p>
        </w:tc>
        <w:tc>
          <w:tcPr>
            <w:tcW w:w="5" w:type="pct"/>
            <w:shd w:val="clear" w:color="auto" w:fill="auto"/>
          </w:tcPr>
          <w:p w14:paraId="669C6DCB" w14:textId="77777777" w:rsidR="00066C63" w:rsidRDefault="00066C63">
            <w:pPr>
              <w:rPr>
                <w:rFonts w:ascii="宋体"/>
              </w:rPr>
            </w:pPr>
          </w:p>
        </w:tc>
        <w:tc>
          <w:tcPr>
            <w:tcW w:w="50" w:type="pct"/>
            <w:shd w:val="clear" w:color="auto" w:fill="auto"/>
          </w:tcPr>
          <w:p w14:paraId="669C6DCC" w14:textId="77777777" w:rsidR="00066C63" w:rsidRDefault="00066C63">
            <w:pPr>
              <w:rPr>
                <w:rFonts w:ascii="宋体"/>
              </w:rPr>
            </w:pPr>
          </w:p>
        </w:tc>
        <w:tc>
          <w:tcPr>
            <w:tcW w:w="384" w:type="pct"/>
            <w:shd w:val="clear" w:color="auto" w:fill="auto"/>
          </w:tcPr>
          <w:p w14:paraId="669C6DCD" w14:textId="77777777" w:rsidR="00066C63" w:rsidRDefault="00066C63">
            <w:pPr>
              <w:rPr>
                <w:rFonts w:ascii="宋体"/>
              </w:rPr>
            </w:pPr>
          </w:p>
        </w:tc>
        <w:tc>
          <w:tcPr>
            <w:tcW w:w="5" w:type="pct"/>
            <w:shd w:val="clear" w:color="auto" w:fill="auto"/>
          </w:tcPr>
          <w:p w14:paraId="669C6DCE" w14:textId="77777777" w:rsidR="00066C63" w:rsidRDefault="00066C63">
            <w:pPr>
              <w:rPr>
                <w:rFonts w:ascii="宋体"/>
              </w:rPr>
            </w:pPr>
          </w:p>
        </w:tc>
        <w:tc>
          <w:tcPr>
            <w:tcW w:w="50" w:type="pct"/>
            <w:shd w:val="clear" w:color="auto" w:fill="auto"/>
          </w:tcPr>
          <w:p w14:paraId="669C6DCF" w14:textId="77777777" w:rsidR="00066C63" w:rsidRDefault="00066C63">
            <w:pPr>
              <w:rPr>
                <w:rFonts w:ascii="宋体"/>
              </w:rPr>
            </w:pPr>
          </w:p>
        </w:tc>
        <w:tc>
          <w:tcPr>
            <w:tcW w:w="369" w:type="pct"/>
            <w:shd w:val="clear" w:color="auto" w:fill="auto"/>
          </w:tcPr>
          <w:p w14:paraId="669C6DD0" w14:textId="77777777" w:rsidR="00066C63" w:rsidRDefault="00066C63">
            <w:pPr>
              <w:rPr>
                <w:rFonts w:ascii="宋体"/>
              </w:rPr>
            </w:pPr>
          </w:p>
        </w:tc>
        <w:tc>
          <w:tcPr>
            <w:tcW w:w="5" w:type="pct"/>
            <w:shd w:val="clear" w:color="auto" w:fill="auto"/>
          </w:tcPr>
          <w:p w14:paraId="669C6DD1" w14:textId="77777777" w:rsidR="00066C63" w:rsidRDefault="00066C63">
            <w:pPr>
              <w:rPr>
                <w:rFonts w:ascii="宋体"/>
              </w:rPr>
            </w:pPr>
          </w:p>
        </w:tc>
        <w:tc>
          <w:tcPr>
            <w:tcW w:w="50" w:type="pct"/>
            <w:shd w:val="clear" w:color="auto" w:fill="auto"/>
          </w:tcPr>
          <w:p w14:paraId="669C6DD2" w14:textId="77777777" w:rsidR="00066C63" w:rsidRDefault="00066C63">
            <w:pPr>
              <w:rPr>
                <w:rFonts w:ascii="宋体"/>
              </w:rPr>
            </w:pPr>
          </w:p>
        </w:tc>
        <w:tc>
          <w:tcPr>
            <w:tcW w:w="353" w:type="pct"/>
            <w:shd w:val="clear" w:color="auto" w:fill="auto"/>
          </w:tcPr>
          <w:p w14:paraId="669C6DD3" w14:textId="77777777" w:rsidR="00066C63" w:rsidRDefault="00066C63">
            <w:pPr>
              <w:rPr>
                <w:rFonts w:ascii="宋体"/>
              </w:rPr>
            </w:pPr>
          </w:p>
        </w:tc>
        <w:tc>
          <w:tcPr>
            <w:tcW w:w="5" w:type="pct"/>
            <w:shd w:val="clear" w:color="auto" w:fill="auto"/>
          </w:tcPr>
          <w:p w14:paraId="669C6DD4" w14:textId="77777777" w:rsidR="00066C63" w:rsidRDefault="00066C63">
            <w:pPr>
              <w:rPr>
                <w:rFonts w:ascii="宋体"/>
              </w:rPr>
            </w:pPr>
          </w:p>
        </w:tc>
        <w:tc>
          <w:tcPr>
            <w:tcW w:w="50" w:type="pct"/>
            <w:shd w:val="clear" w:color="auto" w:fill="auto"/>
          </w:tcPr>
          <w:p w14:paraId="669C6DD5" w14:textId="77777777" w:rsidR="00066C63" w:rsidRDefault="00066C63">
            <w:pPr>
              <w:rPr>
                <w:rFonts w:ascii="宋体"/>
              </w:rPr>
            </w:pPr>
          </w:p>
        </w:tc>
        <w:tc>
          <w:tcPr>
            <w:tcW w:w="384" w:type="pct"/>
            <w:shd w:val="clear" w:color="auto" w:fill="auto"/>
          </w:tcPr>
          <w:p w14:paraId="669C6DD6" w14:textId="77777777" w:rsidR="00066C63" w:rsidRDefault="00066C63">
            <w:pPr>
              <w:rPr>
                <w:rFonts w:ascii="宋体"/>
              </w:rPr>
            </w:pPr>
          </w:p>
        </w:tc>
        <w:tc>
          <w:tcPr>
            <w:tcW w:w="5" w:type="pct"/>
            <w:shd w:val="clear" w:color="auto" w:fill="auto"/>
          </w:tcPr>
          <w:p w14:paraId="669C6DD7" w14:textId="77777777" w:rsidR="00066C63" w:rsidRDefault="00066C63">
            <w:pPr>
              <w:rPr>
                <w:rFonts w:ascii="宋体"/>
              </w:rPr>
            </w:pPr>
          </w:p>
        </w:tc>
        <w:tc>
          <w:tcPr>
            <w:tcW w:w="50" w:type="pct"/>
            <w:shd w:val="clear" w:color="auto" w:fill="auto"/>
          </w:tcPr>
          <w:p w14:paraId="669C6DD8" w14:textId="77777777" w:rsidR="00066C63" w:rsidRDefault="00066C63">
            <w:pPr>
              <w:rPr>
                <w:rFonts w:ascii="宋体"/>
              </w:rPr>
            </w:pPr>
          </w:p>
        </w:tc>
        <w:tc>
          <w:tcPr>
            <w:tcW w:w="431" w:type="pct"/>
            <w:shd w:val="clear" w:color="auto" w:fill="auto"/>
          </w:tcPr>
          <w:p w14:paraId="669C6DD9" w14:textId="77777777" w:rsidR="00066C63" w:rsidRDefault="00066C63">
            <w:pPr>
              <w:rPr>
                <w:rFonts w:ascii="宋体"/>
              </w:rPr>
            </w:pPr>
          </w:p>
        </w:tc>
        <w:tc>
          <w:tcPr>
            <w:tcW w:w="5" w:type="pct"/>
            <w:shd w:val="clear" w:color="auto" w:fill="auto"/>
          </w:tcPr>
          <w:p w14:paraId="669C6DDA" w14:textId="77777777" w:rsidR="00066C63" w:rsidRDefault="00066C63">
            <w:pPr>
              <w:rPr>
                <w:rFonts w:ascii="宋体"/>
              </w:rPr>
            </w:pPr>
          </w:p>
        </w:tc>
        <w:tc>
          <w:tcPr>
            <w:tcW w:w="50" w:type="pct"/>
            <w:shd w:val="clear" w:color="auto" w:fill="auto"/>
          </w:tcPr>
          <w:p w14:paraId="669C6DDB" w14:textId="77777777" w:rsidR="00066C63" w:rsidRDefault="00066C63">
            <w:pPr>
              <w:rPr>
                <w:rFonts w:ascii="宋体"/>
              </w:rPr>
            </w:pPr>
          </w:p>
        </w:tc>
        <w:tc>
          <w:tcPr>
            <w:tcW w:w="354" w:type="pct"/>
            <w:shd w:val="clear" w:color="auto" w:fill="auto"/>
          </w:tcPr>
          <w:p w14:paraId="669C6DDC" w14:textId="77777777" w:rsidR="00066C63" w:rsidRDefault="00066C63">
            <w:pPr>
              <w:rPr>
                <w:rFonts w:ascii="宋体"/>
              </w:rPr>
            </w:pPr>
          </w:p>
        </w:tc>
        <w:tc>
          <w:tcPr>
            <w:tcW w:w="5" w:type="pct"/>
            <w:shd w:val="clear" w:color="auto" w:fill="auto"/>
          </w:tcPr>
          <w:p w14:paraId="669C6DDD" w14:textId="77777777" w:rsidR="00066C63" w:rsidRDefault="00066C63">
            <w:pPr>
              <w:rPr>
                <w:rFonts w:ascii="宋体"/>
              </w:rPr>
            </w:pPr>
          </w:p>
        </w:tc>
      </w:tr>
      <w:tr w:rsidR="00066C63" w14:paraId="669C6DE1" w14:textId="77777777">
        <w:tc>
          <w:tcPr>
            <w:tcW w:w="0" w:type="auto"/>
            <w:gridSpan w:val="3"/>
            <w:shd w:val="clear" w:color="auto" w:fill="auto"/>
            <w:tcMar>
              <w:top w:w="0" w:type="dxa"/>
              <w:left w:w="20" w:type="dxa"/>
              <w:bottom w:w="0" w:type="dxa"/>
              <w:right w:w="20" w:type="dxa"/>
            </w:tcMar>
          </w:tcPr>
          <w:p w14:paraId="669C6DDF" w14:textId="77777777" w:rsidR="00066C63" w:rsidRDefault="00066C63">
            <w:pPr>
              <w:rPr>
                <w:rFonts w:ascii="宋体"/>
              </w:rPr>
            </w:pPr>
          </w:p>
        </w:tc>
        <w:tc>
          <w:tcPr>
            <w:tcW w:w="0" w:type="auto"/>
            <w:gridSpan w:val="27"/>
            <w:shd w:val="clear" w:color="auto" w:fill="auto"/>
            <w:tcMar>
              <w:top w:w="40" w:type="dxa"/>
              <w:left w:w="20" w:type="dxa"/>
              <w:bottom w:w="40" w:type="dxa"/>
              <w:right w:w="20" w:type="dxa"/>
            </w:tcMar>
            <w:vAlign w:val="bottom"/>
          </w:tcPr>
          <w:p w14:paraId="669C6DE0" w14:textId="77777777" w:rsidR="00066C63" w:rsidRDefault="009656F6">
            <w:pPr>
              <w:jc w:val="center"/>
              <w:textAlignment w:val="bottom"/>
            </w:pPr>
            <w:r>
              <w:rPr>
                <w:rFonts w:ascii="sans-serif" w:eastAsia="sans-serif" w:hAnsi="sans-serif" w:cs="sans-serif"/>
                <w:b/>
                <w:bCs/>
                <w:color w:val="000000"/>
                <w:sz w:val="17"/>
                <w:szCs w:val="17"/>
              </w:rPr>
              <w:t>NINE MONTHS ENDED FEBRUARY 29, 2020</w:t>
            </w:r>
          </w:p>
        </w:tc>
      </w:tr>
      <w:tr w:rsidR="00066C63" w14:paraId="669C6DEC" w14:textId="77777777">
        <w:tc>
          <w:tcPr>
            <w:tcW w:w="0" w:type="auto"/>
            <w:gridSpan w:val="3"/>
            <w:shd w:val="clear" w:color="auto" w:fill="auto"/>
            <w:tcMar>
              <w:top w:w="40" w:type="dxa"/>
              <w:left w:w="20" w:type="dxa"/>
              <w:bottom w:w="40" w:type="dxa"/>
              <w:right w:w="20" w:type="dxa"/>
            </w:tcMar>
            <w:vAlign w:val="bottom"/>
          </w:tcPr>
          <w:p w14:paraId="669C6DE2" w14:textId="77777777" w:rsidR="00066C63" w:rsidRDefault="009656F6">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DE3" w14:textId="77777777" w:rsidR="00066C63" w:rsidRDefault="009656F6">
            <w:pPr>
              <w:jc w:val="right"/>
              <w:textAlignment w:val="bottom"/>
            </w:pPr>
            <w:r>
              <w:rPr>
                <w:rFonts w:ascii="sans-serif" w:eastAsia="sans-serif" w:hAnsi="sans-serif" w:cs="sans-serif"/>
                <w:b/>
                <w:bCs/>
                <w:color w:val="000000"/>
                <w:sz w:val="17"/>
                <w:szCs w:val="17"/>
              </w:rPr>
              <w:t>NORTH AMERICA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DE4" w14:textId="77777777" w:rsidR="00066C63" w:rsidRDefault="009656F6">
            <w:pPr>
              <w:jc w:val="right"/>
              <w:textAlignment w:val="bottom"/>
            </w:pPr>
            <w:r>
              <w:rPr>
                <w:rFonts w:ascii="sans-serif" w:eastAsia="sans-serif" w:hAnsi="sans-serif" w:cs="sans-serif"/>
                <w:b/>
                <w:bCs/>
                <w:color w:val="000000"/>
                <w:sz w:val="17"/>
                <w:szCs w:val="17"/>
              </w:rPr>
              <w:t>EUROPE, MIDDLE EAST &amp; AFRICA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DE5" w14:textId="77777777" w:rsidR="00066C63" w:rsidRDefault="009656F6">
            <w:pPr>
              <w:jc w:val="right"/>
              <w:textAlignment w:val="bottom"/>
            </w:pPr>
            <w:r>
              <w:rPr>
                <w:rFonts w:ascii="sans-serif" w:eastAsia="sans-serif" w:hAnsi="sans-serif" w:cs="sans-serif"/>
                <w:b/>
                <w:bCs/>
                <w:color w:val="000000"/>
                <w:sz w:val="17"/>
                <w:szCs w:val="17"/>
              </w:rPr>
              <w:t>GREATER CHINA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DE6" w14:textId="77777777" w:rsidR="00066C63" w:rsidRDefault="009656F6">
            <w:pPr>
              <w:jc w:val="right"/>
              <w:textAlignment w:val="bottom"/>
            </w:pPr>
            <w:r>
              <w:rPr>
                <w:rFonts w:ascii="sans-serif" w:eastAsia="sans-serif" w:hAnsi="sans-serif" w:cs="sans-serif"/>
                <w:b/>
                <w:bCs/>
                <w:color w:val="000000"/>
                <w:sz w:val="17"/>
                <w:szCs w:val="17"/>
              </w:rPr>
              <w:t>ASI</w:t>
            </w:r>
            <w:r>
              <w:rPr>
                <w:rFonts w:ascii="sans-serif" w:eastAsia="sans-serif" w:hAnsi="sans-serif" w:cs="sans-serif"/>
                <w:b/>
                <w:bCs/>
                <w:color w:val="000000"/>
                <w:sz w:val="17"/>
                <w:szCs w:val="17"/>
              </w:rPr>
              <w:t>A PACIFIC &amp; LATIN AMERICA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DE7" w14:textId="77777777" w:rsidR="00066C63" w:rsidRDefault="009656F6">
            <w:pPr>
              <w:jc w:val="right"/>
              <w:textAlignment w:val="bottom"/>
            </w:pPr>
            <w:r>
              <w:rPr>
                <w:rFonts w:ascii="sans-serif" w:eastAsia="sans-serif" w:hAnsi="sans-serif" w:cs="sans-serif"/>
                <w:b/>
                <w:bCs/>
                <w:color w:val="000000"/>
                <w:sz w:val="17"/>
                <w:szCs w:val="17"/>
              </w:rPr>
              <w:t>GLOBAL BRAND DIVISIONS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DE8" w14:textId="77777777" w:rsidR="00066C63" w:rsidRDefault="009656F6">
            <w:pPr>
              <w:jc w:val="right"/>
              <w:textAlignment w:val="bottom"/>
            </w:pPr>
            <w:r>
              <w:rPr>
                <w:rFonts w:ascii="sans-serif" w:eastAsia="sans-serif" w:hAnsi="sans-serif" w:cs="sans-serif"/>
                <w:b/>
                <w:bCs/>
                <w:color w:val="000000"/>
                <w:sz w:val="17"/>
                <w:szCs w:val="17"/>
              </w:rPr>
              <w:t>TOTAL NIKE BRAND</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DE9" w14:textId="77777777" w:rsidR="00066C63" w:rsidRDefault="009656F6">
            <w:pPr>
              <w:jc w:val="right"/>
              <w:textAlignment w:val="bottom"/>
            </w:pPr>
            <w:r>
              <w:rPr>
                <w:rFonts w:ascii="sans-serif" w:eastAsia="sans-serif" w:hAnsi="sans-serif" w:cs="sans-serif"/>
                <w:b/>
                <w:bCs/>
                <w:color w:val="000000"/>
                <w:sz w:val="17"/>
                <w:szCs w:val="17"/>
              </w:rPr>
              <w:t>CONVERSE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DEA" w14:textId="77777777" w:rsidR="00066C63" w:rsidRDefault="009656F6">
            <w:pPr>
              <w:jc w:val="right"/>
              <w:textAlignment w:val="bottom"/>
            </w:pPr>
            <w:r>
              <w:rPr>
                <w:rFonts w:ascii="sans-serif" w:eastAsia="sans-serif" w:hAnsi="sans-serif" w:cs="sans-serif"/>
                <w:b/>
                <w:bCs/>
                <w:color w:val="000000"/>
                <w:sz w:val="17"/>
                <w:szCs w:val="17"/>
              </w:rPr>
              <w:t>CORPORATE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DEB" w14:textId="77777777" w:rsidR="00066C63" w:rsidRDefault="009656F6">
            <w:pPr>
              <w:jc w:val="right"/>
              <w:textAlignment w:val="bottom"/>
            </w:pPr>
            <w:r>
              <w:rPr>
                <w:rFonts w:ascii="sans-serif" w:eastAsia="sans-serif" w:hAnsi="sans-serif" w:cs="sans-serif"/>
                <w:b/>
                <w:bCs/>
                <w:color w:val="000000"/>
                <w:sz w:val="17"/>
                <w:szCs w:val="17"/>
              </w:rPr>
              <w:t>TOTAL NIKE, INC.</w:t>
            </w:r>
          </w:p>
        </w:tc>
      </w:tr>
      <w:tr w:rsidR="00066C63" w14:paraId="669C6DF7"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DED" w14:textId="77777777" w:rsidR="00066C63" w:rsidRDefault="009656F6">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auto"/>
            <w:tcMar>
              <w:top w:w="0" w:type="dxa"/>
              <w:left w:w="20" w:type="dxa"/>
              <w:bottom w:w="0" w:type="dxa"/>
              <w:right w:w="20" w:type="dxa"/>
            </w:tcMar>
          </w:tcPr>
          <w:p w14:paraId="669C6DEE"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6DEF"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6DF0"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6DF1"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6DF2"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6DF3"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6DF4"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6DF5"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6DF6" w14:textId="77777777" w:rsidR="00066C63" w:rsidRDefault="00066C63">
            <w:pPr>
              <w:rPr>
                <w:rFonts w:ascii="宋体"/>
              </w:rPr>
            </w:pPr>
          </w:p>
        </w:tc>
      </w:tr>
      <w:tr w:rsidR="00066C63" w14:paraId="669C6E14"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6DF8" w14:textId="77777777" w:rsidR="00066C63" w:rsidRDefault="009656F6">
            <w:pPr>
              <w:textAlignment w:val="bottom"/>
            </w:pPr>
            <w:r>
              <w:rPr>
                <w:rFonts w:ascii="Arial" w:eastAsia="宋体" w:hAnsi="Arial" w:cs="Arial"/>
                <w:color w:val="000000"/>
                <w:sz w:val="17"/>
                <w:szCs w:val="17"/>
              </w:rPr>
              <w:t>Footwear</w:t>
            </w:r>
          </w:p>
        </w:tc>
        <w:tc>
          <w:tcPr>
            <w:tcW w:w="0" w:type="auto"/>
            <w:tcBorders>
              <w:top w:val="single" w:sz="8" w:space="0" w:color="808080"/>
            </w:tcBorders>
            <w:shd w:val="clear" w:color="auto" w:fill="auto"/>
            <w:tcMar>
              <w:top w:w="40" w:type="dxa"/>
              <w:left w:w="20" w:type="dxa"/>
              <w:bottom w:w="40" w:type="dxa"/>
              <w:right w:w="0" w:type="dxa"/>
            </w:tcMar>
            <w:vAlign w:val="bottom"/>
          </w:tcPr>
          <w:p w14:paraId="669C6DF9"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669C6DFA" w14:textId="77777777" w:rsidR="00066C63" w:rsidRDefault="009656F6">
            <w:pPr>
              <w:jc w:val="right"/>
              <w:textAlignment w:val="bottom"/>
            </w:pPr>
            <w:r>
              <w:rPr>
                <w:rFonts w:ascii="Arial" w:eastAsia="宋体" w:hAnsi="Arial" w:cs="Arial"/>
                <w:color w:val="000000"/>
                <w:sz w:val="17"/>
                <w:szCs w:val="17"/>
              </w:rPr>
              <w:t>7,723 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DFB" w14:textId="77777777" w:rsidR="00066C63" w:rsidRDefault="00066C63">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669C6DFC"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669C6DFD" w14:textId="77777777" w:rsidR="00066C63" w:rsidRDefault="009656F6">
            <w:pPr>
              <w:jc w:val="right"/>
              <w:textAlignment w:val="bottom"/>
            </w:pPr>
            <w:r>
              <w:rPr>
                <w:rFonts w:ascii="Arial" w:eastAsia="宋体" w:hAnsi="Arial" w:cs="Arial"/>
                <w:color w:val="000000"/>
                <w:sz w:val="17"/>
                <w:szCs w:val="17"/>
              </w:rPr>
              <w:t>5,005 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DFE" w14:textId="77777777" w:rsidR="00066C63" w:rsidRDefault="00066C63">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669C6DFF"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669C6E00" w14:textId="77777777" w:rsidR="00066C63" w:rsidRDefault="009656F6">
            <w:pPr>
              <w:jc w:val="right"/>
              <w:textAlignment w:val="bottom"/>
            </w:pPr>
            <w:r>
              <w:rPr>
                <w:rFonts w:ascii="Arial" w:eastAsia="宋体" w:hAnsi="Arial" w:cs="Arial"/>
                <w:color w:val="000000"/>
                <w:sz w:val="17"/>
                <w:szCs w:val="17"/>
              </w:rPr>
              <w:t>3,486 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E01" w14:textId="77777777" w:rsidR="00066C63" w:rsidRDefault="00066C63">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669C6E02"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669C6E03" w14:textId="77777777" w:rsidR="00066C63" w:rsidRDefault="009656F6">
            <w:pPr>
              <w:jc w:val="right"/>
              <w:textAlignment w:val="bottom"/>
            </w:pPr>
            <w:r>
              <w:rPr>
                <w:rFonts w:ascii="Arial" w:eastAsia="宋体" w:hAnsi="Arial" w:cs="Arial"/>
                <w:color w:val="000000"/>
                <w:sz w:val="17"/>
                <w:szCs w:val="17"/>
              </w:rPr>
              <w:t>2,890 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E04" w14:textId="77777777" w:rsidR="00066C63" w:rsidRDefault="00066C63">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669C6E05"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669C6E06" w14:textId="77777777" w:rsidR="00066C63" w:rsidRDefault="009656F6">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E07" w14:textId="77777777" w:rsidR="00066C63" w:rsidRDefault="00066C63">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669C6E08"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669C6E09" w14:textId="77777777" w:rsidR="00066C63" w:rsidRDefault="009656F6">
            <w:pPr>
              <w:jc w:val="right"/>
              <w:textAlignment w:val="bottom"/>
            </w:pPr>
            <w:r>
              <w:rPr>
                <w:rFonts w:ascii="Arial" w:eastAsia="宋体" w:hAnsi="Arial" w:cs="Arial"/>
                <w:color w:val="000000"/>
                <w:sz w:val="17"/>
                <w:szCs w:val="17"/>
              </w:rPr>
              <w:t>19,104 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E0A" w14:textId="77777777" w:rsidR="00066C63" w:rsidRDefault="00066C63">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669C6E0B"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669C6E0C" w14:textId="77777777" w:rsidR="00066C63" w:rsidRDefault="009656F6">
            <w:pPr>
              <w:jc w:val="right"/>
              <w:textAlignment w:val="bottom"/>
            </w:pPr>
            <w:r>
              <w:rPr>
                <w:rFonts w:ascii="Arial" w:eastAsia="宋体" w:hAnsi="Arial" w:cs="Arial"/>
                <w:color w:val="000000"/>
                <w:sz w:val="17"/>
                <w:szCs w:val="17"/>
              </w:rPr>
              <w:t>1,367 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E0D" w14:textId="77777777" w:rsidR="00066C63" w:rsidRDefault="00066C63">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669C6E0E"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669C6E0F" w14:textId="77777777" w:rsidR="00066C63" w:rsidRDefault="009656F6">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E10" w14:textId="77777777" w:rsidR="00066C63" w:rsidRDefault="00066C63">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669C6E11"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669C6E12" w14:textId="77777777" w:rsidR="00066C63" w:rsidRDefault="009656F6">
            <w:pPr>
              <w:jc w:val="right"/>
              <w:textAlignment w:val="bottom"/>
            </w:pPr>
            <w:r>
              <w:rPr>
                <w:rFonts w:ascii="Arial" w:eastAsia="宋体" w:hAnsi="Arial" w:cs="Arial"/>
                <w:color w:val="000000"/>
                <w:sz w:val="17"/>
                <w:szCs w:val="17"/>
              </w:rPr>
              <w:t>20,471 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E13" w14:textId="77777777" w:rsidR="00066C63" w:rsidRDefault="00066C63">
            <w:pPr>
              <w:jc w:val="right"/>
              <w:rPr>
                <w:rFonts w:ascii="宋体"/>
              </w:rPr>
            </w:pPr>
          </w:p>
        </w:tc>
      </w:tr>
      <w:tr w:rsidR="00066C63" w14:paraId="669C6E28"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6E15" w14:textId="77777777" w:rsidR="00066C63" w:rsidRDefault="009656F6">
            <w:pPr>
              <w:textAlignment w:val="bottom"/>
            </w:pPr>
            <w:r>
              <w:rPr>
                <w:rFonts w:ascii="Arial" w:eastAsia="宋体" w:hAnsi="Arial" w:cs="Arial"/>
                <w:color w:val="000000"/>
                <w:sz w:val="17"/>
                <w:szCs w:val="17"/>
              </w:rPr>
              <w:t>Apparel</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E16" w14:textId="77777777" w:rsidR="00066C63" w:rsidRDefault="009656F6">
            <w:pPr>
              <w:jc w:val="right"/>
              <w:textAlignment w:val="bottom"/>
            </w:pPr>
            <w:r>
              <w:rPr>
                <w:rFonts w:ascii="Arial" w:eastAsia="宋体" w:hAnsi="Arial" w:cs="Arial"/>
                <w:color w:val="000000"/>
                <w:sz w:val="17"/>
                <w:szCs w:val="17"/>
              </w:rPr>
              <w:t>4,076 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E17"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E18" w14:textId="77777777" w:rsidR="00066C63" w:rsidRDefault="009656F6">
            <w:pPr>
              <w:jc w:val="right"/>
              <w:textAlignment w:val="bottom"/>
            </w:pPr>
            <w:r>
              <w:rPr>
                <w:rFonts w:ascii="Arial" w:eastAsia="宋体" w:hAnsi="Arial" w:cs="Arial"/>
                <w:color w:val="000000"/>
                <w:sz w:val="17"/>
                <w:szCs w:val="17"/>
              </w:rPr>
              <w:t>2,655 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E19"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E1A" w14:textId="77777777" w:rsidR="00066C63" w:rsidRDefault="009656F6">
            <w:pPr>
              <w:jc w:val="right"/>
              <w:textAlignment w:val="bottom"/>
            </w:pPr>
            <w:r>
              <w:rPr>
                <w:rFonts w:ascii="Arial" w:eastAsia="宋体" w:hAnsi="Arial" w:cs="Arial"/>
                <w:color w:val="000000"/>
                <w:sz w:val="17"/>
                <w:szCs w:val="17"/>
              </w:rPr>
              <w:t>1,428 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E1B"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E1C" w14:textId="77777777" w:rsidR="00066C63" w:rsidRDefault="009656F6">
            <w:pPr>
              <w:jc w:val="right"/>
              <w:textAlignment w:val="bottom"/>
            </w:pPr>
            <w:r>
              <w:rPr>
                <w:rFonts w:ascii="Arial" w:eastAsia="宋体" w:hAnsi="Arial" w:cs="Arial"/>
                <w:color w:val="000000"/>
                <w:sz w:val="17"/>
                <w:szCs w:val="17"/>
              </w:rPr>
              <w:t>1,154 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E1D"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E1E" w14:textId="77777777" w:rsidR="00066C63" w:rsidRDefault="009656F6">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E1F"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E20" w14:textId="77777777" w:rsidR="00066C63" w:rsidRDefault="009656F6">
            <w:pPr>
              <w:jc w:val="right"/>
              <w:textAlignment w:val="bottom"/>
            </w:pPr>
            <w:r>
              <w:rPr>
                <w:rFonts w:ascii="Arial" w:eastAsia="宋体" w:hAnsi="Arial" w:cs="Arial"/>
                <w:color w:val="000000"/>
                <w:sz w:val="17"/>
                <w:szCs w:val="17"/>
              </w:rPr>
              <w:t>9,313 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E21"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E22" w14:textId="77777777" w:rsidR="00066C63" w:rsidRDefault="009656F6">
            <w:pPr>
              <w:jc w:val="right"/>
              <w:textAlignment w:val="bottom"/>
            </w:pPr>
            <w:r>
              <w:rPr>
                <w:rFonts w:ascii="Arial" w:eastAsia="宋体" w:hAnsi="Arial" w:cs="Arial"/>
                <w:color w:val="000000"/>
                <w:sz w:val="17"/>
                <w:szCs w:val="17"/>
              </w:rPr>
              <w:t>76 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E23"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E24" w14:textId="77777777" w:rsidR="00066C63" w:rsidRDefault="009656F6">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E25"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E26" w14:textId="77777777" w:rsidR="00066C63" w:rsidRDefault="009656F6">
            <w:pPr>
              <w:jc w:val="right"/>
              <w:textAlignment w:val="bottom"/>
            </w:pPr>
            <w:r>
              <w:rPr>
                <w:rFonts w:ascii="Arial" w:eastAsia="宋体" w:hAnsi="Arial" w:cs="Arial"/>
                <w:color w:val="000000"/>
                <w:sz w:val="17"/>
                <w:szCs w:val="17"/>
              </w:rPr>
              <w:t>9,389 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E27" w14:textId="77777777" w:rsidR="00066C63" w:rsidRDefault="00066C63">
            <w:pPr>
              <w:jc w:val="right"/>
              <w:rPr>
                <w:rFonts w:ascii="宋体"/>
              </w:rPr>
            </w:pPr>
          </w:p>
        </w:tc>
      </w:tr>
      <w:tr w:rsidR="00066C63" w14:paraId="669C6E3C"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6E29" w14:textId="77777777" w:rsidR="00066C63" w:rsidRDefault="009656F6">
            <w:pPr>
              <w:textAlignment w:val="bottom"/>
            </w:pPr>
            <w:r>
              <w:rPr>
                <w:rFonts w:ascii="Arial" w:eastAsia="宋体" w:hAnsi="Arial" w:cs="Arial"/>
                <w:color w:val="000000"/>
                <w:sz w:val="17"/>
                <w:szCs w:val="17"/>
              </w:rPr>
              <w:t>Equipment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E2A" w14:textId="77777777" w:rsidR="00066C63" w:rsidRDefault="009656F6">
            <w:pPr>
              <w:jc w:val="right"/>
              <w:textAlignment w:val="bottom"/>
            </w:pPr>
            <w:r>
              <w:rPr>
                <w:rFonts w:ascii="Arial" w:eastAsia="宋体" w:hAnsi="Arial" w:cs="Arial"/>
                <w:color w:val="000000"/>
                <w:sz w:val="17"/>
                <w:szCs w:val="17"/>
              </w:rPr>
              <w:t>455 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E2B"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E2C" w14:textId="77777777" w:rsidR="00066C63" w:rsidRDefault="009656F6">
            <w:pPr>
              <w:jc w:val="right"/>
              <w:textAlignment w:val="bottom"/>
            </w:pPr>
            <w:r>
              <w:rPr>
                <w:rFonts w:ascii="Arial" w:eastAsia="宋体" w:hAnsi="Arial" w:cs="Arial"/>
                <w:color w:val="000000"/>
                <w:sz w:val="17"/>
                <w:szCs w:val="17"/>
              </w:rPr>
              <w:t>359 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E2D"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E2E" w14:textId="77777777" w:rsidR="00066C63" w:rsidRDefault="009656F6">
            <w:pPr>
              <w:jc w:val="right"/>
              <w:textAlignment w:val="bottom"/>
            </w:pPr>
            <w:r>
              <w:rPr>
                <w:rFonts w:ascii="Arial" w:eastAsia="宋体" w:hAnsi="Arial" w:cs="Arial"/>
                <w:color w:val="000000"/>
                <w:sz w:val="17"/>
                <w:szCs w:val="17"/>
              </w:rPr>
              <w:t>118 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E2F"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E30" w14:textId="77777777" w:rsidR="00066C63" w:rsidRDefault="009656F6">
            <w:pPr>
              <w:jc w:val="right"/>
              <w:textAlignment w:val="bottom"/>
            </w:pPr>
            <w:r>
              <w:rPr>
                <w:rFonts w:ascii="Arial" w:eastAsia="宋体" w:hAnsi="Arial" w:cs="Arial"/>
                <w:color w:val="000000"/>
                <w:sz w:val="17"/>
                <w:szCs w:val="17"/>
              </w:rPr>
              <w:t>183 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E31"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E32" w14:textId="77777777" w:rsidR="00066C63" w:rsidRDefault="009656F6">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E33"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E34" w14:textId="77777777" w:rsidR="00066C63" w:rsidRDefault="009656F6">
            <w:pPr>
              <w:jc w:val="right"/>
              <w:textAlignment w:val="bottom"/>
            </w:pPr>
            <w:r>
              <w:rPr>
                <w:rFonts w:ascii="Arial" w:eastAsia="宋体" w:hAnsi="Arial" w:cs="Arial"/>
                <w:color w:val="000000"/>
                <w:sz w:val="17"/>
                <w:szCs w:val="17"/>
              </w:rPr>
              <w:t>1,115 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E35"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E36" w14:textId="77777777" w:rsidR="00066C63" w:rsidRDefault="009656F6">
            <w:pPr>
              <w:jc w:val="right"/>
              <w:textAlignment w:val="bottom"/>
            </w:pPr>
            <w:r>
              <w:rPr>
                <w:rFonts w:ascii="Arial" w:eastAsia="宋体" w:hAnsi="Arial" w:cs="Arial"/>
                <w:color w:val="000000"/>
                <w:sz w:val="17"/>
                <w:szCs w:val="17"/>
              </w:rPr>
              <w:t>20 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E37"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E38" w14:textId="77777777" w:rsidR="00066C63" w:rsidRDefault="009656F6">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E39"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E3A" w14:textId="77777777" w:rsidR="00066C63" w:rsidRDefault="009656F6">
            <w:pPr>
              <w:jc w:val="right"/>
              <w:textAlignment w:val="bottom"/>
            </w:pPr>
            <w:r>
              <w:rPr>
                <w:rFonts w:ascii="Arial" w:eastAsia="宋体" w:hAnsi="Arial" w:cs="Arial"/>
                <w:color w:val="000000"/>
                <w:sz w:val="17"/>
                <w:szCs w:val="17"/>
              </w:rPr>
              <w:t>1,135 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E3B" w14:textId="77777777" w:rsidR="00066C63" w:rsidRDefault="00066C63">
            <w:pPr>
              <w:jc w:val="right"/>
              <w:rPr>
                <w:rFonts w:ascii="宋体"/>
              </w:rPr>
            </w:pPr>
          </w:p>
        </w:tc>
      </w:tr>
      <w:tr w:rsidR="00066C63" w14:paraId="669C6E50"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6E3D" w14:textId="77777777" w:rsidR="00066C63" w:rsidRDefault="009656F6">
            <w:pPr>
              <w:textAlignment w:val="bottom"/>
            </w:pPr>
            <w:r>
              <w:rPr>
                <w:rFonts w:ascii="Arial" w:eastAsia="宋体" w:hAnsi="Arial" w:cs="Arial"/>
                <w:color w:val="000000"/>
                <w:sz w:val="17"/>
                <w:szCs w:val="17"/>
              </w:rPr>
              <w:t>Other</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E3E" w14:textId="77777777" w:rsidR="00066C63" w:rsidRDefault="009656F6">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E3F"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E40" w14:textId="77777777" w:rsidR="00066C63" w:rsidRDefault="009656F6">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E41"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E42" w14:textId="77777777" w:rsidR="00066C63" w:rsidRDefault="009656F6">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E43"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E44" w14:textId="77777777" w:rsidR="00066C63" w:rsidRDefault="009656F6">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E45"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E46" w14:textId="77777777" w:rsidR="00066C63" w:rsidRDefault="009656F6">
            <w:pPr>
              <w:jc w:val="right"/>
              <w:textAlignment w:val="bottom"/>
            </w:pPr>
            <w:r>
              <w:rPr>
                <w:rFonts w:ascii="Arial" w:eastAsia="宋体" w:hAnsi="Arial" w:cs="Arial"/>
                <w:color w:val="000000"/>
                <w:sz w:val="17"/>
                <w:szCs w:val="17"/>
              </w:rPr>
              <w:t>24 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E47"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E48" w14:textId="77777777" w:rsidR="00066C63" w:rsidRDefault="009656F6">
            <w:pPr>
              <w:jc w:val="right"/>
              <w:textAlignment w:val="bottom"/>
            </w:pPr>
            <w:r>
              <w:rPr>
                <w:rFonts w:ascii="Arial" w:eastAsia="宋体" w:hAnsi="Arial" w:cs="Arial"/>
                <w:color w:val="000000"/>
                <w:sz w:val="17"/>
                <w:szCs w:val="17"/>
              </w:rPr>
              <w:t>24 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E49"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E4A" w14:textId="77777777" w:rsidR="00066C63" w:rsidRDefault="009656F6">
            <w:pPr>
              <w:jc w:val="right"/>
              <w:textAlignment w:val="bottom"/>
            </w:pPr>
            <w:r>
              <w:rPr>
                <w:rFonts w:ascii="Arial" w:eastAsia="宋体" w:hAnsi="Arial" w:cs="Arial"/>
                <w:color w:val="000000"/>
                <w:sz w:val="17"/>
                <w:szCs w:val="17"/>
              </w:rPr>
              <w:t>78 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E4B"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E4C" w14:textId="77777777" w:rsidR="00066C63" w:rsidRDefault="009656F6">
            <w:pPr>
              <w:jc w:val="right"/>
              <w:textAlignment w:val="bottom"/>
            </w:pPr>
            <w:r>
              <w:rPr>
                <w:rFonts w:ascii="Arial" w:eastAsia="宋体" w:hAnsi="Arial" w:cs="Arial"/>
                <w:color w:val="000000"/>
                <w:sz w:val="17"/>
                <w:szCs w:val="17"/>
              </w:rPr>
              <w:t>(7)</w:t>
            </w:r>
          </w:p>
        </w:tc>
        <w:tc>
          <w:tcPr>
            <w:tcW w:w="0" w:type="auto"/>
            <w:tcBorders>
              <w:top w:val="single" w:sz="8" w:space="0" w:color="808080"/>
            </w:tcBorders>
            <w:shd w:val="clear" w:color="auto" w:fill="auto"/>
            <w:tcMar>
              <w:top w:w="40" w:type="dxa"/>
              <w:left w:w="0" w:type="dxa"/>
              <w:bottom w:w="40" w:type="dxa"/>
              <w:right w:w="20" w:type="dxa"/>
            </w:tcMar>
            <w:vAlign w:val="bottom"/>
          </w:tcPr>
          <w:p w14:paraId="669C6E4D"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E4E" w14:textId="77777777" w:rsidR="00066C63" w:rsidRDefault="009656F6">
            <w:pPr>
              <w:jc w:val="right"/>
              <w:textAlignment w:val="bottom"/>
            </w:pPr>
            <w:r>
              <w:rPr>
                <w:rFonts w:ascii="Arial" w:eastAsia="宋体" w:hAnsi="Arial" w:cs="Arial"/>
                <w:color w:val="000000"/>
                <w:sz w:val="17"/>
                <w:szCs w:val="17"/>
              </w:rPr>
              <w:t>95 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E4F" w14:textId="77777777" w:rsidR="00066C63" w:rsidRDefault="00066C63">
            <w:pPr>
              <w:jc w:val="right"/>
              <w:rPr>
                <w:rFonts w:ascii="宋体"/>
              </w:rPr>
            </w:pPr>
          </w:p>
        </w:tc>
      </w:tr>
      <w:tr w:rsidR="00066C63" w14:paraId="669C6E6D"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E51" w14:textId="77777777" w:rsidR="00066C63" w:rsidRDefault="009656F6">
            <w:pPr>
              <w:textAlignment w:val="bottom"/>
            </w:pPr>
            <w:r>
              <w:rPr>
                <w:rFonts w:ascii="Arial" w:eastAsia="宋体" w:hAnsi="Arial" w:cs="Arial"/>
                <w:b/>
                <w:bCs/>
                <w:color w:val="000000"/>
                <w:sz w:val="17"/>
                <w:szCs w:val="17"/>
              </w:rPr>
              <w:t>TOTAL REVENUES</w:t>
            </w:r>
          </w:p>
        </w:tc>
        <w:tc>
          <w:tcPr>
            <w:tcW w:w="0" w:type="auto"/>
            <w:tcBorders>
              <w:top w:val="single" w:sz="8" w:space="0" w:color="E87722"/>
            </w:tcBorders>
            <w:shd w:val="clear" w:color="auto" w:fill="auto"/>
            <w:tcMar>
              <w:top w:w="40" w:type="dxa"/>
              <w:left w:w="20" w:type="dxa"/>
              <w:bottom w:w="40" w:type="dxa"/>
              <w:right w:w="0" w:type="dxa"/>
            </w:tcMar>
            <w:vAlign w:val="bottom"/>
          </w:tcPr>
          <w:p w14:paraId="669C6E52"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69C6E53" w14:textId="77777777" w:rsidR="00066C63" w:rsidRDefault="009656F6">
            <w:pPr>
              <w:jc w:val="right"/>
              <w:textAlignment w:val="bottom"/>
            </w:pPr>
            <w:r>
              <w:rPr>
                <w:rFonts w:ascii="Arial" w:eastAsia="宋体" w:hAnsi="Arial" w:cs="Arial"/>
                <w:b/>
                <w:bCs/>
                <w:color w:val="000000"/>
                <w:sz w:val="17"/>
                <w:szCs w:val="17"/>
              </w:rPr>
              <w:t>12,254</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6E54" w14:textId="77777777" w:rsidR="00066C63" w:rsidRDefault="00066C63">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69C6E55"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69C6E56" w14:textId="77777777" w:rsidR="00066C63" w:rsidRDefault="009656F6">
            <w:pPr>
              <w:jc w:val="right"/>
              <w:textAlignment w:val="bottom"/>
            </w:pPr>
            <w:r>
              <w:rPr>
                <w:rFonts w:ascii="Arial" w:eastAsia="宋体" w:hAnsi="Arial" w:cs="Arial"/>
                <w:b/>
                <w:bCs/>
                <w:color w:val="000000"/>
                <w:sz w:val="17"/>
                <w:szCs w:val="17"/>
              </w:rPr>
              <w:t>8,019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6E57" w14:textId="77777777" w:rsidR="00066C63" w:rsidRDefault="00066C63">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69C6E58"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69C6E59" w14:textId="77777777" w:rsidR="00066C63" w:rsidRDefault="009656F6">
            <w:pPr>
              <w:jc w:val="right"/>
              <w:textAlignment w:val="bottom"/>
            </w:pPr>
            <w:r>
              <w:rPr>
                <w:rFonts w:ascii="Arial" w:eastAsia="宋体" w:hAnsi="Arial" w:cs="Arial"/>
                <w:b/>
                <w:bCs/>
                <w:color w:val="000000"/>
                <w:sz w:val="17"/>
                <w:szCs w:val="17"/>
              </w:rPr>
              <w:t>5,032</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6E5A" w14:textId="77777777" w:rsidR="00066C63" w:rsidRDefault="00066C63">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69C6E5B"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69C6E5C" w14:textId="77777777" w:rsidR="00066C63" w:rsidRDefault="009656F6">
            <w:pPr>
              <w:jc w:val="right"/>
              <w:textAlignment w:val="bottom"/>
            </w:pPr>
            <w:r>
              <w:rPr>
                <w:rFonts w:ascii="Arial" w:eastAsia="宋体" w:hAnsi="Arial" w:cs="Arial"/>
                <w:b/>
                <w:bCs/>
                <w:color w:val="000000"/>
                <w:sz w:val="17"/>
                <w:szCs w:val="17"/>
              </w:rPr>
              <w:t>4,227</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6E5D" w14:textId="77777777" w:rsidR="00066C63" w:rsidRDefault="00066C63">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69C6E5E"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69C6E5F" w14:textId="77777777" w:rsidR="00066C63" w:rsidRDefault="009656F6">
            <w:pPr>
              <w:jc w:val="right"/>
              <w:textAlignment w:val="bottom"/>
            </w:pPr>
            <w:r>
              <w:rPr>
                <w:rFonts w:ascii="Arial" w:eastAsia="宋体" w:hAnsi="Arial" w:cs="Arial"/>
                <w:b/>
                <w:bCs/>
                <w:color w:val="000000"/>
                <w:sz w:val="17"/>
                <w:szCs w:val="17"/>
              </w:rPr>
              <w:t>24</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6E60" w14:textId="77777777" w:rsidR="00066C63" w:rsidRDefault="00066C63">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69C6E61"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69C6E62" w14:textId="77777777" w:rsidR="00066C63" w:rsidRDefault="009656F6">
            <w:pPr>
              <w:jc w:val="right"/>
              <w:textAlignment w:val="bottom"/>
            </w:pPr>
            <w:r>
              <w:rPr>
                <w:rFonts w:ascii="Arial" w:eastAsia="宋体" w:hAnsi="Arial" w:cs="Arial"/>
                <w:b/>
                <w:bCs/>
                <w:color w:val="000000"/>
                <w:sz w:val="17"/>
                <w:szCs w:val="17"/>
              </w:rPr>
              <w:t>29,556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6E63" w14:textId="77777777" w:rsidR="00066C63" w:rsidRDefault="00066C63">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69C6E64"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69C6E65" w14:textId="77777777" w:rsidR="00066C63" w:rsidRDefault="009656F6">
            <w:pPr>
              <w:jc w:val="right"/>
              <w:textAlignment w:val="bottom"/>
            </w:pPr>
            <w:r>
              <w:rPr>
                <w:rFonts w:ascii="Arial" w:eastAsia="宋体" w:hAnsi="Arial" w:cs="Arial"/>
                <w:b/>
                <w:bCs/>
                <w:color w:val="000000"/>
                <w:sz w:val="17"/>
                <w:szCs w:val="17"/>
              </w:rPr>
              <w:t>1,541</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6E66" w14:textId="77777777" w:rsidR="00066C63" w:rsidRDefault="00066C63">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69C6E67"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69C6E68" w14:textId="77777777" w:rsidR="00066C63" w:rsidRDefault="009656F6">
            <w:pPr>
              <w:jc w:val="right"/>
              <w:textAlignment w:val="bottom"/>
            </w:pPr>
            <w:r>
              <w:rPr>
                <w:rFonts w:ascii="Arial" w:eastAsia="宋体" w:hAnsi="Arial" w:cs="Arial"/>
                <w:b/>
                <w:bCs/>
                <w:color w:val="000000"/>
                <w:sz w:val="17"/>
                <w:szCs w:val="17"/>
              </w:rPr>
              <w:t>(7)</w:t>
            </w:r>
          </w:p>
        </w:tc>
        <w:tc>
          <w:tcPr>
            <w:tcW w:w="0" w:type="auto"/>
            <w:tcBorders>
              <w:top w:val="single" w:sz="8" w:space="0" w:color="E87722"/>
            </w:tcBorders>
            <w:shd w:val="clear" w:color="auto" w:fill="auto"/>
            <w:tcMar>
              <w:top w:w="40" w:type="dxa"/>
              <w:left w:w="0" w:type="dxa"/>
              <w:bottom w:w="40" w:type="dxa"/>
              <w:right w:w="20" w:type="dxa"/>
            </w:tcMar>
            <w:vAlign w:val="bottom"/>
          </w:tcPr>
          <w:p w14:paraId="669C6E69" w14:textId="77777777" w:rsidR="00066C63" w:rsidRDefault="00066C63">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69C6E6A"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69C6E6B" w14:textId="77777777" w:rsidR="00066C63" w:rsidRDefault="009656F6">
            <w:pPr>
              <w:jc w:val="right"/>
              <w:textAlignment w:val="bottom"/>
            </w:pPr>
            <w:r>
              <w:rPr>
                <w:rFonts w:ascii="Arial" w:eastAsia="宋体" w:hAnsi="Arial" w:cs="Arial"/>
                <w:b/>
                <w:bCs/>
                <w:color w:val="000000"/>
                <w:sz w:val="17"/>
                <w:szCs w:val="17"/>
              </w:rPr>
              <w:t>31,090</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6E6C" w14:textId="77777777" w:rsidR="00066C63" w:rsidRDefault="00066C63">
            <w:pPr>
              <w:jc w:val="right"/>
              <w:rPr>
                <w:rFonts w:ascii="宋体"/>
              </w:rPr>
            </w:pPr>
          </w:p>
        </w:tc>
      </w:tr>
      <w:tr w:rsidR="00066C63" w14:paraId="669C6E78"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E6E" w14:textId="77777777" w:rsidR="00066C63" w:rsidRDefault="009656F6">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auto"/>
            <w:tcMar>
              <w:top w:w="0" w:type="dxa"/>
              <w:left w:w="20" w:type="dxa"/>
              <w:bottom w:w="0" w:type="dxa"/>
              <w:right w:w="20" w:type="dxa"/>
            </w:tcMar>
          </w:tcPr>
          <w:p w14:paraId="669C6E6F"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6E70"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6E71"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6E72"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6E73"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6E74"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6E75"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6E76"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6E77" w14:textId="77777777" w:rsidR="00066C63" w:rsidRDefault="00066C63">
            <w:pPr>
              <w:rPr>
                <w:rFonts w:ascii="宋体"/>
              </w:rPr>
            </w:pPr>
          </w:p>
        </w:tc>
      </w:tr>
      <w:tr w:rsidR="00066C63" w14:paraId="669C6E95"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6E79" w14:textId="77777777" w:rsidR="00066C63" w:rsidRDefault="009656F6">
            <w:pPr>
              <w:textAlignment w:val="bottom"/>
            </w:pPr>
            <w:r>
              <w:rPr>
                <w:rFonts w:ascii="Arial" w:eastAsia="宋体" w:hAnsi="Arial" w:cs="Arial"/>
                <w:color w:val="000000"/>
                <w:sz w:val="17"/>
                <w:szCs w:val="17"/>
              </w:rPr>
              <w:t>Sales to Wholesale Customers</w:t>
            </w:r>
          </w:p>
        </w:tc>
        <w:tc>
          <w:tcPr>
            <w:tcW w:w="0" w:type="auto"/>
            <w:tcBorders>
              <w:top w:val="single" w:sz="8" w:space="0" w:color="808080"/>
            </w:tcBorders>
            <w:shd w:val="clear" w:color="auto" w:fill="auto"/>
            <w:tcMar>
              <w:top w:w="40" w:type="dxa"/>
              <w:left w:w="20" w:type="dxa"/>
              <w:bottom w:w="40" w:type="dxa"/>
              <w:right w:w="0" w:type="dxa"/>
            </w:tcMar>
            <w:vAlign w:val="bottom"/>
          </w:tcPr>
          <w:p w14:paraId="669C6E7A"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669C6E7B" w14:textId="77777777" w:rsidR="00066C63" w:rsidRDefault="009656F6">
            <w:pPr>
              <w:jc w:val="right"/>
              <w:textAlignment w:val="bottom"/>
            </w:pPr>
            <w:r>
              <w:rPr>
                <w:rFonts w:ascii="Arial" w:eastAsia="宋体" w:hAnsi="Arial" w:cs="Arial"/>
                <w:color w:val="000000"/>
                <w:sz w:val="17"/>
                <w:szCs w:val="17"/>
              </w:rPr>
              <w:t>8,119 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E7C" w14:textId="77777777" w:rsidR="00066C63" w:rsidRDefault="00066C63">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669C6E7D"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669C6E7E" w14:textId="77777777" w:rsidR="00066C63" w:rsidRDefault="009656F6">
            <w:pPr>
              <w:jc w:val="right"/>
              <w:textAlignment w:val="bottom"/>
            </w:pPr>
            <w:r>
              <w:rPr>
                <w:rFonts w:ascii="Arial" w:eastAsia="宋体" w:hAnsi="Arial" w:cs="Arial"/>
                <w:color w:val="000000"/>
                <w:sz w:val="17"/>
                <w:szCs w:val="17"/>
              </w:rPr>
              <w:t>5,792 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E7F" w14:textId="77777777" w:rsidR="00066C63" w:rsidRDefault="00066C63">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669C6E80"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669C6E81" w14:textId="77777777" w:rsidR="00066C63" w:rsidRDefault="009656F6">
            <w:pPr>
              <w:jc w:val="right"/>
              <w:textAlignment w:val="bottom"/>
            </w:pPr>
            <w:r>
              <w:rPr>
                <w:rFonts w:ascii="Arial" w:eastAsia="宋体" w:hAnsi="Arial" w:cs="Arial"/>
                <w:color w:val="000000"/>
                <w:sz w:val="17"/>
                <w:szCs w:val="17"/>
              </w:rPr>
              <w:t>2,895 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E82" w14:textId="77777777" w:rsidR="00066C63" w:rsidRDefault="00066C63">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669C6E83"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669C6E84" w14:textId="77777777" w:rsidR="00066C63" w:rsidRDefault="009656F6">
            <w:pPr>
              <w:jc w:val="right"/>
              <w:textAlignment w:val="bottom"/>
            </w:pPr>
            <w:r>
              <w:rPr>
                <w:rFonts w:ascii="Arial" w:eastAsia="宋体" w:hAnsi="Arial" w:cs="Arial"/>
                <w:color w:val="000000"/>
                <w:sz w:val="17"/>
                <w:szCs w:val="17"/>
              </w:rPr>
              <w:t>2,925 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E85" w14:textId="77777777" w:rsidR="00066C63" w:rsidRDefault="00066C63">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669C6E86"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669C6E87" w14:textId="77777777" w:rsidR="00066C63" w:rsidRDefault="009656F6">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E88" w14:textId="77777777" w:rsidR="00066C63" w:rsidRDefault="00066C63">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669C6E89"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669C6E8A" w14:textId="77777777" w:rsidR="00066C63" w:rsidRDefault="009656F6">
            <w:pPr>
              <w:jc w:val="right"/>
              <w:textAlignment w:val="bottom"/>
            </w:pPr>
            <w:r>
              <w:rPr>
                <w:rFonts w:ascii="Arial" w:eastAsia="宋体" w:hAnsi="Arial" w:cs="Arial"/>
                <w:color w:val="000000"/>
                <w:sz w:val="17"/>
                <w:szCs w:val="17"/>
              </w:rPr>
              <w:t>19,731 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E8B" w14:textId="77777777" w:rsidR="00066C63" w:rsidRDefault="00066C63">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669C6E8C"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669C6E8D" w14:textId="77777777" w:rsidR="00066C63" w:rsidRDefault="009656F6">
            <w:pPr>
              <w:jc w:val="right"/>
              <w:textAlignment w:val="bottom"/>
            </w:pPr>
            <w:r>
              <w:rPr>
                <w:rFonts w:ascii="Arial" w:eastAsia="宋体" w:hAnsi="Arial" w:cs="Arial"/>
                <w:color w:val="000000"/>
                <w:sz w:val="17"/>
                <w:szCs w:val="17"/>
              </w:rPr>
              <w:t>983 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E8E" w14:textId="77777777" w:rsidR="00066C63" w:rsidRDefault="00066C63">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669C6E8F"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669C6E90" w14:textId="77777777" w:rsidR="00066C63" w:rsidRDefault="009656F6">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E91" w14:textId="77777777" w:rsidR="00066C63" w:rsidRDefault="00066C63">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669C6E92"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669C6E93" w14:textId="77777777" w:rsidR="00066C63" w:rsidRDefault="009656F6">
            <w:pPr>
              <w:jc w:val="right"/>
              <w:textAlignment w:val="bottom"/>
            </w:pPr>
            <w:r>
              <w:rPr>
                <w:rFonts w:ascii="Arial" w:eastAsia="宋体" w:hAnsi="Arial" w:cs="Arial"/>
                <w:color w:val="000000"/>
                <w:sz w:val="17"/>
                <w:szCs w:val="17"/>
              </w:rPr>
              <w:t>20,714 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E94" w14:textId="77777777" w:rsidR="00066C63" w:rsidRDefault="00066C63">
            <w:pPr>
              <w:jc w:val="right"/>
              <w:rPr>
                <w:rFonts w:ascii="宋体"/>
              </w:rPr>
            </w:pPr>
          </w:p>
        </w:tc>
      </w:tr>
      <w:tr w:rsidR="00066C63" w14:paraId="669C6EA9"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6E96" w14:textId="77777777" w:rsidR="00066C63" w:rsidRDefault="009656F6">
            <w:pPr>
              <w:textAlignment w:val="bottom"/>
            </w:pPr>
            <w:r>
              <w:rPr>
                <w:rFonts w:ascii="Arial" w:eastAsia="宋体" w:hAnsi="Arial" w:cs="Arial"/>
                <w:color w:val="000000"/>
                <w:sz w:val="17"/>
                <w:szCs w:val="17"/>
              </w:rPr>
              <w:t>Sales through Direct to Consumer</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E97" w14:textId="77777777" w:rsidR="00066C63" w:rsidRDefault="009656F6">
            <w:pPr>
              <w:jc w:val="right"/>
              <w:textAlignment w:val="bottom"/>
            </w:pPr>
            <w:r>
              <w:rPr>
                <w:rFonts w:ascii="Arial" w:eastAsia="宋体" w:hAnsi="Arial" w:cs="Arial"/>
                <w:color w:val="000000"/>
                <w:sz w:val="17"/>
                <w:szCs w:val="17"/>
              </w:rPr>
              <w:t>4,135 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E98"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E99" w14:textId="77777777" w:rsidR="00066C63" w:rsidRDefault="009656F6">
            <w:pPr>
              <w:jc w:val="right"/>
              <w:textAlignment w:val="bottom"/>
            </w:pPr>
            <w:r>
              <w:rPr>
                <w:rFonts w:ascii="Arial" w:eastAsia="宋体" w:hAnsi="Arial" w:cs="Arial"/>
                <w:color w:val="000000"/>
                <w:sz w:val="17"/>
                <w:szCs w:val="17"/>
              </w:rPr>
              <w:t>2,227 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E9A"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E9B" w14:textId="77777777" w:rsidR="00066C63" w:rsidRDefault="009656F6">
            <w:pPr>
              <w:jc w:val="right"/>
              <w:textAlignment w:val="bottom"/>
            </w:pPr>
            <w:r>
              <w:rPr>
                <w:rFonts w:ascii="Arial" w:eastAsia="宋体" w:hAnsi="Arial" w:cs="Arial"/>
                <w:color w:val="000000"/>
                <w:sz w:val="17"/>
                <w:szCs w:val="17"/>
              </w:rPr>
              <w:t>2,137 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E9C"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E9D" w14:textId="77777777" w:rsidR="00066C63" w:rsidRDefault="009656F6">
            <w:pPr>
              <w:jc w:val="right"/>
              <w:textAlignment w:val="bottom"/>
            </w:pPr>
            <w:r>
              <w:rPr>
                <w:rFonts w:ascii="Arial" w:eastAsia="宋体" w:hAnsi="Arial" w:cs="Arial"/>
                <w:color w:val="000000"/>
                <w:sz w:val="17"/>
                <w:szCs w:val="17"/>
              </w:rPr>
              <w:t>1,302 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E9E"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E9F" w14:textId="77777777" w:rsidR="00066C63" w:rsidRDefault="009656F6">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EA0"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EA1" w14:textId="77777777" w:rsidR="00066C63" w:rsidRDefault="009656F6">
            <w:pPr>
              <w:jc w:val="right"/>
              <w:textAlignment w:val="bottom"/>
            </w:pPr>
            <w:r>
              <w:rPr>
                <w:rFonts w:ascii="Arial" w:eastAsia="宋体" w:hAnsi="Arial" w:cs="Arial"/>
                <w:color w:val="000000"/>
                <w:sz w:val="17"/>
                <w:szCs w:val="17"/>
              </w:rPr>
              <w:t>9,801 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EA2"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EA3" w14:textId="77777777" w:rsidR="00066C63" w:rsidRDefault="009656F6">
            <w:pPr>
              <w:jc w:val="right"/>
              <w:textAlignment w:val="bottom"/>
            </w:pPr>
            <w:r>
              <w:rPr>
                <w:rFonts w:ascii="Arial" w:eastAsia="宋体" w:hAnsi="Arial" w:cs="Arial"/>
                <w:color w:val="000000"/>
                <w:sz w:val="17"/>
                <w:szCs w:val="17"/>
              </w:rPr>
              <w:t>480 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EA4"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EA5" w14:textId="77777777" w:rsidR="00066C63" w:rsidRDefault="009656F6">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EA6"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EA7" w14:textId="77777777" w:rsidR="00066C63" w:rsidRDefault="009656F6">
            <w:pPr>
              <w:jc w:val="right"/>
              <w:textAlignment w:val="bottom"/>
            </w:pPr>
            <w:r>
              <w:rPr>
                <w:rFonts w:ascii="Arial" w:eastAsia="宋体" w:hAnsi="Arial" w:cs="Arial"/>
                <w:color w:val="000000"/>
                <w:sz w:val="17"/>
                <w:szCs w:val="17"/>
              </w:rPr>
              <w:t>10,281 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EA8" w14:textId="77777777" w:rsidR="00066C63" w:rsidRDefault="00066C63">
            <w:pPr>
              <w:jc w:val="right"/>
              <w:rPr>
                <w:rFonts w:ascii="宋体"/>
              </w:rPr>
            </w:pPr>
          </w:p>
        </w:tc>
      </w:tr>
      <w:tr w:rsidR="00066C63" w14:paraId="669C6EBD"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6EAA" w14:textId="77777777" w:rsidR="00066C63" w:rsidRDefault="009656F6">
            <w:pPr>
              <w:textAlignment w:val="bottom"/>
            </w:pPr>
            <w:r>
              <w:rPr>
                <w:rFonts w:ascii="Arial" w:eastAsia="宋体" w:hAnsi="Arial" w:cs="Arial"/>
                <w:color w:val="000000"/>
                <w:sz w:val="17"/>
                <w:szCs w:val="17"/>
              </w:rPr>
              <w:t>Other</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EAB" w14:textId="77777777" w:rsidR="00066C63" w:rsidRDefault="009656F6">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EAC"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EAD" w14:textId="77777777" w:rsidR="00066C63" w:rsidRDefault="009656F6">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EAE"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EAF" w14:textId="77777777" w:rsidR="00066C63" w:rsidRDefault="009656F6">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EB0"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EB1" w14:textId="77777777" w:rsidR="00066C63" w:rsidRDefault="009656F6">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EB2"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EB3" w14:textId="77777777" w:rsidR="00066C63" w:rsidRDefault="009656F6">
            <w:pPr>
              <w:jc w:val="right"/>
              <w:textAlignment w:val="bottom"/>
            </w:pPr>
            <w:r>
              <w:rPr>
                <w:rFonts w:ascii="Arial" w:eastAsia="宋体" w:hAnsi="Arial" w:cs="Arial"/>
                <w:color w:val="000000"/>
                <w:sz w:val="17"/>
                <w:szCs w:val="17"/>
              </w:rPr>
              <w:t>24 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EB4"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EB5" w14:textId="77777777" w:rsidR="00066C63" w:rsidRDefault="009656F6">
            <w:pPr>
              <w:jc w:val="right"/>
              <w:textAlignment w:val="bottom"/>
            </w:pPr>
            <w:r>
              <w:rPr>
                <w:rFonts w:ascii="Arial" w:eastAsia="宋体" w:hAnsi="Arial" w:cs="Arial"/>
                <w:color w:val="000000"/>
                <w:sz w:val="17"/>
                <w:szCs w:val="17"/>
              </w:rPr>
              <w:t>24 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EB6"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EB7" w14:textId="77777777" w:rsidR="00066C63" w:rsidRDefault="009656F6">
            <w:pPr>
              <w:jc w:val="right"/>
              <w:textAlignment w:val="bottom"/>
            </w:pPr>
            <w:r>
              <w:rPr>
                <w:rFonts w:ascii="Arial" w:eastAsia="宋体" w:hAnsi="Arial" w:cs="Arial"/>
                <w:color w:val="000000"/>
                <w:sz w:val="17"/>
                <w:szCs w:val="17"/>
              </w:rPr>
              <w:t>78 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EB8"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EB9" w14:textId="77777777" w:rsidR="00066C63" w:rsidRDefault="009656F6">
            <w:pPr>
              <w:jc w:val="right"/>
              <w:textAlignment w:val="bottom"/>
            </w:pPr>
            <w:r>
              <w:rPr>
                <w:rFonts w:ascii="Arial" w:eastAsia="宋体" w:hAnsi="Arial" w:cs="Arial"/>
                <w:color w:val="000000"/>
                <w:sz w:val="17"/>
                <w:szCs w:val="17"/>
              </w:rPr>
              <w:t>(7)</w:t>
            </w:r>
          </w:p>
        </w:tc>
        <w:tc>
          <w:tcPr>
            <w:tcW w:w="0" w:type="auto"/>
            <w:tcBorders>
              <w:top w:val="single" w:sz="8" w:space="0" w:color="808080"/>
            </w:tcBorders>
            <w:shd w:val="clear" w:color="auto" w:fill="auto"/>
            <w:tcMar>
              <w:top w:w="40" w:type="dxa"/>
              <w:left w:w="0" w:type="dxa"/>
              <w:bottom w:w="40" w:type="dxa"/>
              <w:right w:w="20" w:type="dxa"/>
            </w:tcMar>
            <w:vAlign w:val="bottom"/>
          </w:tcPr>
          <w:p w14:paraId="669C6EBA"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EBB" w14:textId="77777777" w:rsidR="00066C63" w:rsidRDefault="009656F6">
            <w:pPr>
              <w:jc w:val="right"/>
              <w:textAlignment w:val="bottom"/>
            </w:pPr>
            <w:r>
              <w:rPr>
                <w:rFonts w:ascii="Arial" w:eastAsia="宋体" w:hAnsi="Arial" w:cs="Arial"/>
                <w:color w:val="000000"/>
                <w:sz w:val="17"/>
                <w:szCs w:val="17"/>
              </w:rPr>
              <w:t>95 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EBC" w14:textId="77777777" w:rsidR="00066C63" w:rsidRDefault="00066C63">
            <w:pPr>
              <w:jc w:val="right"/>
              <w:rPr>
                <w:rFonts w:ascii="宋体"/>
              </w:rPr>
            </w:pPr>
          </w:p>
        </w:tc>
      </w:tr>
      <w:tr w:rsidR="00066C63" w14:paraId="669C6EDA"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669C6EBE" w14:textId="77777777" w:rsidR="00066C63" w:rsidRDefault="009656F6">
            <w:pPr>
              <w:textAlignment w:val="bottom"/>
            </w:pPr>
            <w:r>
              <w:rPr>
                <w:rFonts w:ascii="Arial" w:eastAsia="宋体" w:hAnsi="Arial" w:cs="Arial"/>
                <w:b/>
                <w:bCs/>
                <w:color w:val="000000"/>
                <w:sz w:val="17"/>
                <w:szCs w:val="17"/>
              </w:rPr>
              <w:t>TOTAL REVENUES</w:t>
            </w: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69C6EBF"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69C6EC0" w14:textId="77777777" w:rsidR="00066C63" w:rsidRDefault="009656F6">
            <w:pPr>
              <w:jc w:val="right"/>
              <w:textAlignment w:val="bottom"/>
            </w:pPr>
            <w:r>
              <w:rPr>
                <w:rFonts w:ascii="Arial" w:eastAsia="宋体" w:hAnsi="Arial" w:cs="Arial"/>
                <w:b/>
                <w:bCs/>
                <w:color w:val="000000"/>
                <w:sz w:val="17"/>
                <w:szCs w:val="17"/>
              </w:rPr>
              <w:t>12,254</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69C6EC1" w14:textId="77777777" w:rsidR="00066C63" w:rsidRDefault="00066C63">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69C6EC2"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69C6EC3" w14:textId="77777777" w:rsidR="00066C63" w:rsidRDefault="009656F6">
            <w:pPr>
              <w:jc w:val="right"/>
              <w:textAlignment w:val="bottom"/>
            </w:pPr>
            <w:r>
              <w:rPr>
                <w:rFonts w:ascii="Arial" w:eastAsia="宋体" w:hAnsi="Arial" w:cs="Arial"/>
                <w:b/>
                <w:bCs/>
                <w:color w:val="000000"/>
                <w:sz w:val="17"/>
                <w:szCs w:val="17"/>
              </w:rPr>
              <w:t>8,019</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69C6EC4" w14:textId="77777777" w:rsidR="00066C63" w:rsidRDefault="00066C63">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69C6EC5"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69C6EC6" w14:textId="77777777" w:rsidR="00066C63" w:rsidRDefault="009656F6">
            <w:pPr>
              <w:jc w:val="right"/>
              <w:textAlignment w:val="bottom"/>
            </w:pPr>
            <w:r>
              <w:rPr>
                <w:rFonts w:ascii="Arial" w:eastAsia="宋体" w:hAnsi="Arial" w:cs="Arial"/>
                <w:b/>
                <w:bCs/>
                <w:color w:val="000000"/>
                <w:sz w:val="17"/>
                <w:szCs w:val="17"/>
              </w:rPr>
              <w:t>5,032</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69C6EC7" w14:textId="77777777" w:rsidR="00066C63" w:rsidRDefault="00066C63">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69C6EC8"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69C6EC9" w14:textId="77777777" w:rsidR="00066C63" w:rsidRDefault="009656F6">
            <w:pPr>
              <w:jc w:val="right"/>
              <w:textAlignment w:val="bottom"/>
            </w:pPr>
            <w:r>
              <w:rPr>
                <w:rFonts w:ascii="Arial" w:eastAsia="宋体" w:hAnsi="Arial" w:cs="Arial"/>
                <w:b/>
                <w:bCs/>
                <w:color w:val="000000"/>
                <w:sz w:val="17"/>
                <w:szCs w:val="17"/>
              </w:rPr>
              <w:t>4,227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69C6ECA" w14:textId="77777777" w:rsidR="00066C63" w:rsidRDefault="00066C63">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69C6ECB"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69C6ECC" w14:textId="77777777" w:rsidR="00066C63" w:rsidRDefault="009656F6">
            <w:pPr>
              <w:jc w:val="right"/>
              <w:textAlignment w:val="bottom"/>
            </w:pPr>
            <w:r>
              <w:rPr>
                <w:rFonts w:ascii="Arial" w:eastAsia="宋体" w:hAnsi="Arial" w:cs="Arial"/>
                <w:b/>
                <w:bCs/>
                <w:color w:val="000000"/>
                <w:sz w:val="17"/>
                <w:szCs w:val="17"/>
              </w:rPr>
              <w:t>24</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69C6ECD" w14:textId="77777777" w:rsidR="00066C63" w:rsidRDefault="00066C63">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69C6ECE"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69C6ECF" w14:textId="77777777" w:rsidR="00066C63" w:rsidRDefault="009656F6">
            <w:pPr>
              <w:jc w:val="right"/>
              <w:textAlignment w:val="bottom"/>
            </w:pPr>
            <w:r>
              <w:rPr>
                <w:rFonts w:ascii="Arial" w:eastAsia="宋体" w:hAnsi="Arial" w:cs="Arial"/>
                <w:b/>
                <w:bCs/>
                <w:color w:val="000000"/>
                <w:sz w:val="17"/>
                <w:szCs w:val="17"/>
              </w:rPr>
              <w:t>29,556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69C6ED0" w14:textId="77777777" w:rsidR="00066C63" w:rsidRDefault="00066C63">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69C6ED1"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69C6ED2" w14:textId="77777777" w:rsidR="00066C63" w:rsidRDefault="009656F6">
            <w:pPr>
              <w:jc w:val="right"/>
              <w:textAlignment w:val="bottom"/>
            </w:pPr>
            <w:r>
              <w:rPr>
                <w:rFonts w:ascii="Arial" w:eastAsia="宋体" w:hAnsi="Arial" w:cs="Arial"/>
                <w:b/>
                <w:bCs/>
                <w:color w:val="000000"/>
                <w:sz w:val="17"/>
                <w:szCs w:val="17"/>
              </w:rPr>
              <w:t>1,541</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69C6ED3" w14:textId="77777777" w:rsidR="00066C63" w:rsidRDefault="00066C63">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69C6ED4"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69C6ED5" w14:textId="77777777" w:rsidR="00066C63" w:rsidRDefault="009656F6">
            <w:pPr>
              <w:jc w:val="right"/>
              <w:textAlignment w:val="bottom"/>
            </w:pPr>
            <w:r>
              <w:rPr>
                <w:rFonts w:ascii="Arial" w:eastAsia="宋体" w:hAnsi="Arial" w:cs="Arial"/>
                <w:b/>
                <w:bCs/>
                <w:color w:val="000000"/>
                <w:sz w:val="17"/>
                <w:szCs w:val="17"/>
              </w:rPr>
              <w:t>(7)</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69C6ED6" w14:textId="77777777" w:rsidR="00066C63" w:rsidRDefault="00066C63">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69C6ED7"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69C6ED8" w14:textId="77777777" w:rsidR="00066C63" w:rsidRDefault="009656F6">
            <w:pPr>
              <w:jc w:val="right"/>
              <w:textAlignment w:val="bottom"/>
            </w:pPr>
            <w:r>
              <w:rPr>
                <w:rFonts w:ascii="Arial" w:eastAsia="宋体" w:hAnsi="Arial" w:cs="Arial"/>
                <w:b/>
                <w:bCs/>
                <w:color w:val="000000"/>
                <w:sz w:val="17"/>
                <w:szCs w:val="17"/>
              </w:rPr>
              <w:t>31,090</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69C6ED9" w14:textId="77777777" w:rsidR="00066C63" w:rsidRDefault="00066C63">
            <w:pPr>
              <w:jc w:val="right"/>
              <w:rPr>
                <w:rFonts w:ascii="宋体"/>
              </w:rPr>
            </w:pPr>
          </w:p>
        </w:tc>
      </w:tr>
    </w:tbl>
    <w:p w14:paraId="669C6EDB" w14:textId="77777777" w:rsidR="00066C63" w:rsidRDefault="00066C63"/>
    <w:p w14:paraId="669C6EDC" w14:textId="77777777" w:rsidR="00066C63" w:rsidRDefault="009656F6">
      <w:r>
        <w:rPr>
          <w:rFonts w:ascii="Arial" w:eastAsia="宋体" w:hAnsi="Arial" w:cs="Arial"/>
          <w:color w:val="000000"/>
          <w:sz w:val="17"/>
          <w:szCs w:val="17"/>
        </w:rPr>
        <w:t>For the three and nine months ended February 28, 2021 and February 29, 2020, Global Brand Divisions revenues include NIKE Brand licensing and other miscellaneous re</w:t>
      </w:r>
      <w:r>
        <w:rPr>
          <w:rFonts w:ascii="Arial" w:eastAsia="宋体" w:hAnsi="Arial" w:cs="Arial"/>
          <w:color w:val="000000"/>
          <w:sz w:val="17"/>
          <w:szCs w:val="17"/>
        </w:rPr>
        <w:t>venues that are not part of a geographic operating segment. Converse Other revenues were primarily attributable to licensing businesses. Corporate Other revenues primarily consisted of foreign currency hedge gains and losses related to revenues generated b</w:t>
      </w:r>
      <w:r>
        <w:rPr>
          <w:rFonts w:ascii="Arial" w:eastAsia="宋体" w:hAnsi="Arial" w:cs="Arial"/>
          <w:color w:val="000000"/>
          <w:sz w:val="17"/>
          <w:szCs w:val="17"/>
        </w:rPr>
        <w:t>y entities within the NIKE Brand geographic operating segments and Converse, but managed through the Company's central foreign exchange risk management program.</w:t>
      </w:r>
    </w:p>
    <w:p w14:paraId="669C6EDD" w14:textId="77777777" w:rsidR="00066C63" w:rsidRDefault="009656F6">
      <w:pPr>
        <w:spacing w:before="120" w:after="120"/>
      </w:pPr>
      <w:r>
        <w:rPr>
          <w:rFonts w:ascii="Arial" w:eastAsia="宋体" w:hAnsi="Arial" w:cs="Arial"/>
          <w:color w:val="000000"/>
          <w:sz w:val="17"/>
          <w:szCs w:val="17"/>
        </w:rPr>
        <w:t xml:space="preserve">As of February 28, 2021 and May 31, 2020, the Company did not have any contract assets and had </w:t>
      </w:r>
      <w:r>
        <w:rPr>
          <w:rFonts w:ascii="Arial" w:eastAsia="宋体" w:hAnsi="Arial" w:cs="Arial"/>
          <w:color w:val="000000"/>
          <w:sz w:val="17"/>
          <w:szCs w:val="17"/>
        </w:rPr>
        <w:t>an immaterial amount of contract liabilities recorded in Accrued liabilities on the Unaudited Condensed Consolidated Balance Sheets.</w:t>
      </w:r>
    </w:p>
    <w:p w14:paraId="669C6EDE" w14:textId="77777777" w:rsidR="00066C63" w:rsidRDefault="009656F6">
      <w:pPr>
        <w:spacing w:before="120" w:after="120"/>
      </w:pPr>
      <w:r>
        <w:rPr>
          <w:rFonts w:ascii="Arial" w:eastAsia="宋体" w:hAnsi="Arial" w:cs="Arial"/>
          <w:color w:val="E87722"/>
          <w:sz w:val="17"/>
          <w:szCs w:val="17"/>
        </w:rPr>
        <w:t>20</w:t>
      </w:r>
      <w:r>
        <w:rPr>
          <w:rFonts w:ascii="sans-serif" w:eastAsia="sans-serif" w:hAnsi="sans-serif" w:cs="sans-serif"/>
          <w:color w:val="000000"/>
          <w:sz w:val="17"/>
          <w:szCs w:val="17"/>
        </w:rPr>
        <w:t xml:space="preserve"> </w:t>
      </w:r>
    </w:p>
    <w:p w14:paraId="669C6EDF" w14:textId="77777777" w:rsidR="00066C63" w:rsidRDefault="009656F6">
      <w:r>
        <w:pict w14:anchorId="669C7E44">
          <v:rect id="_x0000_i1046" style="width:415.3pt;height:1.5pt" o:hralign="center" o:hrstd="t" o:hr="t" fillcolor="#a0a0a0" stroked="f"/>
        </w:pict>
      </w:r>
    </w:p>
    <w:p w14:paraId="669C6EE0" w14:textId="77777777" w:rsidR="00066C63" w:rsidRDefault="00066C63"/>
    <w:p w14:paraId="669C6EE1" w14:textId="77777777" w:rsidR="00066C63" w:rsidRDefault="009656F6">
      <w:hyperlink r:id="rId91" w:anchor="i1e99cb26debe49fe8b698d0f0eb1273a_7" w:history="1">
        <w:r>
          <w:rPr>
            <w:rStyle w:val="a5"/>
            <w:rFonts w:ascii="sans-serif" w:eastAsia="sans-serif" w:hAnsi="sans-serif" w:cs="sans-serif"/>
            <w:sz w:val="17"/>
            <w:szCs w:val="17"/>
          </w:rPr>
          <w:t>Table of Contents</w:t>
        </w:r>
      </w:hyperlink>
    </w:p>
    <w:p w14:paraId="669C6EE2" w14:textId="77777777" w:rsidR="00066C63" w:rsidRDefault="00066C63"/>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066C63" w14:paraId="669C6EE6" w14:textId="77777777">
        <w:tc>
          <w:tcPr>
            <w:tcW w:w="50" w:type="pct"/>
            <w:shd w:val="clear" w:color="auto" w:fill="auto"/>
          </w:tcPr>
          <w:p w14:paraId="669C6EE3" w14:textId="77777777" w:rsidR="00066C63" w:rsidRDefault="00066C63">
            <w:pPr>
              <w:rPr>
                <w:rFonts w:ascii="宋体"/>
              </w:rPr>
            </w:pPr>
          </w:p>
        </w:tc>
        <w:tc>
          <w:tcPr>
            <w:tcW w:w="4945" w:type="pct"/>
            <w:shd w:val="clear" w:color="auto" w:fill="auto"/>
          </w:tcPr>
          <w:p w14:paraId="669C6EE4" w14:textId="77777777" w:rsidR="00066C63" w:rsidRDefault="00066C63">
            <w:pPr>
              <w:rPr>
                <w:rFonts w:ascii="宋体"/>
              </w:rPr>
            </w:pPr>
          </w:p>
        </w:tc>
        <w:tc>
          <w:tcPr>
            <w:tcW w:w="5" w:type="pct"/>
            <w:shd w:val="clear" w:color="auto" w:fill="auto"/>
          </w:tcPr>
          <w:p w14:paraId="669C6EE5" w14:textId="77777777" w:rsidR="00066C63" w:rsidRDefault="00066C63">
            <w:pPr>
              <w:rPr>
                <w:rFonts w:ascii="宋体"/>
              </w:rPr>
            </w:pPr>
          </w:p>
        </w:tc>
      </w:tr>
      <w:tr w:rsidR="00066C63" w14:paraId="669C6EE8" w14:textId="77777777">
        <w:tc>
          <w:tcPr>
            <w:tcW w:w="0" w:type="auto"/>
            <w:gridSpan w:val="3"/>
            <w:shd w:val="clear" w:color="auto" w:fill="auto"/>
            <w:tcMar>
              <w:top w:w="40" w:type="dxa"/>
              <w:left w:w="20" w:type="dxa"/>
              <w:bottom w:w="40" w:type="dxa"/>
              <w:right w:w="20" w:type="dxa"/>
            </w:tcMar>
            <w:vAlign w:val="bottom"/>
          </w:tcPr>
          <w:p w14:paraId="669C6EE7" w14:textId="77777777" w:rsidR="00066C63" w:rsidRDefault="009656F6">
            <w:pPr>
              <w:textAlignment w:val="bottom"/>
            </w:pPr>
            <w:r>
              <w:rPr>
                <w:rFonts w:ascii="sans-serif" w:eastAsia="sans-serif" w:hAnsi="sans-serif" w:cs="sans-serif"/>
                <w:b/>
                <w:bCs/>
                <w:color w:val="E87722"/>
                <w:sz w:val="36"/>
                <w:szCs w:val="36"/>
              </w:rPr>
              <w:t>NOTE 12 — OPERATING SEGMENTS</w:t>
            </w:r>
          </w:p>
        </w:tc>
      </w:tr>
    </w:tbl>
    <w:p w14:paraId="669C6EE9" w14:textId="77777777" w:rsidR="00066C63" w:rsidRDefault="009656F6">
      <w:pPr>
        <w:spacing w:before="120" w:after="120"/>
      </w:pPr>
      <w:r>
        <w:rPr>
          <w:rFonts w:ascii="Arial" w:eastAsia="宋体" w:hAnsi="Arial" w:cs="Arial"/>
          <w:color w:val="000000"/>
          <w:sz w:val="17"/>
          <w:szCs w:val="17"/>
        </w:rPr>
        <w:t xml:space="preserve">The Company's operating segments are evidence of the structure of the Company's internal organization. The NIKE Brand segments are defined by geographic regions for </w:t>
      </w:r>
      <w:r>
        <w:rPr>
          <w:rFonts w:ascii="Arial" w:eastAsia="宋体" w:hAnsi="Arial" w:cs="Arial"/>
          <w:color w:val="000000"/>
          <w:sz w:val="17"/>
          <w:szCs w:val="17"/>
        </w:rPr>
        <w:t>operations participating in NIKE Brand sales activity.</w:t>
      </w:r>
    </w:p>
    <w:p w14:paraId="669C6EEA" w14:textId="77777777" w:rsidR="00066C63" w:rsidRDefault="009656F6">
      <w:pPr>
        <w:spacing w:before="120" w:after="120"/>
      </w:pPr>
      <w:r>
        <w:rPr>
          <w:rFonts w:ascii="Arial" w:eastAsia="宋体" w:hAnsi="Arial" w:cs="Arial"/>
          <w:color w:val="000000"/>
          <w:sz w:val="17"/>
          <w:szCs w:val="17"/>
        </w:rPr>
        <w:t>Each NIKE Brand geographic segment operates predominantly in one industry: the design, development, marketing and selling of athletic footwear, apparel and equipment. The Company's reportable operating</w:t>
      </w:r>
      <w:r>
        <w:rPr>
          <w:rFonts w:ascii="Arial" w:eastAsia="宋体" w:hAnsi="Arial" w:cs="Arial"/>
          <w:color w:val="000000"/>
          <w:sz w:val="17"/>
          <w:szCs w:val="17"/>
        </w:rPr>
        <w:t xml:space="preserve"> segments for the NIKE Brand are: North America; Europe, Middle East &amp; Africa (EMEA); Greater China; and Asia Pacific &amp; Latin America (APLA), and include results for the NIKE and Jordan brands. </w:t>
      </w:r>
    </w:p>
    <w:p w14:paraId="669C6EEB" w14:textId="77777777" w:rsidR="00066C63" w:rsidRDefault="009656F6">
      <w:pPr>
        <w:spacing w:before="120" w:after="120"/>
      </w:pPr>
      <w:r>
        <w:rPr>
          <w:rFonts w:ascii="Arial" w:eastAsia="宋体" w:hAnsi="Arial" w:cs="Arial"/>
          <w:color w:val="000000"/>
          <w:sz w:val="17"/>
          <w:szCs w:val="17"/>
        </w:rPr>
        <w:t xml:space="preserve">The Company's NIKE Direct operations are managed within each </w:t>
      </w:r>
      <w:r>
        <w:rPr>
          <w:rFonts w:ascii="Arial" w:eastAsia="宋体" w:hAnsi="Arial" w:cs="Arial"/>
          <w:color w:val="000000"/>
          <w:sz w:val="17"/>
          <w:szCs w:val="17"/>
        </w:rPr>
        <w:t>NIKE Brand geographic operating segment. Converse is also a reportable segment for the Company, and operates in one industry: the design, marketing, licensing and selling of athletic lifestyle sneakers, apparel and accessories.</w:t>
      </w:r>
    </w:p>
    <w:p w14:paraId="669C6EEC" w14:textId="77777777" w:rsidR="00066C63" w:rsidRDefault="009656F6">
      <w:pPr>
        <w:spacing w:before="120" w:after="120"/>
      </w:pPr>
      <w:r>
        <w:rPr>
          <w:rFonts w:ascii="Arial" w:eastAsia="宋体" w:hAnsi="Arial" w:cs="Arial"/>
          <w:color w:val="000000"/>
          <w:sz w:val="17"/>
          <w:szCs w:val="17"/>
        </w:rPr>
        <w:t>Global Brand Divisions is included within the NIKE Brand for presentation purposes to align with the way management views the Company. Global Brand Divisions revenues include NIKE Brand licensing and other miscellaneous revenues that are not part of a geog</w:t>
      </w:r>
      <w:r>
        <w:rPr>
          <w:rFonts w:ascii="Arial" w:eastAsia="宋体" w:hAnsi="Arial" w:cs="Arial"/>
          <w:color w:val="000000"/>
          <w:sz w:val="17"/>
          <w:szCs w:val="17"/>
        </w:rPr>
        <w:t>raphic operating segment. Global Brand Divisions costs represent demand creation and operating overhead expense that include product creation and design expenses centrally managed for the NIKE Brand, as well as costs associated with NIKE Direct global digi</w:t>
      </w:r>
      <w:r>
        <w:rPr>
          <w:rFonts w:ascii="Arial" w:eastAsia="宋体" w:hAnsi="Arial" w:cs="Arial"/>
          <w:color w:val="000000"/>
          <w:sz w:val="17"/>
          <w:szCs w:val="17"/>
        </w:rPr>
        <w:t xml:space="preserve">tal operations and enterprise technology. </w:t>
      </w:r>
    </w:p>
    <w:p w14:paraId="669C6EED" w14:textId="77777777" w:rsidR="00066C63" w:rsidRDefault="009656F6">
      <w:pPr>
        <w:spacing w:before="120" w:after="120"/>
      </w:pPr>
      <w:r>
        <w:rPr>
          <w:rFonts w:ascii="Arial" w:eastAsia="宋体" w:hAnsi="Arial" w:cs="Arial"/>
          <w:color w:val="000000"/>
          <w:sz w:val="17"/>
          <w:szCs w:val="17"/>
        </w:rPr>
        <w:t>Corporate consists primarily of unallocated general and administrative expenses, including expenses associated with centrally managed departments; depreciation and amortization related to the Company's headquarter</w:t>
      </w:r>
      <w:r>
        <w:rPr>
          <w:rFonts w:ascii="Arial" w:eastAsia="宋体" w:hAnsi="Arial" w:cs="Arial"/>
          <w:color w:val="000000"/>
          <w:sz w:val="17"/>
          <w:szCs w:val="17"/>
        </w:rPr>
        <w:t>s; unallocated insurance, benefit and compensation programs, including stock-based compensation; and certain foreign currency gains and losses, including certain hedge gains and losses.</w:t>
      </w:r>
    </w:p>
    <w:p w14:paraId="669C6EEE" w14:textId="77777777" w:rsidR="00066C63" w:rsidRDefault="009656F6">
      <w:pPr>
        <w:spacing w:before="120" w:after="120"/>
      </w:pPr>
      <w:r>
        <w:rPr>
          <w:rFonts w:ascii="Arial" w:eastAsia="宋体" w:hAnsi="Arial" w:cs="Arial"/>
          <w:color w:val="000000"/>
          <w:sz w:val="17"/>
          <w:szCs w:val="17"/>
        </w:rPr>
        <w:t>The primary financial measure used by the Company to evaluate performa</w:t>
      </w:r>
      <w:r>
        <w:rPr>
          <w:rFonts w:ascii="Arial" w:eastAsia="宋体" w:hAnsi="Arial" w:cs="Arial"/>
          <w:color w:val="000000"/>
          <w:sz w:val="17"/>
          <w:szCs w:val="17"/>
        </w:rPr>
        <w:t>nce of individual operating segments is earnings before interest and taxes (EBIT), which represents Net income before Interest expense (income), net and Income tax expense in the Unaudited Condensed Consolidated Statements of Income.</w:t>
      </w:r>
    </w:p>
    <w:p w14:paraId="669C6EEF" w14:textId="77777777" w:rsidR="00066C63" w:rsidRDefault="009656F6">
      <w:pPr>
        <w:spacing w:before="120" w:after="120"/>
      </w:pPr>
      <w:r>
        <w:rPr>
          <w:rFonts w:ascii="Arial" w:eastAsia="宋体" w:hAnsi="Arial" w:cs="Arial"/>
          <w:color w:val="000000"/>
          <w:sz w:val="17"/>
          <w:szCs w:val="17"/>
        </w:rPr>
        <w:t>As part of the Company</w:t>
      </w:r>
      <w:r>
        <w:rPr>
          <w:rFonts w:ascii="Arial" w:eastAsia="宋体" w:hAnsi="Arial" w:cs="Arial"/>
          <w:color w:val="000000"/>
          <w:sz w:val="17"/>
          <w:szCs w:val="17"/>
        </w:rPr>
        <w:t xml:space="preserve">'s centrally managed foreign exchange risk management program, standard foreign currency rates are assigned twice per year to each NIKE Brand entity in the Company's geographic operating segments and to Converse. These rates are set approximately nine and </w:t>
      </w:r>
      <w:r>
        <w:rPr>
          <w:rFonts w:ascii="Arial" w:eastAsia="宋体" w:hAnsi="Arial" w:cs="Arial"/>
          <w:color w:val="000000"/>
          <w:sz w:val="17"/>
          <w:szCs w:val="17"/>
        </w:rPr>
        <w:t>twelve months in advance of the future selling seasons to which they relate (specifically, for each currency, one standard rate applies to the fall and holiday selling seasons and one standard rate applies to the spring and summer selling seasons) based on</w:t>
      </w:r>
      <w:r>
        <w:rPr>
          <w:rFonts w:ascii="Arial" w:eastAsia="宋体" w:hAnsi="Arial" w:cs="Arial"/>
          <w:color w:val="000000"/>
          <w:sz w:val="17"/>
          <w:szCs w:val="17"/>
        </w:rPr>
        <w:t xml:space="preserve"> average market spot rates in the calendar month preceding the date they are established. Inventories and Cost of sales for geographic operating segments and Converse reflect the use of these standard rates to record non-functional currency product purchas</w:t>
      </w:r>
      <w:r>
        <w:rPr>
          <w:rFonts w:ascii="Arial" w:eastAsia="宋体" w:hAnsi="Arial" w:cs="Arial"/>
          <w:color w:val="000000"/>
          <w:sz w:val="17"/>
          <w:szCs w:val="17"/>
        </w:rPr>
        <w:t>es in the entity's functional currency. Differences between assigned standard foreign currency rates and actual market rates are included in Corporate, together with foreign currency hedge gains and losses generated from the Company's centrally managed for</w:t>
      </w:r>
      <w:r>
        <w:rPr>
          <w:rFonts w:ascii="Arial" w:eastAsia="宋体" w:hAnsi="Arial" w:cs="Arial"/>
          <w:color w:val="000000"/>
          <w:sz w:val="17"/>
          <w:szCs w:val="17"/>
        </w:rPr>
        <w:t>eign exchange risk management program and other conversion gains and losses.</w:t>
      </w:r>
    </w:p>
    <w:p w14:paraId="669C6EF0" w14:textId="77777777" w:rsidR="00066C63" w:rsidRDefault="009656F6">
      <w:pPr>
        <w:spacing w:before="120" w:after="120"/>
        <w:jc w:val="right"/>
      </w:pPr>
      <w:r>
        <w:rPr>
          <w:rFonts w:ascii="Arial" w:eastAsia="宋体" w:hAnsi="Arial" w:cs="Arial"/>
          <w:color w:val="E87722"/>
          <w:sz w:val="17"/>
          <w:szCs w:val="17"/>
        </w:rPr>
        <w:t>21</w:t>
      </w:r>
    </w:p>
    <w:p w14:paraId="669C6EF1" w14:textId="77777777" w:rsidR="00066C63" w:rsidRDefault="009656F6">
      <w:r>
        <w:pict w14:anchorId="669C7E45">
          <v:rect id="_x0000_i1047" style="width:415.3pt;height:1.5pt" o:hralign="center" o:hrstd="t" o:hr="t" fillcolor="#a0a0a0" stroked="f"/>
        </w:pict>
      </w:r>
    </w:p>
    <w:p w14:paraId="669C6EF2" w14:textId="77777777" w:rsidR="00066C63" w:rsidRDefault="00066C63"/>
    <w:p w14:paraId="669C6EF3" w14:textId="77777777" w:rsidR="00066C63" w:rsidRDefault="009656F6">
      <w:hyperlink r:id="rId92" w:anchor="i1e99cb26debe49fe8b698d0f0eb1273a_7" w:history="1">
        <w:r>
          <w:rPr>
            <w:rStyle w:val="a5"/>
            <w:rFonts w:ascii="sans-serif" w:eastAsia="sans-serif" w:hAnsi="sans-serif" w:cs="sans-serif"/>
            <w:sz w:val="17"/>
            <w:szCs w:val="17"/>
          </w:rPr>
          <w:t>Table of Contents</w:t>
        </w:r>
      </w:hyperlink>
    </w:p>
    <w:p w14:paraId="669C6EF4" w14:textId="77777777" w:rsidR="00066C63" w:rsidRDefault="00066C63"/>
    <w:p w14:paraId="669C6EF5" w14:textId="77777777" w:rsidR="00066C63" w:rsidRDefault="009656F6">
      <w:pPr>
        <w:spacing w:before="120" w:after="120"/>
      </w:pPr>
      <w:r>
        <w:rPr>
          <w:rFonts w:ascii="Arial" w:eastAsia="宋体" w:hAnsi="Arial" w:cs="Arial"/>
          <w:color w:val="000000"/>
          <w:sz w:val="17"/>
          <w:szCs w:val="17"/>
        </w:rPr>
        <w:t>Ac</w:t>
      </w:r>
      <w:r>
        <w:rPr>
          <w:rFonts w:ascii="Arial" w:eastAsia="宋体" w:hAnsi="Arial" w:cs="Arial"/>
          <w:color w:val="000000"/>
          <w:sz w:val="17"/>
          <w:szCs w:val="17"/>
        </w:rPr>
        <w:t>counts receivable, net, Inventories and Property, plant and equipment, net for operating segments are regularly reviewed by management and are therefore provided below.</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4293"/>
        <w:gridCol w:w="37"/>
        <w:gridCol w:w="116"/>
        <w:gridCol w:w="771"/>
        <w:gridCol w:w="37"/>
        <w:gridCol w:w="36"/>
        <w:gridCol w:w="36"/>
        <w:gridCol w:w="36"/>
        <w:gridCol w:w="116"/>
        <w:gridCol w:w="719"/>
        <w:gridCol w:w="37"/>
        <w:gridCol w:w="36"/>
        <w:gridCol w:w="36"/>
        <w:gridCol w:w="36"/>
        <w:gridCol w:w="116"/>
        <w:gridCol w:w="772"/>
        <w:gridCol w:w="36"/>
        <w:gridCol w:w="36"/>
        <w:gridCol w:w="36"/>
        <w:gridCol w:w="36"/>
        <w:gridCol w:w="116"/>
        <w:gridCol w:w="772"/>
        <w:gridCol w:w="36"/>
      </w:tblGrid>
      <w:tr w:rsidR="00066C63" w14:paraId="669C6F0E" w14:textId="77777777">
        <w:trPr>
          <w:jc w:val="center"/>
        </w:trPr>
        <w:tc>
          <w:tcPr>
            <w:tcW w:w="50" w:type="pct"/>
            <w:shd w:val="clear" w:color="auto" w:fill="auto"/>
          </w:tcPr>
          <w:p w14:paraId="669C6EF6" w14:textId="77777777" w:rsidR="00066C63" w:rsidRDefault="00066C63">
            <w:pPr>
              <w:rPr>
                <w:rFonts w:ascii="宋体"/>
              </w:rPr>
            </w:pPr>
          </w:p>
        </w:tc>
        <w:tc>
          <w:tcPr>
            <w:tcW w:w="2622" w:type="pct"/>
            <w:shd w:val="clear" w:color="auto" w:fill="auto"/>
          </w:tcPr>
          <w:p w14:paraId="669C6EF7" w14:textId="77777777" w:rsidR="00066C63" w:rsidRDefault="00066C63">
            <w:pPr>
              <w:rPr>
                <w:rFonts w:ascii="宋体"/>
              </w:rPr>
            </w:pPr>
          </w:p>
        </w:tc>
        <w:tc>
          <w:tcPr>
            <w:tcW w:w="5" w:type="pct"/>
            <w:shd w:val="clear" w:color="auto" w:fill="auto"/>
          </w:tcPr>
          <w:p w14:paraId="669C6EF8" w14:textId="77777777" w:rsidR="00066C63" w:rsidRDefault="00066C63">
            <w:pPr>
              <w:rPr>
                <w:rFonts w:ascii="宋体"/>
              </w:rPr>
            </w:pPr>
          </w:p>
        </w:tc>
        <w:tc>
          <w:tcPr>
            <w:tcW w:w="50" w:type="pct"/>
            <w:shd w:val="clear" w:color="auto" w:fill="auto"/>
          </w:tcPr>
          <w:p w14:paraId="669C6EF9" w14:textId="77777777" w:rsidR="00066C63" w:rsidRDefault="00066C63">
            <w:pPr>
              <w:rPr>
                <w:rFonts w:ascii="宋体"/>
              </w:rPr>
            </w:pPr>
          </w:p>
        </w:tc>
        <w:tc>
          <w:tcPr>
            <w:tcW w:w="500" w:type="pct"/>
            <w:shd w:val="clear" w:color="auto" w:fill="auto"/>
          </w:tcPr>
          <w:p w14:paraId="669C6EFA" w14:textId="77777777" w:rsidR="00066C63" w:rsidRDefault="00066C63">
            <w:pPr>
              <w:rPr>
                <w:rFonts w:ascii="宋体"/>
              </w:rPr>
            </w:pPr>
          </w:p>
        </w:tc>
        <w:tc>
          <w:tcPr>
            <w:tcW w:w="5" w:type="pct"/>
            <w:shd w:val="clear" w:color="auto" w:fill="auto"/>
          </w:tcPr>
          <w:p w14:paraId="669C6EFB" w14:textId="77777777" w:rsidR="00066C63" w:rsidRDefault="00066C63">
            <w:pPr>
              <w:rPr>
                <w:rFonts w:ascii="宋体"/>
              </w:rPr>
            </w:pPr>
          </w:p>
        </w:tc>
        <w:tc>
          <w:tcPr>
            <w:tcW w:w="5" w:type="pct"/>
            <w:shd w:val="clear" w:color="auto" w:fill="auto"/>
          </w:tcPr>
          <w:p w14:paraId="669C6EFC" w14:textId="77777777" w:rsidR="00066C63" w:rsidRDefault="00066C63">
            <w:pPr>
              <w:rPr>
                <w:rFonts w:ascii="宋体"/>
              </w:rPr>
            </w:pPr>
          </w:p>
        </w:tc>
        <w:tc>
          <w:tcPr>
            <w:tcW w:w="28" w:type="pct"/>
            <w:shd w:val="clear" w:color="auto" w:fill="auto"/>
          </w:tcPr>
          <w:p w14:paraId="669C6EFD" w14:textId="77777777" w:rsidR="00066C63" w:rsidRDefault="00066C63">
            <w:pPr>
              <w:rPr>
                <w:rFonts w:ascii="宋体"/>
              </w:rPr>
            </w:pPr>
          </w:p>
        </w:tc>
        <w:tc>
          <w:tcPr>
            <w:tcW w:w="5" w:type="pct"/>
            <w:shd w:val="clear" w:color="auto" w:fill="auto"/>
          </w:tcPr>
          <w:p w14:paraId="669C6EFE" w14:textId="77777777" w:rsidR="00066C63" w:rsidRDefault="00066C63">
            <w:pPr>
              <w:rPr>
                <w:rFonts w:ascii="宋体"/>
              </w:rPr>
            </w:pPr>
          </w:p>
        </w:tc>
        <w:tc>
          <w:tcPr>
            <w:tcW w:w="50" w:type="pct"/>
            <w:shd w:val="clear" w:color="auto" w:fill="auto"/>
          </w:tcPr>
          <w:p w14:paraId="669C6EFF" w14:textId="77777777" w:rsidR="00066C63" w:rsidRDefault="00066C63">
            <w:pPr>
              <w:rPr>
                <w:rFonts w:ascii="宋体"/>
              </w:rPr>
            </w:pPr>
          </w:p>
        </w:tc>
        <w:tc>
          <w:tcPr>
            <w:tcW w:w="500" w:type="pct"/>
            <w:shd w:val="clear" w:color="auto" w:fill="auto"/>
          </w:tcPr>
          <w:p w14:paraId="669C6F00" w14:textId="77777777" w:rsidR="00066C63" w:rsidRDefault="00066C63">
            <w:pPr>
              <w:rPr>
                <w:rFonts w:ascii="宋体"/>
              </w:rPr>
            </w:pPr>
          </w:p>
        </w:tc>
        <w:tc>
          <w:tcPr>
            <w:tcW w:w="5" w:type="pct"/>
            <w:shd w:val="clear" w:color="auto" w:fill="auto"/>
          </w:tcPr>
          <w:p w14:paraId="669C6F01" w14:textId="77777777" w:rsidR="00066C63" w:rsidRDefault="00066C63">
            <w:pPr>
              <w:rPr>
                <w:rFonts w:ascii="宋体"/>
              </w:rPr>
            </w:pPr>
          </w:p>
        </w:tc>
        <w:tc>
          <w:tcPr>
            <w:tcW w:w="5" w:type="pct"/>
            <w:shd w:val="clear" w:color="auto" w:fill="auto"/>
          </w:tcPr>
          <w:p w14:paraId="669C6F02" w14:textId="77777777" w:rsidR="00066C63" w:rsidRDefault="00066C63">
            <w:pPr>
              <w:rPr>
                <w:rFonts w:ascii="宋体"/>
              </w:rPr>
            </w:pPr>
          </w:p>
        </w:tc>
        <w:tc>
          <w:tcPr>
            <w:tcW w:w="20" w:type="pct"/>
            <w:shd w:val="clear" w:color="auto" w:fill="auto"/>
          </w:tcPr>
          <w:p w14:paraId="669C6F03" w14:textId="77777777" w:rsidR="00066C63" w:rsidRDefault="00066C63">
            <w:pPr>
              <w:rPr>
                <w:rFonts w:ascii="宋体"/>
              </w:rPr>
            </w:pPr>
          </w:p>
        </w:tc>
        <w:tc>
          <w:tcPr>
            <w:tcW w:w="5" w:type="pct"/>
            <w:shd w:val="clear" w:color="auto" w:fill="auto"/>
          </w:tcPr>
          <w:p w14:paraId="669C6F04" w14:textId="77777777" w:rsidR="00066C63" w:rsidRDefault="00066C63">
            <w:pPr>
              <w:rPr>
                <w:rFonts w:ascii="宋体"/>
              </w:rPr>
            </w:pPr>
          </w:p>
        </w:tc>
        <w:tc>
          <w:tcPr>
            <w:tcW w:w="50" w:type="pct"/>
            <w:shd w:val="clear" w:color="auto" w:fill="auto"/>
          </w:tcPr>
          <w:p w14:paraId="669C6F05" w14:textId="77777777" w:rsidR="00066C63" w:rsidRDefault="00066C63">
            <w:pPr>
              <w:rPr>
                <w:rFonts w:ascii="宋体"/>
              </w:rPr>
            </w:pPr>
          </w:p>
        </w:tc>
        <w:tc>
          <w:tcPr>
            <w:tcW w:w="500" w:type="pct"/>
            <w:shd w:val="clear" w:color="auto" w:fill="auto"/>
          </w:tcPr>
          <w:p w14:paraId="669C6F06" w14:textId="77777777" w:rsidR="00066C63" w:rsidRDefault="00066C63">
            <w:pPr>
              <w:rPr>
                <w:rFonts w:ascii="宋体"/>
              </w:rPr>
            </w:pPr>
          </w:p>
        </w:tc>
        <w:tc>
          <w:tcPr>
            <w:tcW w:w="5" w:type="pct"/>
            <w:shd w:val="clear" w:color="auto" w:fill="auto"/>
          </w:tcPr>
          <w:p w14:paraId="669C6F07" w14:textId="77777777" w:rsidR="00066C63" w:rsidRDefault="00066C63">
            <w:pPr>
              <w:rPr>
                <w:rFonts w:ascii="宋体"/>
              </w:rPr>
            </w:pPr>
          </w:p>
        </w:tc>
        <w:tc>
          <w:tcPr>
            <w:tcW w:w="5" w:type="pct"/>
            <w:shd w:val="clear" w:color="auto" w:fill="auto"/>
          </w:tcPr>
          <w:p w14:paraId="669C6F08" w14:textId="77777777" w:rsidR="00066C63" w:rsidRDefault="00066C63">
            <w:pPr>
              <w:rPr>
                <w:rFonts w:ascii="宋体"/>
              </w:rPr>
            </w:pPr>
          </w:p>
        </w:tc>
        <w:tc>
          <w:tcPr>
            <w:tcW w:w="20" w:type="pct"/>
            <w:shd w:val="clear" w:color="auto" w:fill="auto"/>
          </w:tcPr>
          <w:p w14:paraId="669C6F09" w14:textId="77777777" w:rsidR="00066C63" w:rsidRDefault="00066C63">
            <w:pPr>
              <w:rPr>
                <w:rFonts w:ascii="宋体"/>
              </w:rPr>
            </w:pPr>
          </w:p>
        </w:tc>
        <w:tc>
          <w:tcPr>
            <w:tcW w:w="5" w:type="pct"/>
            <w:shd w:val="clear" w:color="auto" w:fill="auto"/>
          </w:tcPr>
          <w:p w14:paraId="669C6F0A" w14:textId="77777777" w:rsidR="00066C63" w:rsidRDefault="00066C63">
            <w:pPr>
              <w:rPr>
                <w:rFonts w:ascii="宋体"/>
              </w:rPr>
            </w:pPr>
          </w:p>
        </w:tc>
        <w:tc>
          <w:tcPr>
            <w:tcW w:w="50" w:type="pct"/>
            <w:shd w:val="clear" w:color="auto" w:fill="auto"/>
          </w:tcPr>
          <w:p w14:paraId="669C6F0B" w14:textId="77777777" w:rsidR="00066C63" w:rsidRDefault="00066C63">
            <w:pPr>
              <w:rPr>
                <w:rFonts w:ascii="宋体"/>
              </w:rPr>
            </w:pPr>
          </w:p>
        </w:tc>
        <w:tc>
          <w:tcPr>
            <w:tcW w:w="500" w:type="pct"/>
            <w:shd w:val="clear" w:color="auto" w:fill="auto"/>
          </w:tcPr>
          <w:p w14:paraId="669C6F0C" w14:textId="77777777" w:rsidR="00066C63" w:rsidRDefault="00066C63">
            <w:pPr>
              <w:rPr>
                <w:rFonts w:ascii="宋体"/>
              </w:rPr>
            </w:pPr>
          </w:p>
        </w:tc>
        <w:tc>
          <w:tcPr>
            <w:tcW w:w="5" w:type="pct"/>
            <w:shd w:val="clear" w:color="auto" w:fill="auto"/>
          </w:tcPr>
          <w:p w14:paraId="669C6F0D" w14:textId="77777777" w:rsidR="00066C63" w:rsidRDefault="00066C63">
            <w:pPr>
              <w:rPr>
                <w:rFonts w:ascii="宋体"/>
              </w:rPr>
            </w:pPr>
          </w:p>
        </w:tc>
      </w:tr>
      <w:tr w:rsidR="00066C63" w14:paraId="669C6F13" w14:textId="77777777">
        <w:trPr>
          <w:jc w:val="center"/>
        </w:trPr>
        <w:tc>
          <w:tcPr>
            <w:tcW w:w="0" w:type="auto"/>
            <w:gridSpan w:val="3"/>
            <w:shd w:val="clear" w:color="auto" w:fill="auto"/>
            <w:tcMar>
              <w:top w:w="40" w:type="dxa"/>
              <w:left w:w="20" w:type="dxa"/>
              <w:bottom w:w="40" w:type="dxa"/>
              <w:right w:w="20" w:type="dxa"/>
            </w:tcMar>
            <w:vAlign w:val="bottom"/>
          </w:tcPr>
          <w:p w14:paraId="669C6F0F" w14:textId="77777777" w:rsidR="00066C63" w:rsidRDefault="009656F6">
            <w:pPr>
              <w:textAlignment w:val="bottom"/>
            </w:pPr>
            <w:r>
              <w:rPr>
                <w:rFonts w:ascii="Arial" w:eastAsia="宋体" w:hAnsi="Arial" w:cs="Arial"/>
                <w:color w:val="000000"/>
                <w:sz w:val="17"/>
                <w:szCs w:val="17"/>
              </w:rPr>
              <w:t> </w:t>
            </w:r>
          </w:p>
        </w:tc>
        <w:tc>
          <w:tcPr>
            <w:tcW w:w="0" w:type="auto"/>
            <w:gridSpan w:val="9"/>
            <w:shd w:val="clear" w:color="auto" w:fill="auto"/>
            <w:tcMar>
              <w:top w:w="40" w:type="dxa"/>
              <w:left w:w="20" w:type="dxa"/>
              <w:bottom w:w="40" w:type="dxa"/>
              <w:right w:w="20" w:type="dxa"/>
            </w:tcMar>
            <w:vAlign w:val="bottom"/>
          </w:tcPr>
          <w:p w14:paraId="669C6F10" w14:textId="77777777" w:rsidR="00066C63" w:rsidRDefault="009656F6">
            <w:pPr>
              <w:jc w:val="center"/>
              <w:textAlignment w:val="bottom"/>
            </w:pPr>
            <w:r>
              <w:rPr>
                <w:rFonts w:ascii="sans-serif" w:eastAsia="sans-serif" w:hAnsi="sans-serif" w:cs="sans-serif"/>
                <w:b/>
                <w:bCs/>
                <w:color w:val="000000"/>
                <w:sz w:val="17"/>
                <w:szCs w:val="17"/>
              </w:rPr>
              <w:t xml:space="preserve">THREE MONTHS ENDED </w:t>
            </w:r>
          </w:p>
        </w:tc>
        <w:tc>
          <w:tcPr>
            <w:tcW w:w="0" w:type="auto"/>
            <w:gridSpan w:val="3"/>
            <w:shd w:val="clear" w:color="auto" w:fill="auto"/>
            <w:tcMar>
              <w:top w:w="0" w:type="dxa"/>
              <w:left w:w="20" w:type="dxa"/>
              <w:bottom w:w="0" w:type="dxa"/>
              <w:right w:w="20" w:type="dxa"/>
            </w:tcMar>
          </w:tcPr>
          <w:p w14:paraId="669C6F11" w14:textId="77777777" w:rsidR="00066C63" w:rsidRDefault="00066C63">
            <w:pPr>
              <w:rPr>
                <w:rFonts w:ascii="宋体"/>
              </w:rPr>
            </w:pPr>
          </w:p>
        </w:tc>
        <w:tc>
          <w:tcPr>
            <w:tcW w:w="0" w:type="auto"/>
            <w:gridSpan w:val="9"/>
            <w:shd w:val="clear" w:color="auto" w:fill="auto"/>
            <w:tcMar>
              <w:top w:w="40" w:type="dxa"/>
              <w:left w:w="20" w:type="dxa"/>
              <w:bottom w:w="40" w:type="dxa"/>
              <w:right w:w="20" w:type="dxa"/>
            </w:tcMar>
            <w:vAlign w:val="bottom"/>
          </w:tcPr>
          <w:p w14:paraId="669C6F12" w14:textId="77777777" w:rsidR="00066C63" w:rsidRDefault="009656F6">
            <w:pPr>
              <w:jc w:val="center"/>
              <w:textAlignment w:val="bottom"/>
            </w:pPr>
            <w:r>
              <w:rPr>
                <w:rFonts w:ascii="sans-serif" w:eastAsia="sans-serif" w:hAnsi="sans-serif" w:cs="sans-serif"/>
                <w:b/>
                <w:bCs/>
                <w:color w:val="000000"/>
                <w:sz w:val="17"/>
                <w:szCs w:val="17"/>
              </w:rPr>
              <w:t xml:space="preserve">NINE MONTHS ENDED </w:t>
            </w:r>
          </w:p>
        </w:tc>
      </w:tr>
      <w:tr w:rsidR="00066C63" w14:paraId="669C6F1C" w14:textId="77777777">
        <w:trPr>
          <w:jc w:val="center"/>
        </w:trPr>
        <w:tc>
          <w:tcPr>
            <w:tcW w:w="0" w:type="auto"/>
            <w:gridSpan w:val="3"/>
            <w:shd w:val="clear" w:color="auto" w:fill="auto"/>
            <w:tcMar>
              <w:top w:w="40" w:type="dxa"/>
              <w:left w:w="20" w:type="dxa"/>
              <w:bottom w:w="40" w:type="dxa"/>
              <w:right w:w="20" w:type="dxa"/>
            </w:tcMar>
            <w:vAlign w:val="bottom"/>
          </w:tcPr>
          <w:p w14:paraId="669C6F14" w14:textId="77777777" w:rsidR="00066C63" w:rsidRDefault="009656F6">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F15" w14:textId="77777777" w:rsidR="00066C63" w:rsidRDefault="009656F6">
            <w:pPr>
              <w:jc w:val="center"/>
              <w:textAlignment w:val="bottom"/>
            </w:pPr>
            <w:r>
              <w:rPr>
                <w:rFonts w:ascii="sans-serif" w:eastAsia="sans-serif" w:hAnsi="sans-serif" w:cs="sans-serif"/>
                <w:b/>
                <w:bCs/>
                <w:color w:val="000000"/>
                <w:sz w:val="17"/>
                <w:szCs w:val="17"/>
              </w:rPr>
              <w:t>FEBRUARY 28, 2021</w:t>
            </w:r>
          </w:p>
        </w:tc>
        <w:tc>
          <w:tcPr>
            <w:tcW w:w="0" w:type="auto"/>
            <w:gridSpan w:val="3"/>
            <w:tcBorders>
              <w:top w:val="single" w:sz="8" w:space="0" w:color="E87722"/>
            </w:tcBorders>
            <w:shd w:val="clear" w:color="auto" w:fill="auto"/>
            <w:tcMar>
              <w:top w:w="0" w:type="dxa"/>
              <w:left w:w="20" w:type="dxa"/>
              <w:bottom w:w="0" w:type="dxa"/>
              <w:right w:w="20" w:type="dxa"/>
            </w:tcMar>
          </w:tcPr>
          <w:p w14:paraId="669C6F16" w14:textId="77777777" w:rsidR="00066C63" w:rsidRDefault="00066C63">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F17" w14:textId="77777777" w:rsidR="00066C63" w:rsidRDefault="009656F6">
            <w:pPr>
              <w:jc w:val="center"/>
              <w:textAlignment w:val="bottom"/>
            </w:pPr>
            <w:r>
              <w:rPr>
                <w:rFonts w:ascii="sans-serif" w:eastAsia="sans-serif" w:hAnsi="sans-serif" w:cs="sans-serif"/>
                <w:b/>
                <w:bCs/>
                <w:color w:val="000000"/>
                <w:sz w:val="17"/>
                <w:szCs w:val="17"/>
              </w:rPr>
              <w:t>FEBRUARY 29, 2020</w:t>
            </w:r>
          </w:p>
        </w:tc>
        <w:tc>
          <w:tcPr>
            <w:tcW w:w="0" w:type="auto"/>
            <w:gridSpan w:val="3"/>
            <w:shd w:val="clear" w:color="auto" w:fill="auto"/>
            <w:tcMar>
              <w:top w:w="0" w:type="dxa"/>
              <w:left w:w="20" w:type="dxa"/>
              <w:bottom w:w="0" w:type="dxa"/>
              <w:right w:w="20" w:type="dxa"/>
            </w:tcMar>
          </w:tcPr>
          <w:p w14:paraId="669C6F18" w14:textId="77777777" w:rsidR="00066C63" w:rsidRDefault="00066C63">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F19" w14:textId="77777777" w:rsidR="00066C63" w:rsidRDefault="009656F6">
            <w:pPr>
              <w:jc w:val="center"/>
              <w:textAlignment w:val="bottom"/>
            </w:pPr>
            <w:r>
              <w:rPr>
                <w:rFonts w:ascii="sans-serif" w:eastAsia="sans-serif" w:hAnsi="sans-serif" w:cs="sans-serif"/>
                <w:b/>
                <w:bCs/>
                <w:color w:val="000000"/>
                <w:sz w:val="17"/>
                <w:szCs w:val="17"/>
              </w:rPr>
              <w:t>FEBRUARY 28, 2021</w:t>
            </w:r>
          </w:p>
        </w:tc>
        <w:tc>
          <w:tcPr>
            <w:tcW w:w="0" w:type="auto"/>
            <w:gridSpan w:val="3"/>
            <w:tcBorders>
              <w:top w:val="single" w:sz="8" w:space="0" w:color="E87722"/>
            </w:tcBorders>
            <w:shd w:val="clear" w:color="auto" w:fill="auto"/>
            <w:tcMar>
              <w:top w:w="0" w:type="dxa"/>
              <w:left w:w="20" w:type="dxa"/>
              <w:bottom w:w="0" w:type="dxa"/>
              <w:right w:w="20" w:type="dxa"/>
            </w:tcMar>
          </w:tcPr>
          <w:p w14:paraId="669C6F1A" w14:textId="77777777" w:rsidR="00066C63" w:rsidRDefault="00066C63">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F1B" w14:textId="77777777" w:rsidR="00066C63" w:rsidRDefault="009656F6">
            <w:pPr>
              <w:jc w:val="center"/>
              <w:textAlignment w:val="bottom"/>
            </w:pPr>
            <w:r>
              <w:rPr>
                <w:rFonts w:ascii="sans-serif" w:eastAsia="sans-serif" w:hAnsi="sans-serif" w:cs="sans-serif"/>
                <w:b/>
                <w:bCs/>
                <w:color w:val="000000"/>
                <w:sz w:val="17"/>
                <w:szCs w:val="17"/>
              </w:rPr>
              <w:t>FEBRUARY 29, 2020</w:t>
            </w:r>
          </w:p>
        </w:tc>
      </w:tr>
      <w:tr w:rsidR="00066C63" w14:paraId="669C6F25"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F1D" w14:textId="77777777" w:rsidR="00066C63" w:rsidRDefault="009656F6">
            <w:pPr>
              <w:textAlignment w:val="bottom"/>
            </w:pPr>
            <w:r>
              <w:rPr>
                <w:rFonts w:ascii="Arial" w:eastAsia="宋体" w:hAnsi="Arial" w:cs="Arial"/>
                <w:b/>
                <w:bCs/>
                <w:color w:val="000000"/>
                <w:sz w:val="17"/>
                <w:szCs w:val="17"/>
              </w:rPr>
              <w:t>REVENUES</w:t>
            </w:r>
          </w:p>
        </w:tc>
        <w:tc>
          <w:tcPr>
            <w:tcW w:w="0" w:type="auto"/>
            <w:gridSpan w:val="3"/>
            <w:tcBorders>
              <w:top w:val="single" w:sz="8" w:space="0" w:color="E87722"/>
            </w:tcBorders>
            <w:shd w:val="clear" w:color="auto" w:fill="FFF1E7"/>
            <w:tcMar>
              <w:top w:w="0" w:type="dxa"/>
              <w:left w:w="20" w:type="dxa"/>
              <w:bottom w:w="0" w:type="dxa"/>
              <w:right w:w="20" w:type="dxa"/>
            </w:tcMar>
          </w:tcPr>
          <w:p w14:paraId="669C6F1E"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6F1F"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6F20"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6F21" w14:textId="77777777" w:rsidR="00066C63" w:rsidRDefault="00066C63">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669C6F22"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6F23"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6F24" w14:textId="77777777" w:rsidR="00066C63" w:rsidRDefault="00066C63">
            <w:pPr>
              <w:rPr>
                <w:rFonts w:ascii="宋体"/>
              </w:rPr>
            </w:pPr>
          </w:p>
        </w:tc>
      </w:tr>
      <w:tr w:rsidR="00066C63" w14:paraId="669C6F36" w14:textId="77777777">
        <w:trPr>
          <w:jc w:val="center"/>
        </w:trPr>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6F26" w14:textId="77777777" w:rsidR="00066C63" w:rsidRDefault="009656F6">
            <w:pPr>
              <w:textAlignment w:val="bottom"/>
            </w:pPr>
            <w:r>
              <w:rPr>
                <w:rFonts w:ascii="Arial" w:eastAsia="宋体" w:hAnsi="Arial" w:cs="Arial"/>
                <w:color w:val="000000"/>
                <w:sz w:val="17"/>
                <w:szCs w:val="17"/>
              </w:rPr>
              <w:t>North America</w:t>
            </w:r>
          </w:p>
        </w:tc>
        <w:tc>
          <w:tcPr>
            <w:tcW w:w="0" w:type="auto"/>
            <w:tcBorders>
              <w:top w:val="single" w:sz="8" w:space="0" w:color="808080"/>
            </w:tcBorders>
            <w:shd w:val="clear" w:color="auto" w:fill="FFF1E7"/>
            <w:tcMar>
              <w:top w:w="40" w:type="dxa"/>
              <w:left w:w="20" w:type="dxa"/>
              <w:bottom w:w="40" w:type="dxa"/>
              <w:right w:w="0" w:type="dxa"/>
            </w:tcMar>
            <w:vAlign w:val="bottom"/>
          </w:tcPr>
          <w:p w14:paraId="669C6F27"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669C6F28" w14:textId="77777777" w:rsidR="00066C63" w:rsidRDefault="009656F6">
            <w:pPr>
              <w:jc w:val="right"/>
              <w:textAlignment w:val="bottom"/>
            </w:pPr>
            <w:r>
              <w:rPr>
                <w:rFonts w:ascii="Arial" w:eastAsia="宋体" w:hAnsi="Arial" w:cs="Arial"/>
                <w:color w:val="000000"/>
                <w:sz w:val="17"/>
                <w:szCs w:val="17"/>
              </w:rPr>
              <w:t>3,564 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F29" w14:textId="77777777" w:rsidR="00066C63" w:rsidRDefault="00066C63">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6F2A" w14:textId="77777777" w:rsidR="00066C63" w:rsidRDefault="00066C63">
            <w:pPr>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669C6F2B"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669C6F2C" w14:textId="77777777" w:rsidR="00066C63" w:rsidRDefault="009656F6">
            <w:pPr>
              <w:jc w:val="right"/>
              <w:textAlignment w:val="bottom"/>
            </w:pPr>
            <w:r>
              <w:rPr>
                <w:rFonts w:ascii="Arial" w:eastAsia="宋体" w:hAnsi="Arial" w:cs="Arial"/>
                <w:color w:val="000000"/>
                <w:sz w:val="17"/>
                <w:szCs w:val="17"/>
              </w:rPr>
              <w:t>3,979 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F2D" w14:textId="77777777" w:rsidR="00066C63" w:rsidRDefault="00066C63">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6F2E" w14:textId="77777777" w:rsidR="00066C63" w:rsidRDefault="00066C63">
            <w:pPr>
              <w:rPr>
                <w:rFonts w:ascii="宋体"/>
              </w:rPr>
            </w:pPr>
          </w:p>
        </w:tc>
        <w:tc>
          <w:tcPr>
            <w:tcW w:w="0" w:type="auto"/>
            <w:tcBorders>
              <w:top w:val="single" w:sz="8" w:space="0" w:color="808080"/>
            </w:tcBorders>
            <w:shd w:val="clear" w:color="auto" w:fill="FFF1E7"/>
            <w:tcMar>
              <w:top w:w="40" w:type="dxa"/>
              <w:left w:w="20" w:type="dxa"/>
              <w:bottom w:w="40" w:type="dxa"/>
              <w:right w:w="0" w:type="dxa"/>
            </w:tcMar>
            <w:vAlign w:val="bottom"/>
          </w:tcPr>
          <w:p w14:paraId="669C6F2F"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669C6F30" w14:textId="77777777" w:rsidR="00066C63" w:rsidRDefault="009656F6">
            <w:pPr>
              <w:jc w:val="right"/>
              <w:textAlignment w:val="bottom"/>
            </w:pPr>
            <w:r>
              <w:rPr>
                <w:rFonts w:ascii="Arial" w:eastAsia="宋体" w:hAnsi="Arial" w:cs="Arial"/>
                <w:color w:val="000000"/>
                <w:sz w:val="17"/>
                <w:szCs w:val="17"/>
              </w:rPr>
              <w:t>11,795 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F31" w14:textId="77777777" w:rsidR="00066C63" w:rsidRDefault="00066C63">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6F32" w14:textId="77777777" w:rsidR="00066C63" w:rsidRDefault="00066C63">
            <w:pPr>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669C6F33"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669C6F34" w14:textId="77777777" w:rsidR="00066C63" w:rsidRDefault="009656F6">
            <w:pPr>
              <w:jc w:val="right"/>
              <w:textAlignment w:val="bottom"/>
            </w:pPr>
            <w:r>
              <w:rPr>
                <w:rFonts w:ascii="Arial" w:eastAsia="宋体" w:hAnsi="Arial" w:cs="Arial"/>
                <w:color w:val="000000"/>
                <w:sz w:val="17"/>
                <w:szCs w:val="17"/>
              </w:rPr>
              <w:t>12,254 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F35" w14:textId="77777777" w:rsidR="00066C63" w:rsidRDefault="00066C63">
            <w:pPr>
              <w:jc w:val="right"/>
              <w:rPr>
                <w:rFonts w:ascii="宋体"/>
              </w:rPr>
            </w:pPr>
          </w:p>
        </w:tc>
      </w:tr>
      <w:tr w:rsidR="00066C63" w14:paraId="669C6F43" w14:textId="77777777">
        <w:trPr>
          <w:jc w:val="center"/>
        </w:trPr>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6F37" w14:textId="77777777" w:rsidR="00066C63" w:rsidRDefault="009656F6">
            <w:pPr>
              <w:textAlignment w:val="bottom"/>
            </w:pPr>
            <w:r>
              <w:rPr>
                <w:rFonts w:ascii="Arial" w:eastAsia="宋体" w:hAnsi="Arial" w:cs="Arial"/>
                <w:color w:val="000000"/>
                <w:sz w:val="17"/>
                <w:szCs w:val="17"/>
              </w:rPr>
              <w:t>Europe, Middle East &amp; Africa</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F38" w14:textId="77777777" w:rsidR="00066C63" w:rsidRDefault="009656F6">
            <w:pPr>
              <w:jc w:val="right"/>
              <w:textAlignment w:val="bottom"/>
            </w:pPr>
            <w:r>
              <w:rPr>
                <w:rFonts w:ascii="Arial" w:eastAsia="宋体" w:hAnsi="Arial" w:cs="Arial"/>
                <w:color w:val="000000"/>
                <w:sz w:val="17"/>
                <w:szCs w:val="17"/>
              </w:rPr>
              <w:t>2,609 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F39" w14:textId="77777777" w:rsidR="00066C63" w:rsidRDefault="00066C63">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6F3A" w14:textId="77777777" w:rsidR="00066C63" w:rsidRDefault="00066C63">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F3B" w14:textId="77777777" w:rsidR="00066C63" w:rsidRDefault="009656F6">
            <w:pPr>
              <w:jc w:val="right"/>
              <w:textAlignment w:val="bottom"/>
            </w:pPr>
            <w:r>
              <w:rPr>
                <w:rFonts w:ascii="Arial" w:eastAsia="宋体" w:hAnsi="Arial" w:cs="Arial"/>
                <w:color w:val="000000"/>
                <w:sz w:val="17"/>
                <w:szCs w:val="17"/>
              </w:rPr>
              <w:t>2,709 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F3C" w14:textId="77777777" w:rsidR="00066C63" w:rsidRDefault="00066C63">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6F3D" w14:textId="77777777" w:rsidR="00066C63" w:rsidRDefault="00066C63">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F3E" w14:textId="77777777" w:rsidR="00066C63" w:rsidRDefault="009656F6">
            <w:pPr>
              <w:jc w:val="right"/>
              <w:textAlignment w:val="bottom"/>
            </w:pPr>
            <w:r>
              <w:rPr>
                <w:rFonts w:ascii="Arial" w:eastAsia="宋体" w:hAnsi="Arial" w:cs="Arial"/>
                <w:color w:val="000000"/>
                <w:sz w:val="17"/>
                <w:szCs w:val="17"/>
              </w:rPr>
              <w:t>8,477 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F3F" w14:textId="77777777" w:rsidR="00066C63" w:rsidRDefault="00066C63">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6F40" w14:textId="77777777" w:rsidR="00066C63" w:rsidRDefault="00066C63">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F41" w14:textId="77777777" w:rsidR="00066C63" w:rsidRDefault="009656F6">
            <w:pPr>
              <w:jc w:val="right"/>
              <w:textAlignment w:val="bottom"/>
            </w:pPr>
            <w:r>
              <w:rPr>
                <w:rFonts w:ascii="Arial" w:eastAsia="宋体" w:hAnsi="Arial" w:cs="Arial"/>
                <w:color w:val="000000"/>
                <w:sz w:val="17"/>
                <w:szCs w:val="17"/>
              </w:rPr>
              <w:t>8,019 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F42" w14:textId="77777777" w:rsidR="00066C63" w:rsidRDefault="00066C63">
            <w:pPr>
              <w:jc w:val="right"/>
              <w:rPr>
                <w:rFonts w:ascii="宋体"/>
              </w:rPr>
            </w:pPr>
          </w:p>
        </w:tc>
      </w:tr>
      <w:tr w:rsidR="00066C63" w14:paraId="669C6F50" w14:textId="77777777">
        <w:trPr>
          <w:jc w:val="center"/>
        </w:trPr>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6F44" w14:textId="77777777" w:rsidR="00066C63" w:rsidRDefault="009656F6">
            <w:pPr>
              <w:textAlignment w:val="bottom"/>
            </w:pPr>
            <w:r>
              <w:rPr>
                <w:rFonts w:ascii="Arial" w:eastAsia="宋体" w:hAnsi="Arial" w:cs="Arial"/>
                <w:color w:val="000000"/>
                <w:sz w:val="17"/>
                <w:szCs w:val="17"/>
              </w:rPr>
              <w:t>Greater China</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F45" w14:textId="77777777" w:rsidR="00066C63" w:rsidRDefault="009656F6">
            <w:pPr>
              <w:jc w:val="right"/>
              <w:textAlignment w:val="bottom"/>
            </w:pPr>
            <w:r>
              <w:rPr>
                <w:rFonts w:ascii="Arial" w:eastAsia="宋体" w:hAnsi="Arial" w:cs="Arial"/>
                <w:color w:val="000000"/>
                <w:sz w:val="17"/>
                <w:szCs w:val="17"/>
              </w:rPr>
              <w:t>2,279 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F46" w14:textId="77777777" w:rsidR="00066C63" w:rsidRDefault="00066C63">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6F47" w14:textId="77777777" w:rsidR="00066C63" w:rsidRDefault="00066C63">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F48" w14:textId="77777777" w:rsidR="00066C63" w:rsidRDefault="009656F6">
            <w:pPr>
              <w:jc w:val="right"/>
              <w:textAlignment w:val="bottom"/>
            </w:pPr>
            <w:r>
              <w:rPr>
                <w:rFonts w:ascii="Arial" w:eastAsia="宋体" w:hAnsi="Arial" w:cs="Arial"/>
                <w:color w:val="000000"/>
                <w:sz w:val="17"/>
                <w:szCs w:val="17"/>
              </w:rPr>
              <w:t>1,506 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F49" w14:textId="77777777" w:rsidR="00066C63" w:rsidRDefault="00066C63">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6F4A" w14:textId="77777777" w:rsidR="00066C63" w:rsidRDefault="00066C63">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F4B" w14:textId="77777777" w:rsidR="00066C63" w:rsidRDefault="009656F6">
            <w:pPr>
              <w:jc w:val="right"/>
              <w:textAlignment w:val="bottom"/>
            </w:pPr>
            <w:r>
              <w:rPr>
                <w:rFonts w:ascii="Arial" w:eastAsia="宋体" w:hAnsi="Arial" w:cs="Arial"/>
                <w:color w:val="000000"/>
                <w:sz w:val="17"/>
                <w:szCs w:val="17"/>
              </w:rPr>
              <w:t>6,357 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F4C" w14:textId="77777777" w:rsidR="00066C63" w:rsidRDefault="00066C63">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6F4D" w14:textId="77777777" w:rsidR="00066C63" w:rsidRDefault="00066C63">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F4E" w14:textId="77777777" w:rsidR="00066C63" w:rsidRDefault="009656F6">
            <w:pPr>
              <w:jc w:val="right"/>
              <w:textAlignment w:val="bottom"/>
            </w:pPr>
            <w:r>
              <w:rPr>
                <w:rFonts w:ascii="Arial" w:eastAsia="宋体" w:hAnsi="Arial" w:cs="Arial"/>
                <w:color w:val="000000"/>
                <w:sz w:val="17"/>
                <w:szCs w:val="17"/>
              </w:rPr>
              <w:t>5,032 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F4F" w14:textId="77777777" w:rsidR="00066C63" w:rsidRDefault="00066C63">
            <w:pPr>
              <w:jc w:val="right"/>
              <w:rPr>
                <w:rFonts w:ascii="宋体"/>
              </w:rPr>
            </w:pPr>
          </w:p>
        </w:tc>
      </w:tr>
      <w:tr w:rsidR="00066C63" w14:paraId="669C6F5D" w14:textId="77777777">
        <w:trPr>
          <w:jc w:val="center"/>
        </w:trPr>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6F51" w14:textId="77777777" w:rsidR="00066C63" w:rsidRDefault="009656F6">
            <w:pPr>
              <w:textAlignment w:val="bottom"/>
            </w:pPr>
            <w:r>
              <w:rPr>
                <w:rFonts w:ascii="Arial" w:eastAsia="宋体" w:hAnsi="Arial" w:cs="Arial"/>
                <w:color w:val="000000"/>
                <w:sz w:val="17"/>
                <w:szCs w:val="17"/>
              </w:rPr>
              <w:t>Asia Pacific &amp; Latin America</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F52" w14:textId="77777777" w:rsidR="00066C63" w:rsidRDefault="009656F6">
            <w:pPr>
              <w:jc w:val="right"/>
              <w:textAlignment w:val="bottom"/>
            </w:pPr>
            <w:r>
              <w:rPr>
                <w:rFonts w:ascii="Arial" w:eastAsia="宋体" w:hAnsi="Arial" w:cs="Arial"/>
                <w:color w:val="000000"/>
                <w:sz w:val="17"/>
                <w:szCs w:val="17"/>
              </w:rPr>
              <w:t>1,315 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F53" w14:textId="77777777" w:rsidR="00066C63" w:rsidRDefault="00066C63">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6F54" w14:textId="77777777" w:rsidR="00066C63" w:rsidRDefault="00066C63">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F55" w14:textId="77777777" w:rsidR="00066C63" w:rsidRDefault="009656F6">
            <w:pPr>
              <w:jc w:val="right"/>
              <w:textAlignment w:val="bottom"/>
            </w:pPr>
            <w:r>
              <w:rPr>
                <w:rFonts w:ascii="Arial" w:eastAsia="宋体" w:hAnsi="Arial" w:cs="Arial"/>
                <w:color w:val="000000"/>
                <w:sz w:val="17"/>
                <w:szCs w:val="17"/>
              </w:rPr>
              <w:t>1,414 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F56" w14:textId="77777777" w:rsidR="00066C63" w:rsidRDefault="00066C63">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6F57" w14:textId="77777777" w:rsidR="00066C63" w:rsidRDefault="00066C63">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F58" w14:textId="77777777" w:rsidR="00066C63" w:rsidRDefault="009656F6">
            <w:pPr>
              <w:jc w:val="right"/>
              <w:textAlignment w:val="bottom"/>
            </w:pPr>
            <w:r>
              <w:rPr>
                <w:rFonts w:ascii="Arial" w:eastAsia="宋体" w:hAnsi="Arial" w:cs="Arial"/>
                <w:color w:val="000000"/>
                <w:sz w:val="17"/>
                <w:szCs w:val="17"/>
              </w:rPr>
              <w:t>3,885 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F59" w14:textId="77777777" w:rsidR="00066C63" w:rsidRDefault="00066C63">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6F5A" w14:textId="77777777" w:rsidR="00066C63" w:rsidRDefault="00066C63">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F5B" w14:textId="77777777" w:rsidR="00066C63" w:rsidRDefault="009656F6">
            <w:pPr>
              <w:jc w:val="right"/>
              <w:textAlignment w:val="bottom"/>
            </w:pPr>
            <w:r>
              <w:rPr>
                <w:rFonts w:ascii="Arial" w:eastAsia="宋体" w:hAnsi="Arial" w:cs="Arial"/>
                <w:color w:val="000000"/>
                <w:sz w:val="17"/>
                <w:szCs w:val="17"/>
              </w:rPr>
              <w:t>4,227 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F5C" w14:textId="77777777" w:rsidR="00066C63" w:rsidRDefault="00066C63">
            <w:pPr>
              <w:jc w:val="right"/>
              <w:rPr>
                <w:rFonts w:ascii="宋体"/>
              </w:rPr>
            </w:pPr>
          </w:p>
        </w:tc>
      </w:tr>
      <w:tr w:rsidR="00066C63" w14:paraId="669C6F6A" w14:textId="77777777">
        <w:trPr>
          <w:jc w:val="center"/>
        </w:trPr>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6F5E" w14:textId="77777777" w:rsidR="00066C63" w:rsidRDefault="009656F6">
            <w:pPr>
              <w:textAlignment w:val="bottom"/>
            </w:pPr>
            <w:r>
              <w:rPr>
                <w:rFonts w:ascii="Arial" w:eastAsia="宋体" w:hAnsi="Arial" w:cs="Arial"/>
                <w:color w:val="000000"/>
                <w:sz w:val="17"/>
                <w:szCs w:val="17"/>
              </w:rPr>
              <w:t>Global Brand Divisions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F5F" w14:textId="77777777" w:rsidR="00066C63" w:rsidRDefault="009656F6">
            <w:pPr>
              <w:jc w:val="right"/>
              <w:textAlignment w:val="bottom"/>
            </w:pPr>
            <w:r>
              <w:rPr>
                <w:rFonts w:ascii="Arial" w:eastAsia="宋体" w:hAnsi="Arial" w:cs="Arial"/>
                <w:color w:val="000000"/>
                <w:sz w:val="17"/>
                <w:szCs w:val="17"/>
              </w:rPr>
              <w:t>6 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F60" w14:textId="77777777" w:rsidR="00066C63" w:rsidRDefault="00066C63">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6F61" w14:textId="77777777" w:rsidR="00066C63" w:rsidRDefault="00066C63">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F62" w14:textId="77777777" w:rsidR="00066C63" w:rsidRDefault="009656F6">
            <w:pPr>
              <w:jc w:val="right"/>
              <w:textAlignment w:val="bottom"/>
            </w:pPr>
            <w:r>
              <w:rPr>
                <w:rFonts w:ascii="Arial" w:eastAsia="宋体" w:hAnsi="Arial" w:cs="Arial"/>
                <w:color w:val="000000"/>
                <w:sz w:val="17"/>
                <w:szCs w:val="17"/>
              </w:rPr>
              <w:t>8 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F63" w14:textId="77777777" w:rsidR="00066C63" w:rsidRDefault="00066C63">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6F64" w14:textId="77777777" w:rsidR="00066C63" w:rsidRDefault="00066C63">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F65" w14:textId="77777777" w:rsidR="00066C63" w:rsidRDefault="009656F6">
            <w:pPr>
              <w:jc w:val="right"/>
              <w:textAlignment w:val="bottom"/>
            </w:pPr>
            <w:r>
              <w:rPr>
                <w:rFonts w:ascii="Arial" w:eastAsia="宋体" w:hAnsi="Arial" w:cs="Arial"/>
                <w:color w:val="000000"/>
                <w:sz w:val="17"/>
                <w:szCs w:val="17"/>
              </w:rPr>
              <w:t>18 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F66" w14:textId="77777777" w:rsidR="00066C63" w:rsidRDefault="00066C63">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6F67" w14:textId="77777777" w:rsidR="00066C63" w:rsidRDefault="00066C63">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F68" w14:textId="77777777" w:rsidR="00066C63" w:rsidRDefault="009656F6">
            <w:pPr>
              <w:jc w:val="right"/>
              <w:textAlignment w:val="bottom"/>
            </w:pPr>
            <w:r>
              <w:rPr>
                <w:rFonts w:ascii="Arial" w:eastAsia="宋体" w:hAnsi="Arial" w:cs="Arial"/>
                <w:color w:val="000000"/>
                <w:sz w:val="17"/>
                <w:szCs w:val="17"/>
              </w:rPr>
              <w:t>24 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F69" w14:textId="77777777" w:rsidR="00066C63" w:rsidRDefault="00066C63">
            <w:pPr>
              <w:jc w:val="right"/>
              <w:rPr>
                <w:rFonts w:ascii="宋体"/>
              </w:rPr>
            </w:pPr>
          </w:p>
        </w:tc>
      </w:tr>
      <w:tr w:rsidR="00066C63" w14:paraId="669C6F77"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F6B" w14:textId="77777777" w:rsidR="00066C63" w:rsidRDefault="009656F6">
            <w:pPr>
              <w:textAlignment w:val="bottom"/>
            </w:pPr>
            <w:r>
              <w:rPr>
                <w:rFonts w:ascii="Arial" w:eastAsia="宋体" w:hAnsi="Arial" w:cs="Arial"/>
                <w:color w:val="000000"/>
                <w:sz w:val="17"/>
                <w:szCs w:val="17"/>
              </w:rPr>
              <w:t>Total NIKE Brand</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669C6F6C" w14:textId="77777777" w:rsidR="00066C63" w:rsidRDefault="009656F6">
            <w:pPr>
              <w:jc w:val="right"/>
              <w:textAlignment w:val="bottom"/>
            </w:pPr>
            <w:r>
              <w:rPr>
                <w:rFonts w:ascii="Arial" w:eastAsia="宋体" w:hAnsi="Arial" w:cs="Arial"/>
                <w:color w:val="000000"/>
                <w:sz w:val="17"/>
                <w:szCs w:val="17"/>
              </w:rPr>
              <w:t>9,773 </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6F6D" w14:textId="77777777" w:rsidR="00066C63" w:rsidRDefault="00066C63">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6F6E" w14:textId="77777777" w:rsidR="00066C63" w:rsidRDefault="00066C63">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6F6F" w14:textId="77777777" w:rsidR="00066C63" w:rsidRDefault="009656F6">
            <w:pPr>
              <w:jc w:val="right"/>
              <w:textAlignment w:val="bottom"/>
            </w:pPr>
            <w:r>
              <w:rPr>
                <w:rFonts w:ascii="Arial" w:eastAsia="宋体" w:hAnsi="Arial" w:cs="Arial"/>
                <w:color w:val="000000"/>
                <w:sz w:val="17"/>
                <w:szCs w:val="17"/>
              </w:rPr>
              <w:t>9,616 </w:t>
            </w:r>
          </w:p>
        </w:tc>
        <w:tc>
          <w:tcPr>
            <w:tcW w:w="0" w:type="auto"/>
            <w:tcBorders>
              <w:top w:val="single" w:sz="8" w:space="0" w:color="E87722"/>
            </w:tcBorders>
            <w:shd w:val="clear" w:color="auto" w:fill="auto"/>
            <w:tcMar>
              <w:top w:w="40" w:type="dxa"/>
              <w:left w:w="0" w:type="dxa"/>
              <w:bottom w:w="40" w:type="dxa"/>
              <w:right w:w="20" w:type="dxa"/>
            </w:tcMar>
            <w:vAlign w:val="bottom"/>
          </w:tcPr>
          <w:p w14:paraId="669C6F70" w14:textId="77777777" w:rsidR="00066C63" w:rsidRDefault="00066C63">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6F71" w14:textId="77777777" w:rsidR="00066C63" w:rsidRDefault="00066C63">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669C6F72" w14:textId="77777777" w:rsidR="00066C63" w:rsidRDefault="009656F6">
            <w:pPr>
              <w:jc w:val="right"/>
              <w:textAlignment w:val="bottom"/>
            </w:pPr>
            <w:r>
              <w:rPr>
                <w:rFonts w:ascii="Arial" w:eastAsia="宋体" w:hAnsi="Arial" w:cs="Arial"/>
                <w:color w:val="000000"/>
                <w:sz w:val="17"/>
                <w:szCs w:val="17"/>
              </w:rPr>
              <w:t>30,532 </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6F73" w14:textId="77777777" w:rsidR="00066C63" w:rsidRDefault="00066C63">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6F74" w14:textId="77777777" w:rsidR="00066C63" w:rsidRDefault="00066C63">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6F75" w14:textId="77777777" w:rsidR="00066C63" w:rsidRDefault="009656F6">
            <w:pPr>
              <w:jc w:val="right"/>
              <w:textAlignment w:val="bottom"/>
            </w:pPr>
            <w:r>
              <w:rPr>
                <w:rFonts w:ascii="Arial" w:eastAsia="宋体" w:hAnsi="Arial" w:cs="Arial"/>
                <w:color w:val="000000"/>
                <w:sz w:val="17"/>
                <w:szCs w:val="17"/>
              </w:rPr>
              <w:t>29,556 </w:t>
            </w:r>
          </w:p>
        </w:tc>
        <w:tc>
          <w:tcPr>
            <w:tcW w:w="0" w:type="auto"/>
            <w:tcBorders>
              <w:top w:val="single" w:sz="8" w:space="0" w:color="E87722"/>
            </w:tcBorders>
            <w:shd w:val="clear" w:color="auto" w:fill="auto"/>
            <w:tcMar>
              <w:top w:w="40" w:type="dxa"/>
              <w:left w:w="0" w:type="dxa"/>
              <w:bottom w:w="40" w:type="dxa"/>
              <w:right w:w="20" w:type="dxa"/>
            </w:tcMar>
            <w:vAlign w:val="bottom"/>
          </w:tcPr>
          <w:p w14:paraId="669C6F76" w14:textId="77777777" w:rsidR="00066C63" w:rsidRDefault="00066C63">
            <w:pPr>
              <w:jc w:val="right"/>
              <w:rPr>
                <w:rFonts w:ascii="宋体"/>
              </w:rPr>
            </w:pPr>
          </w:p>
        </w:tc>
      </w:tr>
      <w:tr w:rsidR="00066C63" w14:paraId="669C6F84" w14:textId="77777777">
        <w:trPr>
          <w:jc w:val="center"/>
        </w:trPr>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6F78" w14:textId="77777777" w:rsidR="00066C63" w:rsidRDefault="009656F6">
            <w:pPr>
              <w:textAlignment w:val="bottom"/>
            </w:pPr>
            <w:r>
              <w:rPr>
                <w:rFonts w:ascii="Arial" w:eastAsia="宋体" w:hAnsi="Arial" w:cs="Arial"/>
                <w:color w:val="000000"/>
                <w:sz w:val="17"/>
                <w:szCs w:val="17"/>
              </w:rPr>
              <w:t>Converse</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F79" w14:textId="77777777" w:rsidR="00066C63" w:rsidRDefault="009656F6">
            <w:pPr>
              <w:jc w:val="right"/>
              <w:textAlignment w:val="bottom"/>
            </w:pPr>
            <w:r>
              <w:rPr>
                <w:rFonts w:ascii="Arial" w:eastAsia="宋体" w:hAnsi="Arial" w:cs="Arial"/>
                <w:color w:val="000000"/>
                <w:sz w:val="17"/>
                <w:szCs w:val="17"/>
              </w:rPr>
              <w:t>570 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F7A" w14:textId="77777777" w:rsidR="00066C63" w:rsidRDefault="00066C63">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6F7B" w14:textId="77777777" w:rsidR="00066C63" w:rsidRDefault="00066C63">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F7C" w14:textId="77777777" w:rsidR="00066C63" w:rsidRDefault="009656F6">
            <w:pPr>
              <w:jc w:val="right"/>
              <w:textAlignment w:val="bottom"/>
            </w:pPr>
            <w:r>
              <w:rPr>
                <w:rFonts w:ascii="Arial" w:eastAsia="宋体" w:hAnsi="Arial" w:cs="Arial"/>
                <w:color w:val="000000"/>
                <w:sz w:val="17"/>
                <w:szCs w:val="17"/>
              </w:rPr>
              <w:t>506 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F7D" w14:textId="77777777" w:rsidR="00066C63" w:rsidRDefault="00066C63">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6F7E" w14:textId="77777777" w:rsidR="00066C63" w:rsidRDefault="00066C63">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F7F" w14:textId="77777777" w:rsidR="00066C63" w:rsidRDefault="009656F6">
            <w:pPr>
              <w:jc w:val="right"/>
              <w:textAlignment w:val="bottom"/>
            </w:pPr>
            <w:r>
              <w:rPr>
                <w:rFonts w:ascii="Arial" w:eastAsia="宋体" w:hAnsi="Arial" w:cs="Arial"/>
                <w:color w:val="000000"/>
                <w:sz w:val="17"/>
                <w:szCs w:val="17"/>
              </w:rPr>
              <w:t>1,609 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F80" w14:textId="77777777" w:rsidR="00066C63" w:rsidRDefault="00066C63">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6F81" w14:textId="77777777" w:rsidR="00066C63" w:rsidRDefault="00066C63">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F82" w14:textId="77777777" w:rsidR="00066C63" w:rsidRDefault="009656F6">
            <w:pPr>
              <w:jc w:val="right"/>
              <w:textAlignment w:val="bottom"/>
            </w:pPr>
            <w:r>
              <w:rPr>
                <w:rFonts w:ascii="Arial" w:eastAsia="宋体" w:hAnsi="Arial" w:cs="Arial"/>
                <w:color w:val="000000"/>
                <w:sz w:val="17"/>
                <w:szCs w:val="17"/>
              </w:rPr>
              <w:t>1,541 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F83" w14:textId="77777777" w:rsidR="00066C63" w:rsidRDefault="00066C63">
            <w:pPr>
              <w:jc w:val="right"/>
              <w:rPr>
                <w:rFonts w:ascii="宋体"/>
              </w:rPr>
            </w:pPr>
          </w:p>
        </w:tc>
      </w:tr>
      <w:tr w:rsidR="00066C63" w14:paraId="669C6F91" w14:textId="77777777">
        <w:trPr>
          <w:jc w:val="center"/>
        </w:trPr>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6F85" w14:textId="77777777" w:rsidR="00066C63" w:rsidRDefault="009656F6">
            <w:pPr>
              <w:textAlignment w:val="bottom"/>
            </w:pPr>
            <w:r>
              <w:rPr>
                <w:rFonts w:ascii="Arial" w:eastAsia="宋体" w:hAnsi="Arial" w:cs="Arial"/>
                <w:color w:val="000000"/>
                <w:sz w:val="17"/>
                <w:szCs w:val="17"/>
              </w:rPr>
              <w:t>Corporate</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F86" w14:textId="77777777" w:rsidR="00066C63" w:rsidRDefault="009656F6">
            <w:pPr>
              <w:jc w:val="right"/>
              <w:textAlignment w:val="bottom"/>
            </w:pPr>
            <w:r>
              <w:rPr>
                <w:rFonts w:ascii="Arial" w:eastAsia="宋体" w:hAnsi="Arial" w:cs="Arial"/>
                <w:color w:val="000000"/>
                <w:sz w:val="17"/>
                <w:szCs w:val="17"/>
              </w:rPr>
              <w:t>14 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F87" w14:textId="77777777" w:rsidR="00066C63" w:rsidRDefault="00066C63">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6F88" w14:textId="77777777" w:rsidR="00066C63" w:rsidRDefault="00066C63">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F89" w14:textId="77777777" w:rsidR="00066C63" w:rsidRDefault="009656F6">
            <w:pPr>
              <w:jc w:val="right"/>
              <w:textAlignment w:val="bottom"/>
            </w:pPr>
            <w:r>
              <w:rPr>
                <w:rFonts w:ascii="Arial" w:eastAsia="宋体" w:hAnsi="Arial" w:cs="Arial"/>
                <w:color w:val="000000"/>
                <w:sz w:val="17"/>
                <w:szCs w:val="17"/>
              </w:rPr>
              <w:t>(18)</w:t>
            </w:r>
          </w:p>
        </w:tc>
        <w:tc>
          <w:tcPr>
            <w:tcW w:w="0" w:type="auto"/>
            <w:tcBorders>
              <w:top w:val="single" w:sz="8" w:space="0" w:color="808080"/>
            </w:tcBorders>
            <w:shd w:val="clear" w:color="auto" w:fill="auto"/>
            <w:tcMar>
              <w:top w:w="40" w:type="dxa"/>
              <w:left w:w="0" w:type="dxa"/>
              <w:bottom w:w="40" w:type="dxa"/>
              <w:right w:w="20" w:type="dxa"/>
            </w:tcMar>
            <w:vAlign w:val="bottom"/>
          </w:tcPr>
          <w:p w14:paraId="669C6F8A" w14:textId="77777777" w:rsidR="00066C63" w:rsidRDefault="00066C63">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6F8B" w14:textId="77777777" w:rsidR="00066C63" w:rsidRDefault="00066C63">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F8C" w14:textId="77777777" w:rsidR="00066C63" w:rsidRDefault="009656F6">
            <w:pPr>
              <w:jc w:val="right"/>
              <w:textAlignment w:val="bottom"/>
            </w:pPr>
            <w:r>
              <w:rPr>
                <w:rFonts w:ascii="Arial" w:eastAsia="宋体" w:hAnsi="Arial" w:cs="Arial"/>
                <w:color w:val="000000"/>
                <w:sz w:val="17"/>
                <w:szCs w:val="17"/>
              </w:rPr>
              <w:t>53 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F8D" w14:textId="77777777" w:rsidR="00066C63" w:rsidRDefault="00066C63">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6F8E" w14:textId="77777777" w:rsidR="00066C63" w:rsidRDefault="00066C63">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F8F" w14:textId="77777777" w:rsidR="00066C63" w:rsidRDefault="009656F6">
            <w:pPr>
              <w:jc w:val="right"/>
              <w:textAlignment w:val="bottom"/>
            </w:pPr>
            <w:r>
              <w:rPr>
                <w:rFonts w:ascii="Arial" w:eastAsia="宋体" w:hAnsi="Arial" w:cs="Arial"/>
                <w:color w:val="000000"/>
                <w:sz w:val="17"/>
                <w:szCs w:val="17"/>
              </w:rPr>
              <w:t>(7)</w:t>
            </w:r>
          </w:p>
        </w:tc>
        <w:tc>
          <w:tcPr>
            <w:tcW w:w="0" w:type="auto"/>
            <w:tcBorders>
              <w:top w:val="single" w:sz="8" w:space="0" w:color="808080"/>
            </w:tcBorders>
            <w:shd w:val="clear" w:color="auto" w:fill="auto"/>
            <w:tcMar>
              <w:top w:w="40" w:type="dxa"/>
              <w:left w:w="0" w:type="dxa"/>
              <w:bottom w:w="40" w:type="dxa"/>
              <w:right w:w="20" w:type="dxa"/>
            </w:tcMar>
            <w:vAlign w:val="bottom"/>
          </w:tcPr>
          <w:p w14:paraId="669C6F90" w14:textId="77777777" w:rsidR="00066C63" w:rsidRDefault="00066C63">
            <w:pPr>
              <w:jc w:val="right"/>
              <w:rPr>
                <w:rFonts w:ascii="宋体"/>
              </w:rPr>
            </w:pPr>
          </w:p>
        </w:tc>
      </w:tr>
      <w:tr w:rsidR="00066C63" w14:paraId="669C6FA2"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F92" w14:textId="77777777" w:rsidR="00066C63" w:rsidRDefault="009656F6">
            <w:pPr>
              <w:textAlignment w:val="bottom"/>
            </w:pPr>
            <w:r>
              <w:rPr>
                <w:rFonts w:ascii="Arial" w:eastAsia="宋体" w:hAnsi="Arial" w:cs="Arial"/>
                <w:b/>
                <w:bCs/>
                <w:color w:val="000000"/>
                <w:sz w:val="17"/>
                <w:szCs w:val="17"/>
              </w:rPr>
              <w:t>TOTAL NIKE, INC. 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669C6F93"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669C6F94" w14:textId="77777777" w:rsidR="00066C63" w:rsidRDefault="009656F6">
            <w:pPr>
              <w:jc w:val="right"/>
              <w:textAlignment w:val="bottom"/>
            </w:pPr>
            <w:r>
              <w:rPr>
                <w:rFonts w:ascii="Arial" w:eastAsia="宋体" w:hAnsi="Arial" w:cs="Arial"/>
                <w:b/>
                <w:bCs/>
                <w:color w:val="000000"/>
                <w:sz w:val="17"/>
                <w:szCs w:val="17"/>
              </w:rPr>
              <w:t>10,357</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6F95" w14:textId="77777777" w:rsidR="00066C63" w:rsidRDefault="00066C63">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6F96" w14:textId="77777777" w:rsidR="00066C63" w:rsidRDefault="00066C63">
            <w:pPr>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69C6F97"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69C6F98" w14:textId="77777777" w:rsidR="00066C63" w:rsidRDefault="009656F6">
            <w:pPr>
              <w:jc w:val="right"/>
              <w:textAlignment w:val="bottom"/>
            </w:pPr>
            <w:r>
              <w:rPr>
                <w:rFonts w:ascii="Arial" w:eastAsia="宋体" w:hAnsi="Arial" w:cs="Arial"/>
                <w:b/>
                <w:bCs/>
                <w:color w:val="000000"/>
                <w:sz w:val="17"/>
                <w:szCs w:val="17"/>
              </w:rPr>
              <w:t>10,104</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6F99" w14:textId="77777777" w:rsidR="00066C63" w:rsidRDefault="00066C63">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6F9A" w14:textId="77777777" w:rsidR="00066C63" w:rsidRDefault="00066C63">
            <w:pPr>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669C6F9B"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669C6F9C" w14:textId="77777777" w:rsidR="00066C63" w:rsidRDefault="009656F6">
            <w:pPr>
              <w:jc w:val="right"/>
              <w:textAlignment w:val="bottom"/>
            </w:pPr>
            <w:r>
              <w:rPr>
                <w:rFonts w:ascii="Arial" w:eastAsia="宋体" w:hAnsi="Arial" w:cs="Arial"/>
                <w:b/>
                <w:bCs/>
                <w:color w:val="000000"/>
                <w:sz w:val="17"/>
                <w:szCs w:val="17"/>
              </w:rPr>
              <w:t>32,194</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6F9D" w14:textId="77777777" w:rsidR="00066C63" w:rsidRDefault="00066C63">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6F9E" w14:textId="77777777" w:rsidR="00066C63" w:rsidRDefault="00066C63">
            <w:pPr>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69C6F9F"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69C6FA0" w14:textId="77777777" w:rsidR="00066C63" w:rsidRDefault="009656F6">
            <w:pPr>
              <w:jc w:val="right"/>
              <w:textAlignment w:val="bottom"/>
            </w:pPr>
            <w:r>
              <w:rPr>
                <w:rFonts w:ascii="Arial" w:eastAsia="宋体" w:hAnsi="Arial" w:cs="Arial"/>
                <w:b/>
                <w:bCs/>
                <w:color w:val="000000"/>
                <w:sz w:val="17"/>
                <w:szCs w:val="17"/>
              </w:rPr>
              <w:t>31,090</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6FA1" w14:textId="77777777" w:rsidR="00066C63" w:rsidRDefault="00066C63">
            <w:pPr>
              <w:jc w:val="right"/>
              <w:rPr>
                <w:rFonts w:ascii="宋体"/>
              </w:rPr>
            </w:pPr>
          </w:p>
        </w:tc>
      </w:tr>
      <w:tr w:rsidR="00066C63" w14:paraId="669C6FAB"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6FA3" w14:textId="77777777" w:rsidR="00066C63" w:rsidRDefault="009656F6">
            <w:pPr>
              <w:textAlignment w:val="bottom"/>
            </w:pPr>
            <w:r>
              <w:rPr>
                <w:rFonts w:ascii="Arial" w:eastAsia="宋体" w:hAnsi="Arial" w:cs="Arial"/>
                <w:b/>
                <w:bCs/>
                <w:color w:val="000000"/>
                <w:sz w:val="17"/>
                <w:szCs w:val="17"/>
              </w:rPr>
              <w:t>EARNINGS BEFORE INTEREST AND TAXES</w:t>
            </w:r>
          </w:p>
        </w:tc>
        <w:tc>
          <w:tcPr>
            <w:tcW w:w="0" w:type="auto"/>
            <w:gridSpan w:val="3"/>
            <w:tcBorders>
              <w:top w:val="single" w:sz="8" w:space="0" w:color="E87722"/>
            </w:tcBorders>
            <w:shd w:val="clear" w:color="auto" w:fill="FFF1E7"/>
            <w:tcMar>
              <w:top w:w="0" w:type="dxa"/>
              <w:left w:w="20" w:type="dxa"/>
              <w:bottom w:w="0" w:type="dxa"/>
              <w:right w:w="20" w:type="dxa"/>
            </w:tcMar>
          </w:tcPr>
          <w:p w14:paraId="669C6FA4"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6FA5"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6FA6"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6FA7" w14:textId="77777777" w:rsidR="00066C63" w:rsidRDefault="00066C63">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669C6FA8"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6FA9"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6FAA" w14:textId="77777777" w:rsidR="00066C63" w:rsidRDefault="00066C63">
            <w:pPr>
              <w:rPr>
                <w:rFonts w:ascii="宋体"/>
              </w:rPr>
            </w:pPr>
          </w:p>
        </w:tc>
      </w:tr>
      <w:tr w:rsidR="00066C63" w14:paraId="669C6FBC" w14:textId="77777777">
        <w:trPr>
          <w:jc w:val="center"/>
        </w:trPr>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6FAC" w14:textId="77777777" w:rsidR="00066C63" w:rsidRDefault="009656F6">
            <w:pPr>
              <w:textAlignment w:val="bottom"/>
            </w:pPr>
            <w:r>
              <w:rPr>
                <w:rFonts w:ascii="Arial" w:eastAsia="宋体" w:hAnsi="Arial" w:cs="Arial"/>
                <w:color w:val="000000"/>
                <w:sz w:val="17"/>
                <w:szCs w:val="17"/>
              </w:rPr>
              <w:t>North America</w:t>
            </w:r>
          </w:p>
        </w:tc>
        <w:tc>
          <w:tcPr>
            <w:tcW w:w="0" w:type="auto"/>
            <w:tcBorders>
              <w:top w:val="single" w:sz="8" w:space="0" w:color="808080"/>
            </w:tcBorders>
            <w:shd w:val="clear" w:color="auto" w:fill="FFF1E7"/>
            <w:tcMar>
              <w:top w:w="40" w:type="dxa"/>
              <w:left w:w="20" w:type="dxa"/>
              <w:bottom w:w="40" w:type="dxa"/>
              <w:right w:w="0" w:type="dxa"/>
            </w:tcMar>
            <w:vAlign w:val="bottom"/>
          </w:tcPr>
          <w:p w14:paraId="669C6FAD"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669C6FAE" w14:textId="77777777" w:rsidR="00066C63" w:rsidRDefault="009656F6">
            <w:pPr>
              <w:jc w:val="right"/>
              <w:textAlignment w:val="bottom"/>
            </w:pPr>
            <w:r>
              <w:rPr>
                <w:rFonts w:ascii="Arial" w:eastAsia="宋体" w:hAnsi="Arial" w:cs="Arial"/>
                <w:color w:val="000000"/>
                <w:sz w:val="17"/>
                <w:szCs w:val="17"/>
              </w:rPr>
              <w:t>970 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FAF" w14:textId="77777777" w:rsidR="00066C63" w:rsidRDefault="00066C63">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6FB0" w14:textId="77777777" w:rsidR="00066C63" w:rsidRDefault="00066C63">
            <w:pPr>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669C6FB1"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669C6FB2" w14:textId="77777777" w:rsidR="00066C63" w:rsidRDefault="009656F6">
            <w:pPr>
              <w:jc w:val="right"/>
              <w:textAlignment w:val="bottom"/>
            </w:pPr>
            <w:r>
              <w:rPr>
                <w:rFonts w:ascii="Arial" w:eastAsia="宋体" w:hAnsi="Arial" w:cs="Arial"/>
                <w:color w:val="000000"/>
                <w:sz w:val="17"/>
                <w:szCs w:val="17"/>
              </w:rPr>
              <w:t>937 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FB3" w14:textId="77777777" w:rsidR="00066C63" w:rsidRDefault="00066C63">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6FB4" w14:textId="77777777" w:rsidR="00066C63" w:rsidRDefault="00066C63">
            <w:pPr>
              <w:rPr>
                <w:rFonts w:ascii="宋体"/>
              </w:rPr>
            </w:pPr>
          </w:p>
        </w:tc>
        <w:tc>
          <w:tcPr>
            <w:tcW w:w="0" w:type="auto"/>
            <w:tcBorders>
              <w:top w:val="single" w:sz="8" w:space="0" w:color="808080"/>
            </w:tcBorders>
            <w:shd w:val="clear" w:color="auto" w:fill="FFF1E7"/>
            <w:tcMar>
              <w:top w:w="40" w:type="dxa"/>
              <w:left w:w="20" w:type="dxa"/>
              <w:bottom w:w="40" w:type="dxa"/>
              <w:right w:w="0" w:type="dxa"/>
            </w:tcMar>
            <w:vAlign w:val="bottom"/>
          </w:tcPr>
          <w:p w14:paraId="669C6FB5"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669C6FB6" w14:textId="77777777" w:rsidR="00066C63" w:rsidRDefault="009656F6">
            <w:pPr>
              <w:jc w:val="right"/>
              <w:textAlignment w:val="bottom"/>
            </w:pPr>
            <w:r>
              <w:rPr>
                <w:rFonts w:ascii="Arial" w:eastAsia="宋体" w:hAnsi="Arial" w:cs="Arial"/>
                <w:color w:val="000000"/>
                <w:sz w:val="17"/>
                <w:szCs w:val="17"/>
              </w:rPr>
              <w:t>3,295 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FB7" w14:textId="77777777" w:rsidR="00066C63" w:rsidRDefault="00066C63">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6FB8" w14:textId="77777777" w:rsidR="00066C63" w:rsidRDefault="00066C63">
            <w:pPr>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669C6FB9"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669C6FBA" w14:textId="77777777" w:rsidR="00066C63" w:rsidRDefault="009656F6">
            <w:pPr>
              <w:jc w:val="right"/>
              <w:textAlignment w:val="bottom"/>
            </w:pPr>
            <w:r>
              <w:rPr>
                <w:rFonts w:ascii="Arial" w:eastAsia="宋体" w:hAnsi="Arial" w:cs="Arial"/>
                <w:color w:val="000000"/>
                <w:sz w:val="17"/>
                <w:szCs w:val="17"/>
              </w:rPr>
              <w:t>2,912 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FBB" w14:textId="77777777" w:rsidR="00066C63" w:rsidRDefault="00066C63">
            <w:pPr>
              <w:jc w:val="right"/>
              <w:rPr>
                <w:rFonts w:ascii="宋体"/>
              </w:rPr>
            </w:pPr>
          </w:p>
        </w:tc>
      </w:tr>
      <w:tr w:rsidR="00066C63" w14:paraId="669C6FC9" w14:textId="77777777">
        <w:trPr>
          <w:jc w:val="center"/>
        </w:trPr>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6FBD" w14:textId="77777777" w:rsidR="00066C63" w:rsidRDefault="009656F6">
            <w:pPr>
              <w:textAlignment w:val="bottom"/>
            </w:pPr>
            <w:r>
              <w:rPr>
                <w:rFonts w:ascii="Arial" w:eastAsia="宋体" w:hAnsi="Arial" w:cs="Arial"/>
                <w:color w:val="000000"/>
                <w:sz w:val="17"/>
                <w:szCs w:val="17"/>
              </w:rPr>
              <w:t>Europe, Middle East &amp; Africa</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FBE" w14:textId="77777777" w:rsidR="00066C63" w:rsidRDefault="009656F6">
            <w:pPr>
              <w:jc w:val="right"/>
              <w:textAlignment w:val="bottom"/>
            </w:pPr>
            <w:r>
              <w:rPr>
                <w:rFonts w:ascii="Arial" w:eastAsia="宋体" w:hAnsi="Arial" w:cs="Arial"/>
                <w:color w:val="000000"/>
                <w:sz w:val="17"/>
                <w:szCs w:val="17"/>
              </w:rPr>
              <w:t>533 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FBF" w14:textId="77777777" w:rsidR="00066C63" w:rsidRDefault="00066C63">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6FC0" w14:textId="77777777" w:rsidR="00066C63" w:rsidRDefault="00066C63">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FC1" w14:textId="77777777" w:rsidR="00066C63" w:rsidRDefault="009656F6">
            <w:pPr>
              <w:jc w:val="right"/>
              <w:textAlignment w:val="bottom"/>
            </w:pPr>
            <w:r>
              <w:rPr>
                <w:rFonts w:ascii="Arial" w:eastAsia="宋体" w:hAnsi="Arial" w:cs="Arial"/>
                <w:color w:val="000000"/>
                <w:sz w:val="17"/>
                <w:szCs w:val="17"/>
              </w:rPr>
              <w:t>575 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FC2" w14:textId="77777777" w:rsidR="00066C63" w:rsidRDefault="00066C63">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6FC3" w14:textId="77777777" w:rsidR="00066C63" w:rsidRDefault="00066C63">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FC4" w14:textId="77777777" w:rsidR="00066C63" w:rsidRDefault="009656F6">
            <w:pPr>
              <w:jc w:val="right"/>
              <w:textAlignment w:val="bottom"/>
            </w:pPr>
            <w:r>
              <w:rPr>
                <w:rFonts w:ascii="Arial" w:eastAsia="宋体" w:hAnsi="Arial" w:cs="Arial"/>
                <w:color w:val="000000"/>
                <w:sz w:val="17"/>
                <w:szCs w:val="17"/>
              </w:rPr>
              <w:t>1,885 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FC5" w14:textId="77777777" w:rsidR="00066C63" w:rsidRDefault="00066C63">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6FC6" w14:textId="77777777" w:rsidR="00066C63" w:rsidRDefault="00066C63">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FC7" w14:textId="77777777" w:rsidR="00066C63" w:rsidRDefault="009656F6">
            <w:pPr>
              <w:jc w:val="right"/>
              <w:textAlignment w:val="bottom"/>
            </w:pPr>
            <w:r>
              <w:rPr>
                <w:rFonts w:ascii="Arial" w:eastAsia="宋体" w:hAnsi="Arial" w:cs="Arial"/>
                <w:color w:val="000000"/>
                <w:sz w:val="17"/>
                <w:szCs w:val="17"/>
              </w:rPr>
              <w:t>1,694 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FC8" w14:textId="77777777" w:rsidR="00066C63" w:rsidRDefault="00066C63">
            <w:pPr>
              <w:jc w:val="right"/>
              <w:rPr>
                <w:rFonts w:ascii="宋体"/>
              </w:rPr>
            </w:pPr>
          </w:p>
        </w:tc>
      </w:tr>
      <w:tr w:rsidR="00066C63" w14:paraId="669C6FD6" w14:textId="77777777">
        <w:trPr>
          <w:jc w:val="center"/>
        </w:trPr>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6FCA" w14:textId="77777777" w:rsidR="00066C63" w:rsidRDefault="009656F6">
            <w:pPr>
              <w:textAlignment w:val="bottom"/>
            </w:pPr>
            <w:r>
              <w:rPr>
                <w:rFonts w:ascii="Arial" w:eastAsia="宋体" w:hAnsi="Arial" w:cs="Arial"/>
                <w:color w:val="000000"/>
                <w:sz w:val="17"/>
                <w:szCs w:val="17"/>
              </w:rPr>
              <w:t>Greater China</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FCB" w14:textId="77777777" w:rsidR="00066C63" w:rsidRDefault="009656F6">
            <w:pPr>
              <w:jc w:val="right"/>
              <w:textAlignment w:val="bottom"/>
            </w:pPr>
            <w:r>
              <w:rPr>
                <w:rFonts w:ascii="Arial" w:eastAsia="宋体" w:hAnsi="Arial" w:cs="Arial"/>
                <w:color w:val="000000"/>
                <w:sz w:val="17"/>
                <w:szCs w:val="17"/>
              </w:rPr>
              <w:t>973 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FCC" w14:textId="77777777" w:rsidR="00066C63" w:rsidRDefault="00066C63">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6FCD" w14:textId="77777777" w:rsidR="00066C63" w:rsidRDefault="00066C63">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FCE" w14:textId="77777777" w:rsidR="00066C63" w:rsidRDefault="009656F6">
            <w:pPr>
              <w:jc w:val="right"/>
              <w:textAlignment w:val="bottom"/>
            </w:pPr>
            <w:r>
              <w:rPr>
                <w:rFonts w:ascii="Arial" w:eastAsia="宋体" w:hAnsi="Arial" w:cs="Arial"/>
                <w:color w:val="000000"/>
                <w:sz w:val="17"/>
                <w:szCs w:val="17"/>
              </w:rPr>
              <w:t>556 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FCF" w14:textId="77777777" w:rsidR="00066C63" w:rsidRDefault="00066C63">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6FD0" w14:textId="77777777" w:rsidR="00066C63" w:rsidRDefault="00066C63">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FD1" w14:textId="77777777" w:rsidR="00066C63" w:rsidRDefault="009656F6">
            <w:pPr>
              <w:jc w:val="right"/>
              <w:textAlignment w:val="bottom"/>
            </w:pPr>
            <w:r>
              <w:rPr>
                <w:rFonts w:ascii="Arial" w:eastAsia="宋体" w:hAnsi="Arial" w:cs="Arial"/>
                <w:color w:val="000000"/>
                <w:sz w:val="17"/>
                <w:szCs w:val="17"/>
              </w:rPr>
              <w:t>2,552 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FD2" w14:textId="77777777" w:rsidR="00066C63" w:rsidRDefault="00066C63">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6FD3" w14:textId="77777777" w:rsidR="00066C63" w:rsidRDefault="00066C63">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FD4" w14:textId="77777777" w:rsidR="00066C63" w:rsidRDefault="009656F6">
            <w:pPr>
              <w:jc w:val="right"/>
              <w:textAlignment w:val="bottom"/>
            </w:pPr>
            <w:r>
              <w:rPr>
                <w:rFonts w:ascii="Arial" w:eastAsia="宋体" w:hAnsi="Arial" w:cs="Arial"/>
                <w:color w:val="000000"/>
                <w:sz w:val="17"/>
                <w:szCs w:val="17"/>
              </w:rPr>
              <w:t>1,919 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FD5" w14:textId="77777777" w:rsidR="00066C63" w:rsidRDefault="00066C63">
            <w:pPr>
              <w:jc w:val="right"/>
              <w:rPr>
                <w:rFonts w:ascii="宋体"/>
              </w:rPr>
            </w:pPr>
          </w:p>
        </w:tc>
      </w:tr>
      <w:tr w:rsidR="00066C63" w14:paraId="669C6FE3" w14:textId="77777777">
        <w:trPr>
          <w:jc w:val="center"/>
        </w:trPr>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6FD7" w14:textId="77777777" w:rsidR="00066C63" w:rsidRDefault="009656F6">
            <w:pPr>
              <w:textAlignment w:val="bottom"/>
            </w:pPr>
            <w:r>
              <w:rPr>
                <w:rFonts w:ascii="Arial" w:eastAsia="宋体" w:hAnsi="Arial" w:cs="Arial"/>
                <w:color w:val="000000"/>
                <w:sz w:val="17"/>
                <w:szCs w:val="17"/>
              </w:rPr>
              <w:t>Asia Pacific &amp; Latin America</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FD8" w14:textId="77777777" w:rsidR="00066C63" w:rsidRDefault="009656F6">
            <w:pPr>
              <w:jc w:val="right"/>
              <w:textAlignment w:val="bottom"/>
            </w:pPr>
            <w:r>
              <w:rPr>
                <w:rFonts w:ascii="Arial" w:eastAsia="宋体" w:hAnsi="Arial" w:cs="Arial"/>
                <w:color w:val="000000"/>
                <w:sz w:val="17"/>
                <w:szCs w:val="17"/>
              </w:rPr>
              <w:t>408 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FD9" w14:textId="77777777" w:rsidR="00066C63" w:rsidRDefault="00066C63">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6FDA" w14:textId="77777777" w:rsidR="00066C63" w:rsidRDefault="00066C63">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FDB" w14:textId="77777777" w:rsidR="00066C63" w:rsidRDefault="009656F6">
            <w:pPr>
              <w:jc w:val="right"/>
              <w:textAlignment w:val="bottom"/>
            </w:pPr>
            <w:r>
              <w:rPr>
                <w:rFonts w:ascii="Arial" w:eastAsia="宋体" w:hAnsi="Arial" w:cs="Arial"/>
                <w:color w:val="000000"/>
                <w:sz w:val="17"/>
                <w:szCs w:val="17"/>
              </w:rPr>
              <w:t>387 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FDC" w14:textId="77777777" w:rsidR="00066C63" w:rsidRDefault="00066C63">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6FDD" w14:textId="77777777" w:rsidR="00066C63" w:rsidRDefault="00066C63">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FDE" w14:textId="77777777" w:rsidR="00066C63" w:rsidRDefault="009656F6">
            <w:pPr>
              <w:jc w:val="right"/>
              <w:textAlignment w:val="bottom"/>
            </w:pPr>
            <w:r>
              <w:rPr>
                <w:rFonts w:ascii="Arial" w:eastAsia="宋体" w:hAnsi="Arial" w:cs="Arial"/>
                <w:color w:val="000000"/>
                <w:sz w:val="17"/>
                <w:szCs w:val="17"/>
              </w:rPr>
              <w:t>1,112 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FDF" w14:textId="77777777" w:rsidR="00066C63" w:rsidRDefault="00066C63">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6FE0" w14:textId="77777777" w:rsidR="00066C63" w:rsidRDefault="00066C63">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FE1" w14:textId="77777777" w:rsidR="00066C63" w:rsidRDefault="009656F6">
            <w:pPr>
              <w:jc w:val="right"/>
              <w:textAlignment w:val="bottom"/>
            </w:pPr>
            <w:r>
              <w:rPr>
                <w:rFonts w:ascii="Arial" w:eastAsia="宋体" w:hAnsi="Arial" w:cs="Arial"/>
                <w:color w:val="000000"/>
                <w:sz w:val="17"/>
                <w:szCs w:val="17"/>
              </w:rPr>
              <w:t>1,105 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FE2" w14:textId="77777777" w:rsidR="00066C63" w:rsidRDefault="00066C63">
            <w:pPr>
              <w:jc w:val="right"/>
              <w:rPr>
                <w:rFonts w:ascii="宋体"/>
              </w:rPr>
            </w:pPr>
          </w:p>
        </w:tc>
      </w:tr>
      <w:tr w:rsidR="00066C63" w14:paraId="669C6FF0" w14:textId="77777777">
        <w:trPr>
          <w:jc w:val="center"/>
        </w:trPr>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6FE4" w14:textId="77777777" w:rsidR="00066C63" w:rsidRDefault="009656F6">
            <w:pPr>
              <w:textAlignment w:val="bottom"/>
            </w:pPr>
            <w:r>
              <w:rPr>
                <w:rFonts w:ascii="Arial" w:eastAsia="宋体" w:hAnsi="Arial" w:cs="Arial"/>
                <w:color w:val="000000"/>
                <w:sz w:val="17"/>
                <w:szCs w:val="17"/>
              </w:rPr>
              <w:t>Global Brand Divisions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FE5" w14:textId="77777777" w:rsidR="00066C63" w:rsidRDefault="009656F6">
            <w:pPr>
              <w:jc w:val="right"/>
              <w:textAlignment w:val="bottom"/>
            </w:pPr>
            <w:r>
              <w:rPr>
                <w:rFonts w:ascii="Arial" w:eastAsia="宋体" w:hAnsi="Arial" w:cs="Arial"/>
                <w:color w:val="000000"/>
                <w:sz w:val="17"/>
                <w:szCs w:val="17"/>
              </w:rPr>
              <w:t>(852)</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FE6" w14:textId="77777777" w:rsidR="00066C63" w:rsidRDefault="00066C63">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6FE7" w14:textId="77777777" w:rsidR="00066C63" w:rsidRDefault="00066C63">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FE8" w14:textId="77777777" w:rsidR="00066C63" w:rsidRDefault="009656F6">
            <w:pPr>
              <w:jc w:val="right"/>
              <w:textAlignment w:val="bottom"/>
            </w:pPr>
            <w:r>
              <w:rPr>
                <w:rFonts w:ascii="Arial" w:eastAsia="宋体" w:hAnsi="Arial" w:cs="Arial"/>
                <w:color w:val="000000"/>
                <w:sz w:val="17"/>
                <w:szCs w:val="17"/>
              </w:rPr>
              <w:t>(895)</w:t>
            </w:r>
          </w:p>
        </w:tc>
        <w:tc>
          <w:tcPr>
            <w:tcW w:w="0" w:type="auto"/>
            <w:tcBorders>
              <w:top w:val="single" w:sz="8" w:space="0" w:color="808080"/>
            </w:tcBorders>
            <w:shd w:val="clear" w:color="auto" w:fill="auto"/>
            <w:tcMar>
              <w:top w:w="40" w:type="dxa"/>
              <w:left w:w="0" w:type="dxa"/>
              <w:bottom w:w="40" w:type="dxa"/>
              <w:right w:w="20" w:type="dxa"/>
            </w:tcMar>
            <w:vAlign w:val="bottom"/>
          </w:tcPr>
          <w:p w14:paraId="669C6FE9" w14:textId="77777777" w:rsidR="00066C63" w:rsidRDefault="00066C63">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6FEA" w14:textId="77777777" w:rsidR="00066C63" w:rsidRDefault="00066C63">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FEB" w14:textId="77777777" w:rsidR="00066C63" w:rsidRDefault="009656F6">
            <w:pPr>
              <w:jc w:val="right"/>
              <w:textAlignment w:val="bottom"/>
            </w:pPr>
            <w:r>
              <w:rPr>
                <w:rFonts w:ascii="Arial" w:eastAsia="宋体" w:hAnsi="Arial" w:cs="Arial"/>
                <w:color w:val="000000"/>
                <w:sz w:val="17"/>
                <w:szCs w:val="17"/>
              </w:rPr>
              <w:t>(2,546)</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FEC" w14:textId="77777777" w:rsidR="00066C63" w:rsidRDefault="00066C63">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6FED" w14:textId="77777777" w:rsidR="00066C63" w:rsidRDefault="00066C63">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FEE" w14:textId="77777777" w:rsidR="00066C63" w:rsidRDefault="009656F6">
            <w:pPr>
              <w:jc w:val="right"/>
              <w:textAlignment w:val="bottom"/>
            </w:pPr>
            <w:r>
              <w:rPr>
                <w:rFonts w:ascii="Arial" w:eastAsia="宋体" w:hAnsi="Arial" w:cs="Arial"/>
                <w:color w:val="000000"/>
                <w:sz w:val="17"/>
                <w:szCs w:val="17"/>
              </w:rPr>
              <w:t>(2,624)</w:t>
            </w:r>
          </w:p>
        </w:tc>
        <w:tc>
          <w:tcPr>
            <w:tcW w:w="0" w:type="auto"/>
            <w:tcBorders>
              <w:top w:val="single" w:sz="8" w:space="0" w:color="808080"/>
            </w:tcBorders>
            <w:shd w:val="clear" w:color="auto" w:fill="auto"/>
            <w:tcMar>
              <w:top w:w="40" w:type="dxa"/>
              <w:left w:w="0" w:type="dxa"/>
              <w:bottom w:w="40" w:type="dxa"/>
              <w:right w:w="20" w:type="dxa"/>
            </w:tcMar>
            <w:vAlign w:val="bottom"/>
          </w:tcPr>
          <w:p w14:paraId="669C6FEF" w14:textId="77777777" w:rsidR="00066C63" w:rsidRDefault="00066C63">
            <w:pPr>
              <w:jc w:val="right"/>
              <w:rPr>
                <w:rFonts w:ascii="宋体"/>
              </w:rPr>
            </w:pPr>
          </w:p>
        </w:tc>
      </w:tr>
      <w:tr w:rsidR="00066C63" w14:paraId="669C6FFD" w14:textId="77777777">
        <w:trPr>
          <w:jc w:val="center"/>
        </w:trPr>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6FF1" w14:textId="77777777" w:rsidR="00066C63" w:rsidRDefault="009656F6">
            <w:pPr>
              <w:textAlignment w:val="bottom"/>
            </w:pPr>
            <w:r>
              <w:rPr>
                <w:rFonts w:ascii="Arial" w:eastAsia="宋体" w:hAnsi="Arial" w:cs="Arial"/>
                <w:color w:val="000000"/>
                <w:sz w:val="17"/>
                <w:szCs w:val="17"/>
              </w:rPr>
              <w:t>Converse</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FF2" w14:textId="77777777" w:rsidR="00066C63" w:rsidRDefault="009656F6">
            <w:pPr>
              <w:jc w:val="right"/>
              <w:textAlignment w:val="bottom"/>
            </w:pPr>
            <w:r>
              <w:rPr>
                <w:rFonts w:ascii="Arial" w:eastAsia="宋体" w:hAnsi="Arial" w:cs="Arial"/>
                <w:color w:val="000000"/>
                <w:sz w:val="17"/>
                <w:szCs w:val="17"/>
              </w:rPr>
              <w:t>150 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FF3" w14:textId="77777777" w:rsidR="00066C63" w:rsidRDefault="00066C63">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6FF4" w14:textId="77777777" w:rsidR="00066C63" w:rsidRDefault="00066C63">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FF5" w14:textId="77777777" w:rsidR="00066C63" w:rsidRDefault="009656F6">
            <w:pPr>
              <w:jc w:val="right"/>
              <w:textAlignment w:val="bottom"/>
            </w:pPr>
            <w:r>
              <w:rPr>
                <w:rFonts w:ascii="Arial" w:eastAsia="宋体" w:hAnsi="Arial" w:cs="Arial"/>
                <w:color w:val="000000"/>
                <w:sz w:val="17"/>
                <w:szCs w:val="17"/>
              </w:rPr>
              <w:t>96 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FF6" w14:textId="77777777" w:rsidR="00066C63" w:rsidRDefault="00066C63">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6FF7" w14:textId="77777777" w:rsidR="00066C63" w:rsidRDefault="00066C63">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FF8" w14:textId="77777777" w:rsidR="00066C63" w:rsidRDefault="009656F6">
            <w:pPr>
              <w:jc w:val="right"/>
              <w:textAlignment w:val="bottom"/>
            </w:pPr>
            <w:r>
              <w:rPr>
                <w:rFonts w:ascii="Arial" w:eastAsia="宋体" w:hAnsi="Arial" w:cs="Arial"/>
                <w:color w:val="000000"/>
                <w:sz w:val="17"/>
                <w:szCs w:val="17"/>
              </w:rPr>
              <w:t>405 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6FF9" w14:textId="77777777" w:rsidR="00066C63" w:rsidRDefault="00066C63">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6FFA" w14:textId="77777777" w:rsidR="00066C63" w:rsidRDefault="00066C63">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6FFB" w14:textId="77777777" w:rsidR="00066C63" w:rsidRDefault="009656F6">
            <w:pPr>
              <w:jc w:val="right"/>
              <w:textAlignment w:val="bottom"/>
            </w:pPr>
            <w:r>
              <w:rPr>
                <w:rFonts w:ascii="Arial" w:eastAsia="宋体" w:hAnsi="Arial" w:cs="Arial"/>
                <w:color w:val="000000"/>
                <w:sz w:val="17"/>
                <w:szCs w:val="17"/>
              </w:rPr>
              <w:t>324 </w:t>
            </w:r>
          </w:p>
        </w:tc>
        <w:tc>
          <w:tcPr>
            <w:tcW w:w="0" w:type="auto"/>
            <w:tcBorders>
              <w:top w:val="single" w:sz="8" w:space="0" w:color="808080"/>
            </w:tcBorders>
            <w:shd w:val="clear" w:color="auto" w:fill="auto"/>
            <w:tcMar>
              <w:top w:w="40" w:type="dxa"/>
              <w:left w:w="0" w:type="dxa"/>
              <w:bottom w:w="40" w:type="dxa"/>
              <w:right w:w="20" w:type="dxa"/>
            </w:tcMar>
            <w:vAlign w:val="bottom"/>
          </w:tcPr>
          <w:p w14:paraId="669C6FFC" w14:textId="77777777" w:rsidR="00066C63" w:rsidRDefault="00066C63">
            <w:pPr>
              <w:jc w:val="right"/>
              <w:rPr>
                <w:rFonts w:ascii="宋体"/>
              </w:rPr>
            </w:pPr>
          </w:p>
        </w:tc>
      </w:tr>
      <w:tr w:rsidR="00066C63" w14:paraId="669C700A" w14:textId="77777777">
        <w:trPr>
          <w:jc w:val="center"/>
        </w:trPr>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6FFE" w14:textId="77777777" w:rsidR="00066C63" w:rsidRDefault="009656F6">
            <w:pPr>
              <w:textAlignment w:val="bottom"/>
            </w:pPr>
            <w:r>
              <w:rPr>
                <w:rFonts w:ascii="Arial" w:eastAsia="宋体" w:hAnsi="Arial" w:cs="Arial"/>
                <w:color w:val="000000"/>
                <w:sz w:val="17"/>
                <w:szCs w:val="17"/>
              </w:rPr>
              <w:t>Corporate</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6FFF" w14:textId="77777777" w:rsidR="00066C63" w:rsidRDefault="009656F6">
            <w:pPr>
              <w:jc w:val="right"/>
              <w:textAlignment w:val="bottom"/>
            </w:pPr>
            <w:r>
              <w:rPr>
                <w:rFonts w:ascii="Arial" w:eastAsia="宋体" w:hAnsi="Arial" w:cs="Arial"/>
                <w:color w:val="000000"/>
                <w:sz w:val="17"/>
                <w:szCs w:val="17"/>
              </w:rPr>
              <w:t>(482)</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7000" w14:textId="77777777" w:rsidR="00066C63" w:rsidRDefault="00066C63">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7001" w14:textId="77777777" w:rsidR="00066C63" w:rsidRDefault="00066C63">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002" w14:textId="77777777" w:rsidR="00066C63" w:rsidRDefault="009656F6">
            <w:pPr>
              <w:jc w:val="right"/>
              <w:textAlignment w:val="bottom"/>
            </w:pPr>
            <w:r>
              <w:rPr>
                <w:rFonts w:ascii="Arial" w:eastAsia="宋体" w:hAnsi="Arial" w:cs="Arial"/>
                <w:color w:val="000000"/>
                <w:sz w:val="17"/>
                <w:szCs w:val="17"/>
              </w:rPr>
              <w:t>(763)</w:t>
            </w:r>
          </w:p>
        </w:tc>
        <w:tc>
          <w:tcPr>
            <w:tcW w:w="0" w:type="auto"/>
            <w:tcBorders>
              <w:top w:val="single" w:sz="8" w:space="0" w:color="808080"/>
            </w:tcBorders>
            <w:shd w:val="clear" w:color="auto" w:fill="auto"/>
            <w:tcMar>
              <w:top w:w="40" w:type="dxa"/>
              <w:left w:w="0" w:type="dxa"/>
              <w:bottom w:w="40" w:type="dxa"/>
              <w:right w:w="20" w:type="dxa"/>
            </w:tcMar>
            <w:vAlign w:val="bottom"/>
          </w:tcPr>
          <w:p w14:paraId="669C7003" w14:textId="77777777" w:rsidR="00066C63" w:rsidRDefault="00066C63">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7004" w14:textId="77777777" w:rsidR="00066C63" w:rsidRDefault="00066C63">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7005" w14:textId="77777777" w:rsidR="00066C63" w:rsidRDefault="009656F6">
            <w:pPr>
              <w:jc w:val="right"/>
              <w:textAlignment w:val="bottom"/>
            </w:pPr>
            <w:r>
              <w:rPr>
                <w:rFonts w:ascii="Arial" w:eastAsia="宋体" w:hAnsi="Arial" w:cs="Arial"/>
                <w:color w:val="000000"/>
                <w:sz w:val="17"/>
                <w:szCs w:val="17"/>
              </w:rPr>
              <w:t>(1,697)</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7006" w14:textId="77777777" w:rsidR="00066C63" w:rsidRDefault="00066C63">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7007" w14:textId="77777777" w:rsidR="00066C63" w:rsidRDefault="00066C63">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008" w14:textId="77777777" w:rsidR="00066C63" w:rsidRDefault="009656F6">
            <w:pPr>
              <w:jc w:val="right"/>
              <w:textAlignment w:val="bottom"/>
            </w:pPr>
            <w:r>
              <w:rPr>
                <w:rFonts w:ascii="Arial" w:eastAsia="宋体" w:hAnsi="Arial" w:cs="Arial"/>
                <w:color w:val="000000"/>
                <w:sz w:val="17"/>
                <w:szCs w:val="17"/>
              </w:rPr>
              <w:t>(1,600)</w:t>
            </w:r>
          </w:p>
        </w:tc>
        <w:tc>
          <w:tcPr>
            <w:tcW w:w="0" w:type="auto"/>
            <w:tcBorders>
              <w:top w:val="single" w:sz="8" w:space="0" w:color="808080"/>
            </w:tcBorders>
            <w:shd w:val="clear" w:color="auto" w:fill="auto"/>
            <w:tcMar>
              <w:top w:w="40" w:type="dxa"/>
              <w:left w:w="0" w:type="dxa"/>
              <w:bottom w:w="40" w:type="dxa"/>
              <w:right w:w="20" w:type="dxa"/>
            </w:tcMar>
            <w:vAlign w:val="bottom"/>
          </w:tcPr>
          <w:p w14:paraId="669C7009" w14:textId="77777777" w:rsidR="00066C63" w:rsidRDefault="00066C63">
            <w:pPr>
              <w:jc w:val="right"/>
              <w:rPr>
                <w:rFonts w:ascii="宋体"/>
              </w:rPr>
            </w:pPr>
          </w:p>
        </w:tc>
      </w:tr>
      <w:tr w:rsidR="00066C63" w14:paraId="669C7017" w14:textId="77777777">
        <w:trPr>
          <w:jc w:val="center"/>
        </w:trPr>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700B" w14:textId="77777777" w:rsidR="00066C63" w:rsidRDefault="009656F6">
            <w:pPr>
              <w:textAlignment w:val="bottom"/>
            </w:pPr>
            <w:r>
              <w:rPr>
                <w:rFonts w:ascii="Arial" w:eastAsia="宋体" w:hAnsi="Arial" w:cs="Arial"/>
                <w:color w:val="000000"/>
                <w:sz w:val="17"/>
                <w:szCs w:val="17"/>
              </w:rPr>
              <w:t>Interest expense (income), net</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700C" w14:textId="77777777" w:rsidR="00066C63" w:rsidRDefault="009656F6">
            <w:pPr>
              <w:jc w:val="right"/>
              <w:textAlignment w:val="bottom"/>
            </w:pPr>
            <w:r>
              <w:rPr>
                <w:rFonts w:ascii="Arial" w:eastAsia="宋体" w:hAnsi="Arial" w:cs="Arial"/>
                <w:color w:val="000000"/>
                <w:sz w:val="17"/>
                <w:szCs w:val="17"/>
              </w:rPr>
              <w:t>64 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700D" w14:textId="77777777" w:rsidR="00066C63" w:rsidRDefault="00066C63">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700E" w14:textId="77777777" w:rsidR="00066C63" w:rsidRDefault="00066C63">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00F" w14:textId="77777777" w:rsidR="00066C63" w:rsidRDefault="009656F6">
            <w:pPr>
              <w:jc w:val="right"/>
              <w:textAlignment w:val="bottom"/>
            </w:pPr>
            <w:r>
              <w:rPr>
                <w:rFonts w:ascii="Arial" w:eastAsia="宋体" w:hAnsi="Arial" w:cs="Arial"/>
                <w:color w:val="000000"/>
                <w:sz w:val="17"/>
                <w:szCs w:val="17"/>
              </w:rPr>
              <w:t>12 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010" w14:textId="77777777" w:rsidR="00066C63" w:rsidRDefault="00066C63">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7011" w14:textId="77777777" w:rsidR="00066C63" w:rsidRDefault="00066C63">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7012" w14:textId="77777777" w:rsidR="00066C63" w:rsidRDefault="009656F6">
            <w:pPr>
              <w:jc w:val="right"/>
              <w:textAlignment w:val="bottom"/>
            </w:pPr>
            <w:r>
              <w:rPr>
                <w:rFonts w:ascii="Arial" w:eastAsia="宋体" w:hAnsi="Arial" w:cs="Arial"/>
                <w:color w:val="000000"/>
                <w:sz w:val="17"/>
                <w:szCs w:val="17"/>
              </w:rPr>
              <w:t>199 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7013" w14:textId="77777777" w:rsidR="00066C63" w:rsidRDefault="00066C63">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7014" w14:textId="77777777" w:rsidR="00066C63" w:rsidRDefault="00066C63">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015" w14:textId="77777777" w:rsidR="00066C63" w:rsidRDefault="009656F6">
            <w:pPr>
              <w:jc w:val="right"/>
              <w:textAlignment w:val="bottom"/>
            </w:pPr>
            <w:r>
              <w:rPr>
                <w:rFonts w:ascii="Arial" w:eastAsia="宋体" w:hAnsi="Arial" w:cs="Arial"/>
                <w:color w:val="000000"/>
                <w:sz w:val="17"/>
                <w:szCs w:val="17"/>
              </w:rPr>
              <w:t>39 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016" w14:textId="77777777" w:rsidR="00066C63" w:rsidRDefault="00066C63">
            <w:pPr>
              <w:jc w:val="right"/>
              <w:rPr>
                <w:rFonts w:ascii="宋体"/>
              </w:rPr>
            </w:pPr>
          </w:p>
        </w:tc>
      </w:tr>
      <w:tr w:rsidR="00066C63" w14:paraId="669C7028" w14:textId="77777777">
        <w:trPr>
          <w:jc w:val="center"/>
        </w:trPr>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669C7018" w14:textId="77777777" w:rsidR="00066C63" w:rsidRDefault="009656F6">
            <w:pPr>
              <w:textAlignment w:val="bottom"/>
            </w:pPr>
            <w:r>
              <w:rPr>
                <w:rFonts w:ascii="Arial" w:eastAsia="宋体" w:hAnsi="Arial" w:cs="Arial"/>
                <w:b/>
                <w:bCs/>
                <w:color w:val="000000"/>
                <w:sz w:val="17"/>
                <w:szCs w:val="17"/>
              </w:rPr>
              <w:t>TOTAL NIKE, INC. INCOME BEFORE INCOME TAXES</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69C7019"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669C701A" w14:textId="77777777" w:rsidR="00066C63" w:rsidRDefault="009656F6">
            <w:pPr>
              <w:jc w:val="right"/>
              <w:textAlignment w:val="bottom"/>
            </w:pPr>
            <w:r>
              <w:rPr>
                <w:rFonts w:ascii="Arial" w:eastAsia="宋体" w:hAnsi="Arial" w:cs="Arial"/>
                <w:b/>
                <w:bCs/>
                <w:color w:val="000000"/>
                <w:sz w:val="17"/>
                <w:szCs w:val="17"/>
              </w:rPr>
              <w:t>1,636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69C701B" w14:textId="77777777" w:rsidR="00066C63" w:rsidRDefault="00066C63">
            <w:pPr>
              <w:jc w:val="right"/>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tcPr>
          <w:p w14:paraId="669C701C" w14:textId="77777777" w:rsidR="00066C63" w:rsidRDefault="00066C63">
            <w:pPr>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69C701D"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69C701E" w14:textId="77777777" w:rsidR="00066C63" w:rsidRDefault="009656F6">
            <w:pPr>
              <w:jc w:val="right"/>
              <w:textAlignment w:val="bottom"/>
            </w:pPr>
            <w:r>
              <w:rPr>
                <w:rFonts w:ascii="Arial" w:eastAsia="宋体" w:hAnsi="Arial" w:cs="Arial"/>
                <w:b/>
                <w:bCs/>
                <w:color w:val="000000"/>
                <w:sz w:val="17"/>
                <w:szCs w:val="17"/>
              </w:rPr>
              <w:t>881</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69C701F" w14:textId="77777777" w:rsidR="00066C63" w:rsidRDefault="00066C63">
            <w:pPr>
              <w:jc w:val="right"/>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tcPr>
          <w:p w14:paraId="669C7020" w14:textId="77777777" w:rsidR="00066C63" w:rsidRDefault="00066C63">
            <w:pPr>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69C7021"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669C7022" w14:textId="77777777" w:rsidR="00066C63" w:rsidRDefault="009656F6">
            <w:pPr>
              <w:jc w:val="right"/>
              <w:textAlignment w:val="bottom"/>
            </w:pPr>
            <w:r>
              <w:rPr>
                <w:rFonts w:ascii="Arial" w:eastAsia="宋体" w:hAnsi="Arial" w:cs="Arial"/>
                <w:b/>
                <w:bCs/>
                <w:color w:val="000000"/>
                <w:sz w:val="17"/>
                <w:szCs w:val="17"/>
              </w:rPr>
              <w:t>4,807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69C7023" w14:textId="77777777" w:rsidR="00066C63" w:rsidRDefault="00066C63">
            <w:pPr>
              <w:jc w:val="right"/>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tcPr>
          <w:p w14:paraId="669C7024" w14:textId="77777777" w:rsidR="00066C63" w:rsidRDefault="00066C63">
            <w:pPr>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69C7025"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69C7026" w14:textId="77777777" w:rsidR="00066C63" w:rsidRDefault="009656F6">
            <w:pPr>
              <w:jc w:val="right"/>
              <w:textAlignment w:val="bottom"/>
            </w:pPr>
            <w:r>
              <w:rPr>
                <w:rFonts w:ascii="Arial" w:eastAsia="宋体" w:hAnsi="Arial" w:cs="Arial"/>
                <w:b/>
                <w:bCs/>
                <w:color w:val="000000"/>
                <w:sz w:val="17"/>
                <w:szCs w:val="17"/>
              </w:rPr>
              <w:t>3,691</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69C7027" w14:textId="77777777" w:rsidR="00066C63" w:rsidRDefault="00066C63">
            <w:pPr>
              <w:jc w:val="right"/>
              <w:rPr>
                <w:rFonts w:ascii="宋体"/>
              </w:rPr>
            </w:pPr>
          </w:p>
        </w:tc>
      </w:tr>
    </w:tbl>
    <w:p w14:paraId="669C7029" w14:textId="77777777" w:rsidR="00066C63" w:rsidRDefault="00066C63">
      <w:pPr>
        <w:rPr>
          <w:vanish/>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42"/>
        <w:gridCol w:w="5387"/>
        <w:gridCol w:w="37"/>
        <w:gridCol w:w="116"/>
        <w:gridCol w:w="1244"/>
        <w:gridCol w:w="36"/>
        <w:gridCol w:w="36"/>
        <w:gridCol w:w="36"/>
        <w:gridCol w:w="36"/>
        <w:gridCol w:w="115"/>
        <w:gridCol w:w="1215"/>
        <w:gridCol w:w="36"/>
      </w:tblGrid>
      <w:tr w:rsidR="00066C63" w14:paraId="669C7036" w14:textId="77777777">
        <w:trPr>
          <w:jc w:val="center"/>
        </w:trPr>
        <w:tc>
          <w:tcPr>
            <w:tcW w:w="50" w:type="pct"/>
            <w:shd w:val="clear" w:color="auto" w:fill="auto"/>
          </w:tcPr>
          <w:p w14:paraId="669C702A" w14:textId="77777777" w:rsidR="00066C63" w:rsidRDefault="00066C63">
            <w:pPr>
              <w:rPr>
                <w:rFonts w:ascii="宋体"/>
              </w:rPr>
            </w:pPr>
          </w:p>
        </w:tc>
        <w:tc>
          <w:tcPr>
            <w:tcW w:w="3255" w:type="pct"/>
            <w:shd w:val="clear" w:color="auto" w:fill="auto"/>
          </w:tcPr>
          <w:p w14:paraId="669C702B" w14:textId="77777777" w:rsidR="00066C63" w:rsidRDefault="00066C63">
            <w:pPr>
              <w:rPr>
                <w:rFonts w:ascii="宋体"/>
              </w:rPr>
            </w:pPr>
          </w:p>
        </w:tc>
        <w:tc>
          <w:tcPr>
            <w:tcW w:w="5" w:type="pct"/>
            <w:shd w:val="clear" w:color="auto" w:fill="auto"/>
          </w:tcPr>
          <w:p w14:paraId="669C702C" w14:textId="77777777" w:rsidR="00066C63" w:rsidRDefault="00066C63">
            <w:pPr>
              <w:rPr>
                <w:rFonts w:ascii="宋体"/>
              </w:rPr>
            </w:pPr>
          </w:p>
        </w:tc>
        <w:tc>
          <w:tcPr>
            <w:tcW w:w="50" w:type="pct"/>
            <w:shd w:val="clear" w:color="auto" w:fill="auto"/>
          </w:tcPr>
          <w:p w14:paraId="669C702D" w14:textId="77777777" w:rsidR="00066C63" w:rsidRDefault="00066C63">
            <w:pPr>
              <w:rPr>
                <w:rFonts w:ascii="宋体"/>
              </w:rPr>
            </w:pPr>
          </w:p>
        </w:tc>
        <w:tc>
          <w:tcPr>
            <w:tcW w:w="770" w:type="pct"/>
            <w:shd w:val="clear" w:color="auto" w:fill="auto"/>
          </w:tcPr>
          <w:p w14:paraId="669C702E" w14:textId="77777777" w:rsidR="00066C63" w:rsidRDefault="00066C63">
            <w:pPr>
              <w:rPr>
                <w:rFonts w:ascii="宋体"/>
              </w:rPr>
            </w:pPr>
          </w:p>
        </w:tc>
        <w:tc>
          <w:tcPr>
            <w:tcW w:w="5" w:type="pct"/>
            <w:shd w:val="clear" w:color="auto" w:fill="auto"/>
          </w:tcPr>
          <w:p w14:paraId="669C702F" w14:textId="77777777" w:rsidR="00066C63" w:rsidRDefault="00066C63">
            <w:pPr>
              <w:rPr>
                <w:rFonts w:ascii="宋体"/>
              </w:rPr>
            </w:pPr>
          </w:p>
        </w:tc>
        <w:tc>
          <w:tcPr>
            <w:tcW w:w="5" w:type="pct"/>
            <w:shd w:val="clear" w:color="auto" w:fill="auto"/>
          </w:tcPr>
          <w:p w14:paraId="669C7030" w14:textId="77777777" w:rsidR="00066C63" w:rsidRDefault="00066C63">
            <w:pPr>
              <w:rPr>
                <w:rFonts w:ascii="宋体"/>
              </w:rPr>
            </w:pPr>
          </w:p>
        </w:tc>
        <w:tc>
          <w:tcPr>
            <w:tcW w:w="28" w:type="pct"/>
            <w:shd w:val="clear" w:color="auto" w:fill="auto"/>
          </w:tcPr>
          <w:p w14:paraId="669C7031" w14:textId="77777777" w:rsidR="00066C63" w:rsidRDefault="00066C63">
            <w:pPr>
              <w:rPr>
                <w:rFonts w:ascii="宋体"/>
              </w:rPr>
            </w:pPr>
          </w:p>
        </w:tc>
        <w:tc>
          <w:tcPr>
            <w:tcW w:w="5" w:type="pct"/>
            <w:shd w:val="clear" w:color="auto" w:fill="auto"/>
          </w:tcPr>
          <w:p w14:paraId="669C7032" w14:textId="77777777" w:rsidR="00066C63" w:rsidRDefault="00066C63">
            <w:pPr>
              <w:rPr>
                <w:rFonts w:ascii="宋体"/>
              </w:rPr>
            </w:pPr>
          </w:p>
        </w:tc>
        <w:tc>
          <w:tcPr>
            <w:tcW w:w="50" w:type="pct"/>
            <w:shd w:val="clear" w:color="auto" w:fill="auto"/>
          </w:tcPr>
          <w:p w14:paraId="669C7033" w14:textId="77777777" w:rsidR="00066C63" w:rsidRDefault="00066C63">
            <w:pPr>
              <w:rPr>
                <w:rFonts w:ascii="宋体"/>
              </w:rPr>
            </w:pPr>
          </w:p>
        </w:tc>
        <w:tc>
          <w:tcPr>
            <w:tcW w:w="770" w:type="pct"/>
            <w:shd w:val="clear" w:color="auto" w:fill="auto"/>
          </w:tcPr>
          <w:p w14:paraId="669C7034" w14:textId="77777777" w:rsidR="00066C63" w:rsidRDefault="00066C63">
            <w:pPr>
              <w:rPr>
                <w:rFonts w:ascii="宋体"/>
              </w:rPr>
            </w:pPr>
          </w:p>
        </w:tc>
        <w:tc>
          <w:tcPr>
            <w:tcW w:w="5" w:type="pct"/>
            <w:shd w:val="clear" w:color="auto" w:fill="auto"/>
          </w:tcPr>
          <w:p w14:paraId="669C7035" w14:textId="77777777" w:rsidR="00066C63" w:rsidRDefault="00066C63">
            <w:pPr>
              <w:rPr>
                <w:rFonts w:ascii="宋体"/>
              </w:rPr>
            </w:pPr>
          </w:p>
        </w:tc>
      </w:tr>
      <w:tr w:rsidR="00066C63" w14:paraId="669C703B" w14:textId="77777777">
        <w:trPr>
          <w:jc w:val="center"/>
        </w:trPr>
        <w:tc>
          <w:tcPr>
            <w:tcW w:w="0" w:type="auto"/>
            <w:gridSpan w:val="3"/>
            <w:shd w:val="clear" w:color="auto" w:fill="auto"/>
            <w:tcMar>
              <w:top w:w="0" w:type="dxa"/>
              <w:left w:w="20" w:type="dxa"/>
              <w:bottom w:w="0" w:type="dxa"/>
              <w:right w:w="20" w:type="dxa"/>
            </w:tcMar>
          </w:tcPr>
          <w:p w14:paraId="669C7037" w14:textId="77777777" w:rsidR="00066C63" w:rsidRDefault="00066C63">
            <w:pPr>
              <w:rPr>
                <w:rFonts w:ascii="宋体"/>
              </w:rPr>
            </w:pPr>
          </w:p>
        </w:tc>
        <w:tc>
          <w:tcPr>
            <w:tcW w:w="0" w:type="auto"/>
            <w:gridSpan w:val="3"/>
            <w:shd w:val="clear" w:color="auto" w:fill="auto"/>
            <w:tcMar>
              <w:top w:w="40" w:type="dxa"/>
              <w:left w:w="20" w:type="dxa"/>
              <w:bottom w:w="40" w:type="dxa"/>
              <w:right w:w="20" w:type="dxa"/>
            </w:tcMar>
            <w:vAlign w:val="bottom"/>
          </w:tcPr>
          <w:p w14:paraId="669C7038" w14:textId="77777777" w:rsidR="00066C63" w:rsidRDefault="009656F6">
            <w:pPr>
              <w:jc w:val="center"/>
              <w:textAlignment w:val="bottom"/>
            </w:pPr>
            <w:r>
              <w:rPr>
                <w:rFonts w:ascii="sans-serif" w:eastAsia="sans-serif" w:hAnsi="sans-serif" w:cs="sans-serif"/>
                <w:b/>
                <w:bCs/>
                <w:color w:val="000000"/>
                <w:sz w:val="17"/>
                <w:szCs w:val="17"/>
              </w:rPr>
              <w:t>FEBRUARY 28,</w:t>
            </w:r>
          </w:p>
        </w:tc>
        <w:tc>
          <w:tcPr>
            <w:tcW w:w="0" w:type="auto"/>
            <w:gridSpan w:val="3"/>
            <w:shd w:val="clear" w:color="auto" w:fill="auto"/>
            <w:tcMar>
              <w:top w:w="0" w:type="dxa"/>
              <w:left w:w="20" w:type="dxa"/>
              <w:bottom w:w="0" w:type="dxa"/>
              <w:right w:w="20" w:type="dxa"/>
            </w:tcMar>
          </w:tcPr>
          <w:p w14:paraId="669C7039" w14:textId="77777777" w:rsidR="00066C63" w:rsidRDefault="00066C63">
            <w:pPr>
              <w:rPr>
                <w:rFonts w:ascii="宋体"/>
              </w:rPr>
            </w:pPr>
          </w:p>
        </w:tc>
        <w:tc>
          <w:tcPr>
            <w:tcW w:w="0" w:type="auto"/>
            <w:gridSpan w:val="3"/>
            <w:shd w:val="clear" w:color="auto" w:fill="auto"/>
            <w:tcMar>
              <w:top w:w="40" w:type="dxa"/>
              <w:left w:w="20" w:type="dxa"/>
              <w:bottom w:w="40" w:type="dxa"/>
              <w:right w:w="20" w:type="dxa"/>
            </w:tcMar>
            <w:vAlign w:val="bottom"/>
          </w:tcPr>
          <w:p w14:paraId="669C703A" w14:textId="77777777" w:rsidR="00066C63" w:rsidRDefault="009656F6">
            <w:pPr>
              <w:jc w:val="center"/>
              <w:textAlignment w:val="bottom"/>
            </w:pPr>
            <w:r>
              <w:rPr>
                <w:rFonts w:ascii="sans-serif" w:eastAsia="sans-serif" w:hAnsi="sans-serif" w:cs="sans-serif"/>
                <w:b/>
                <w:bCs/>
                <w:color w:val="000000"/>
                <w:sz w:val="17"/>
                <w:szCs w:val="17"/>
              </w:rPr>
              <w:t>MAY 31,</w:t>
            </w:r>
          </w:p>
        </w:tc>
      </w:tr>
      <w:tr w:rsidR="00066C63" w14:paraId="669C7040" w14:textId="77777777">
        <w:trPr>
          <w:jc w:val="center"/>
        </w:trPr>
        <w:tc>
          <w:tcPr>
            <w:tcW w:w="0" w:type="auto"/>
            <w:gridSpan w:val="3"/>
            <w:shd w:val="clear" w:color="auto" w:fill="auto"/>
            <w:tcMar>
              <w:top w:w="40" w:type="dxa"/>
              <w:left w:w="20" w:type="dxa"/>
              <w:bottom w:w="40" w:type="dxa"/>
              <w:right w:w="20" w:type="dxa"/>
            </w:tcMar>
            <w:vAlign w:val="bottom"/>
          </w:tcPr>
          <w:p w14:paraId="669C703C" w14:textId="77777777" w:rsidR="00066C63" w:rsidRDefault="009656F6">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03D" w14:textId="77777777" w:rsidR="00066C63" w:rsidRDefault="009656F6">
            <w:pPr>
              <w:jc w:val="center"/>
              <w:textAlignment w:val="bottom"/>
            </w:pPr>
            <w:r>
              <w:rPr>
                <w:rFonts w:ascii="sans-serif" w:eastAsia="sans-serif" w:hAnsi="sans-serif" w:cs="sans-serif"/>
                <w:b/>
                <w:bCs/>
                <w:color w:val="000000"/>
                <w:sz w:val="17"/>
                <w:szCs w:val="17"/>
              </w:rPr>
              <w:t>2021</w:t>
            </w:r>
          </w:p>
        </w:tc>
        <w:tc>
          <w:tcPr>
            <w:tcW w:w="0" w:type="auto"/>
            <w:gridSpan w:val="3"/>
            <w:shd w:val="clear" w:color="auto" w:fill="auto"/>
            <w:tcMar>
              <w:top w:w="0" w:type="dxa"/>
              <w:left w:w="20" w:type="dxa"/>
              <w:bottom w:w="0" w:type="dxa"/>
              <w:right w:w="20" w:type="dxa"/>
            </w:tcMar>
          </w:tcPr>
          <w:p w14:paraId="669C703E" w14:textId="77777777" w:rsidR="00066C63" w:rsidRDefault="00066C63">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03F" w14:textId="77777777" w:rsidR="00066C63" w:rsidRDefault="009656F6">
            <w:pPr>
              <w:jc w:val="center"/>
              <w:textAlignment w:val="bottom"/>
            </w:pPr>
            <w:r>
              <w:rPr>
                <w:rFonts w:ascii="sans-serif" w:eastAsia="sans-serif" w:hAnsi="sans-serif" w:cs="sans-serif"/>
                <w:b/>
                <w:bCs/>
                <w:color w:val="000000"/>
                <w:sz w:val="17"/>
                <w:szCs w:val="17"/>
              </w:rPr>
              <w:t>2020</w:t>
            </w:r>
          </w:p>
        </w:tc>
      </w:tr>
      <w:tr w:rsidR="00066C63" w14:paraId="669C7045"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041" w14:textId="77777777" w:rsidR="00066C63" w:rsidRDefault="009656F6">
            <w:pPr>
              <w:textAlignment w:val="bottom"/>
            </w:pPr>
            <w:r>
              <w:rPr>
                <w:rFonts w:ascii="Arial" w:eastAsia="宋体" w:hAnsi="Arial" w:cs="Arial"/>
                <w:b/>
                <w:bCs/>
                <w:color w:val="000000"/>
                <w:sz w:val="17"/>
                <w:szCs w:val="17"/>
              </w:rPr>
              <w:t>ACCOUNTS RECEIVABLE, NET</w:t>
            </w:r>
          </w:p>
        </w:tc>
        <w:tc>
          <w:tcPr>
            <w:tcW w:w="0" w:type="auto"/>
            <w:gridSpan w:val="3"/>
            <w:tcBorders>
              <w:top w:val="single" w:sz="8" w:space="0" w:color="E87722"/>
            </w:tcBorders>
            <w:shd w:val="clear" w:color="auto" w:fill="FFF1E7"/>
            <w:tcMar>
              <w:top w:w="0" w:type="dxa"/>
              <w:left w:w="20" w:type="dxa"/>
              <w:bottom w:w="0" w:type="dxa"/>
              <w:right w:w="20" w:type="dxa"/>
            </w:tcMar>
          </w:tcPr>
          <w:p w14:paraId="669C7042"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7043"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7044" w14:textId="77777777" w:rsidR="00066C63" w:rsidRDefault="00066C63">
            <w:pPr>
              <w:rPr>
                <w:rFonts w:ascii="宋体"/>
              </w:rPr>
            </w:pPr>
          </w:p>
        </w:tc>
      </w:tr>
      <w:tr w:rsidR="00066C63" w14:paraId="669C704E" w14:textId="77777777">
        <w:trPr>
          <w:jc w:val="center"/>
        </w:trPr>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7046" w14:textId="77777777" w:rsidR="00066C63" w:rsidRDefault="009656F6">
            <w:pPr>
              <w:textAlignment w:val="bottom"/>
            </w:pPr>
            <w:r>
              <w:rPr>
                <w:rFonts w:ascii="Arial" w:eastAsia="宋体" w:hAnsi="Arial" w:cs="Arial"/>
                <w:color w:val="000000"/>
                <w:sz w:val="17"/>
                <w:szCs w:val="17"/>
              </w:rPr>
              <w:t>North America</w:t>
            </w:r>
          </w:p>
        </w:tc>
        <w:tc>
          <w:tcPr>
            <w:tcW w:w="0" w:type="auto"/>
            <w:tcBorders>
              <w:top w:val="single" w:sz="8" w:space="0" w:color="808080"/>
            </w:tcBorders>
            <w:shd w:val="clear" w:color="auto" w:fill="FFF1E7"/>
            <w:tcMar>
              <w:top w:w="40" w:type="dxa"/>
              <w:left w:w="20" w:type="dxa"/>
              <w:bottom w:w="40" w:type="dxa"/>
              <w:right w:w="0" w:type="dxa"/>
            </w:tcMar>
            <w:vAlign w:val="bottom"/>
          </w:tcPr>
          <w:p w14:paraId="669C7047"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669C7048" w14:textId="77777777" w:rsidR="00066C63" w:rsidRDefault="009656F6">
            <w:pPr>
              <w:jc w:val="right"/>
              <w:textAlignment w:val="bottom"/>
            </w:pPr>
            <w:r>
              <w:rPr>
                <w:rFonts w:ascii="Arial" w:eastAsia="宋体" w:hAnsi="Arial" w:cs="Arial"/>
                <w:color w:val="000000"/>
                <w:sz w:val="17"/>
                <w:szCs w:val="17"/>
              </w:rPr>
              <w:t>1,019 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7049" w14:textId="77777777" w:rsidR="00066C63" w:rsidRDefault="00066C63">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704A" w14:textId="77777777" w:rsidR="00066C63" w:rsidRDefault="00066C63">
            <w:pPr>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669C704B"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669C704C" w14:textId="77777777" w:rsidR="00066C63" w:rsidRDefault="009656F6">
            <w:pPr>
              <w:jc w:val="right"/>
              <w:textAlignment w:val="bottom"/>
            </w:pPr>
            <w:r>
              <w:rPr>
                <w:rFonts w:ascii="Arial" w:eastAsia="宋体" w:hAnsi="Arial" w:cs="Arial"/>
                <w:color w:val="000000"/>
                <w:sz w:val="17"/>
                <w:szCs w:val="17"/>
              </w:rPr>
              <w:t>1,020 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04D" w14:textId="77777777" w:rsidR="00066C63" w:rsidRDefault="00066C63">
            <w:pPr>
              <w:jc w:val="right"/>
              <w:rPr>
                <w:rFonts w:ascii="宋体"/>
              </w:rPr>
            </w:pPr>
          </w:p>
        </w:tc>
      </w:tr>
      <w:tr w:rsidR="00066C63" w14:paraId="669C7055" w14:textId="77777777">
        <w:trPr>
          <w:jc w:val="center"/>
        </w:trPr>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704F" w14:textId="77777777" w:rsidR="00066C63" w:rsidRDefault="009656F6">
            <w:pPr>
              <w:textAlignment w:val="bottom"/>
            </w:pPr>
            <w:r>
              <w:rPr>
                <w:rFonts w:ascii="Arial" w:eastAsia="宋体" w:hAnsi="Arial" w:cs="Arial"/>
                <w:color w:val="000000"/>
                <w:sz w:val="17"/>
                <w:szCs w:val="17"/>
              </w:rPr>
              <w:t>Europe, Middle East &amp; Africa</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7050" w14:textId="77777777" w:rsidR="00066C63" w:rsidRDefault="009656F6">
            <w:pPr>
              <w:jc w:val="right"/>
              <w:textAlignment w:val="bottom"/>
            </w:pPr>
            <w:r>
              <w:rPr>
                <w:rFonts w:ascii="Arial" w:eastAsia="宋体" w:hAnsi="Arial" w:cs="Arial"/>
                <w:color w:val="000000"/>
                <w:sz w:val="17"/>
                <w:szCs w:val="17"/>
              </w:rPr>
              <w:t>1,300 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7051" w14:textId="77777777" w:rsidR="00066C63" w:rsidRDefault="00066C63">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7052" w14:textId="77777777" w:rsidR="00066C63" w:rsidRDefault="00066C63">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053" w14:textId="77777777" w:rsidR="00066C63" w:rsidRDefault="009656F6">
            <w:pPr>
              <w:jc w:val="right"/>
              <w:textAlignment w:val="bottom"/>
            </w:pPr>
            <w:r>
              <w:rPr>
                <w:rFonts w:ascii="Arial" w:eastAsia="宋体" w:hAnsi="Arial" w:cs="Arial"/>
                <w:color w:val="000000"/>
                <w:sz w:val="17"/>
                <w:szCs w:val="17"/>
              </w:rPr>
              <w:t>712 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054" w14:textId="77777777" w:rsidR="00066C63" w:rsidRDefault="00066C63">
            <w:pPr>
              <w:jc w:val="right"/>
              <w:rPr>
                <w:rFonts w:ascii="宋体"/>
              </w:rPr>
            </w:pPr>
          </w:p>
        </w:tc>
      </w:tr>
      <w:tr w:rsidR="00066C63" w14:paraId="669C705C" w14:textId="77777777">
        <w:trPr>
          <w:jc w:val="center"/>
        </w:trPr>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7056" w14:textId="77777777" w:rsidR="00066C63" w:rsidRDefault="009656F6">
            <w:pPr>
              <w:textAlignment w:val="bottom"/>
            </w:pPr>
            <w:r>
              <w:rPr>
                <w:rFonts w:ascii="Arial" w:eastAsia="宋体" w:hAnsi="Arial" w:cs="Arial"/>
                <w:color w:val="000000"/>
                <w:sz w:val="17"/>
                <w:szCs w:val="17"/>
              </w:rPr>
              <w:t>Greater China</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7057" w14:textId="77777777" w:rsidR="00066C63" w:rsidRDefault="009656F6">
            <w:pPr>
              <w:jc w:val="right"/>
              <w:textAlignment w:val="bottom"/>
            </w:pPr>
            <w:r>
              <w:rPr>
                <w:rFonts w:ascii="Arial" w:eastAsia="宋体" w:hAnsi="Arial" w:cs="Arial"/>
                <w:color w:val="000000"/>
                <w:sz w:val="17"/>
                <w:szCs w:val="17"/>
              </w:rPr>
              <w:t>337 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7058" w14:textId="77777777" w:rsidR="00066C63" w:rsidRDefault="00066C63">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7059" w14:textId="77777777" w:rsidR="00066C63" w:rsidRDefault="00066C63">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05A" w14:textId="77777777" w:rsidR="00066C63" w:rsidRDefault="009656F6">
            <w:pPr>
              <w:jc w:val="right"/>
              <w:textAlignment w:val="bottom"/>
            </w:pPr>
            <w:r>
              <w:rPr>
                <w:rFonts w:ascii="Arial" w:eastAsia="宋体" w:hAnsi="Arial" w:cs="Arial"/>
                <w:color w:val="000000"/>
                <w:sz w:val="17"/>
                <w:szCs w:val="17"/>
              </w:rPr>
              <w:t>321 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05B" w14:textId="77777777" w:rsidR="00066C63" w:rsidRDefault="00066C63">
            <w:pPr>
              <w:jc w:val="right"/>
              <w:rPr>
                <w:rFonts w:ascii="宋体"/>
              </w:rPr>
            </w:pPr>
          </w:p>
        </w:tc>
      </w:tr>
      <w:tr w:rsidR="00066C63" w14:paraId="669C7063" w14:textId="77777777">
        <w:trPr>
          <w:jc w:val="center"/>
        </w:trPr>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705D" w14:textId="77777777" w:rsidR="00066C63" w:rsidRDefault="009656F6">
            <w:pPr>
              <w:textAlignment w:val="bottom"/>
            </w:pPr>
            <w:r>
              <w:rPr>
                <w:rFonts w:ascii="Arial" w:eastAsia="宋体" w:hAnsi="Arial" w:cs="Arial"/>
                <w:color w:val="000000"/>
                <w:sz w:val="17"/>
                <w:szCs w:val="17"/>
              </w:rPr>
              <w:t>Asia Pacific &amp; Latin America</w:t>
            </w:r>
            <w:r>
              <w:rPr>
                <w:rFonts w:ascii="Arial" w:eastAsia="宋体" w:hAnsi="Arial" w:cs="Arial"/>
                <w:color w:val="000000"/>
                <w:sz w:val="11"/>
                <w:szCs w:val="11"/>
              </w:rPr>
              <w:t>(1)</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705E" w14:textId="77777777" w:rsidR="00066C63" w:rsidRDefault="009656F6">
            <w:pPr>
              <w:jc w:val="right"/>
              <w:textAlignment w:val="bottom"/>
            </w:pPr>
            <w:r>
              <w:rPr>
                <w:rFonts w:ascii="Arial" w:eastAsia="宋体" w:hAnsi="Arial" w:cs="Arial"/>
                <w:color w:val="000000"/>
                <w:sz w:val="17"/>
                <w:szCs w:val="17"/>
              </w:rPr>
              <w:t>591 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705F" w14:textId="77777777" w:rsidR="00066C63" w:rsidRDefault="00066C63">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7060" w14:textId="77777777" w:rsidR="00066C63" w:rsidRDefault="00066C63">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061" w14:textId="77777777" w:rsidR="00066C63" w:rsidRDefault="009656F6">
            <w:pPr>
              <w:jc w:val="right"/>
              <w:textAlignment w:val="bottom"/>
            </w:pPr>
            <w:r>
              <w:rPr>
                <w:rFonts w:ascii="Arial" w:eastAsia="宋体" w:hAnsi="Arial" w:cs="Arial"/>
                <w:color w:val="000000"/>
                <w:sz w:val="17"/>
                <w:szCs w:val="17"/>
              </w:rPr>
              <w:t>425 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062" w14:textId="77777777" w:rsidR="00066C63" w:rsidRDefault="00066C63">
            <w:pPr>
              <w:jc w:val="right"/>
              <w:rPr>
                <w:rFonts w:ascii="宋体"/>
              </w:rPr>
            </w:pPr>
          </w:p>
        </w:tc>
      </w:tr>
      <w:tr w:rsidR="00066C63" w14:paraId="669C706A" w14:textId="77777777">
        <w:trPr>
          <w:jc w:val="center"/>
        </w:trPr>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7064" w14:textId="77777777" w:rsidR="00066C63" w:rsidRDefault="009656F6">
            <w:pPr>
              <w:textAlignment w:val="bottom"/>
            </w:pPr>
            <w:r>
              <w:rPr>
                <w:rFonts w:ascii="Arial" w:eastAsia="宋体" w:hAnsi="Arial" w:cs="Arial"/>
                <w:color w:val="000000"/>
                <w:sz w:val="17"/>
                <w:szCs w:val="17"/>
              </w:rPr>
              <w:t>Global Brand Divisions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7065" w14:textId="77777777" w:rsidR="00066C63" w:rsidRDefault="009656F6">
            <w:pPr>
              <w:jc w:val="right"/>
              <w:textAlignment w:val="bottom"/>
            </w:pPr>
            <w:r>
              <w:rPr>
                <w:rFonts w:ascii="Arial" w:eastAsia="宋体" w:hAnsi="Arial" w:cs="Arial"/>
                <w:color w:val="000000"/>
                <w:sz w:val="17"/>
                <w:szCs w:val="17"/>
              </w:rPr>
              <w:t>101 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7066" w14:textId="77777777" w:rsidR="00066C63" w:rsidRDefault="00066C63">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7067" w14:textId="77777777" w:rsidR="00066C63" w:rsidRDefault="00066C63">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068" w14:textId="77777777" w:rsidR="00066C63" w:rsidRDefault="009656F6">
            <w:pPr>
              <w:jc w:val="right"/>
              <w:textAlignment w:val="bottom"/>
            </w:pPr>
            <w:r>
              <w:rPr>
                <w:rFonts w:ascii="Arial" w:eastAsia="宋体" w:hAnsi="Arial" w:cs="Arial"/>
                <w:color w:val="000000"/>
                <w:sz w:val="17"/>
                <w:szCs w:val="17"/>
              </w:rPr>
              <w:t>65 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069" w14:textId="77777777" w:rsidR="00066C63" w:rsidRDefault="00066C63">
            <w:pPr>
              <w:jc w:val="right"/>
              <w:rPr>
                <w:rFonts w:ascii="宋体"/>
              </w:rPr>
            </w:pPr>
          </w:p>
        </w:tc>
      </w:tr>
      <w:tr w:rsidR="00066C63" w14:paraId="669C7071"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06B" w14:textId="77777777" w:rsidR="00066C63" w:rsidRDefault="009656F6">
            <w:pPr>
              <w:textAlignment w:val="bottom"/>
            </w:pPr>
            <w:r>
              <w:rPr>
                <w:rFonts w:ascii="Arial" w:eastAsia="宋体" w:hAnsi="Arial" w:cs="Arial"/>
                <w:color w:val="000000"/>
                <w:sz w:val="17"/>
                <w:szCs w:val="17"/>
              </w:rPr>
              <w:t>Total NIKE Brand</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669C706C" w14:textId="77777777" w:rsidR="00066C63" w:rsidRDefault="009656F6">
            <w:pPr>
              <w:jc w:val="right"/>
              <w:textAlignment w:val="bottom"/>
            </w:pPr>
            <w:r>
              <w:rPr>
                <w:rFonts w:ascii="Arial" w:eastAsia="宋体" w:hAnsi="Arial" w:cs="Arial"/>
                <w:color w:val="000000"/>
                <w:sz w:val="17"/>
                <w:szCs w:val="17"/>
              </w:rPr>
              <w:t>3,348 </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706D" w14:textId="77777777" w:rsidR="00066C63" w:rsidRDefault="00066C63">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706E" w14:textId="77777777" w:rsidR="00066C63" w:rsidRDefault="00066C63">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706F" w14:textId="77777777" w:rsidR="00066C63" w:rsidRDefault="009656F6">
            <w:pPr>
              <w:jc w:val="right"/>
              <w:textAlignment w:val="bottom"/>
            </w:pPr>
            <w:r>
              <w:rPr>
                <w:rFonts w:ascii="Arial" w:eastAsia="宋体" w:hAnsi="Arial" w:cs="Arial"/>
                <w:color w:val="000000"/>
                <w:sz w:val="17"/>
                <w:szCs w:val="17"/>
              </w:rPr>
              <w:t>2,543 </w:t>
            </w:r>
          </w:p>
        </w:tc>
        <w:tc>
          <w:tcPr>
            <w:tcW w:w="0" w:type="auto"/>
            <w:tcBorders>
              <w:top w:val="single" w:sz="8" w:space="0" w:color="E87722"/>
            </w:tcBorders>
            <w:shd w:val="clear" w:color="auto" w:fill="auto"/>
            <w:tcMar>
              <w:top w:w="40" w:type="dxa"/>
              <w:left w:w="0" w:type="dxa"/>
              <w:bottom w:w="40" w:type="dxa"/>
              <w:right w:w="20" w:type="dxa"/>
            </w:tcMar>
            <w:vAlign w:val="bottom"/>
          </w:tcPr>
          <w:p w14:paraId="669C7070" w14:textId="77777777" w:rsidR="00066C63" w:rsidRDefault="00066C63">
            <w:pPr>
              <w:jc w:val="right"/>
              <w:rPr>
                <w:rFonts w:ascii="宋体"/>
              </w:rPr>
            </w:pPr>
          </w:p>
        </w:tc>
      </w:tr>
      <w:tr w:rsidR="00066C63" w14:paraId="669C7078" w14:textId="77777777">
        <w:trPr>
          <w:jc w:val="center"/>
        </w:trPr>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7072" w14:textId="77777777" w:rsidR="00066C63" w:rsidRDefault="009656F6">
            <w:pPr>
              <w:textAlignment w:val="bottom"/>
            </w:pPr>
            <w:r>
              <w:rPr>
                <w:rFonts w:ascii="Arial" w:eastAsia="宋体" w:hAnsi="Arial" w:cs="Arial"/>
                <w:color w:val="000000"/>
                <w:sz w:val="17"/>
                <w:szCs w:val="17"/>
              </w:rPr>
              <w:t>Converse</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7073" w14:textId="77777777" w:rsidR="00066C63" w:rsidRDefault="009656F6">
            <w:pPr>
              <w:jc w:val="right"/>
              <w:textAlignment w:val="bottom"/>
            </w:pPr>
            <w:r>
              <w:rPr>
                <w:rFonts w:ascii="Arial" w:eastAsia="宋体" w:hAnsi="Arial" w:cs="Arial"/>
                <w:color w:val="000000"/>
                <w:sz w:val="17"/>
                <w:szCs w:val="17"/>
              </w:rPr>
              <w:t>256 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7074" w14:textId="77777777" w:rsidR="00066C63" w:rsidRDefault="00066C63">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7075" w14:textId="77777777" w:rsidR="00066C63" w:rsidRDefault="00066C63">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076" w14:textId="77777777" w:rsidR="00066C63" w:rsidRDefault="009656F6">
            <w:pPr>
              <w:jc w:val="right"/>
              <w:textAlignment w:val="bottom"/>
            </w:pPr>
            <w:r>
              <w:rPr>
                <w:rFonts w:ascii="Arial" w:eastAsia="宋体" w:hAnsi="Arial" w:cs="Arial"/>
                <w:color w:val="000000"/>
                <w:sz w:val="17"/>
                <w:szCs w:val="17"/>
              </w:rPr>
              <w:t>149 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077" w14:textId="77777777" w:rsidR="00066C63" w:rsidRDefault="00066C63">
            <w:pPr>
              <w:jc w:val="right"/>
              <w:rPr>
                <w:rFonts w:ascii="宋体"/>
              </w:rPr>
            </w:pPr>
          </w:p>
        </w:tc>
      </w:tr>
      <w:tr w:rsidR="00066C63" w14:paraId="669C707F" w14:textId="77777777">
        <w:trPr>
          <w:jc w:val="center"/>
        </w:trPr>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7079" w14:textId="77777777" w:rsidR="00066C63" w:rsidRDefault="009656F6">
            <w:pPr>
              <w:textAlignment w:val="bottom"/>
            </w:pPr>
            <w:r>
              <w:rPr>
                <w:rFonts w:ascii="Arial" w:eastAsia="宋体" w:hAnsi="Arial" w:cs="Arial"/>
                <w:color w:val="000000"/>
                <w:sz w:val="17"/>
                <w:szCs w:val="17"/>
              </w:rPr>
              <w:t>Corporate</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707A" w14:textId="77777777" w:rsidR="00066C63" w:rsidRDefault="009656F6">
            <w:pPr>
              <w:jc w:val="right"/>
              <w:textAlignment w:val="bottom"/>
            </w:pPr>
            <w:r>
              <w:rPr>
                <w:rFonts w:ascii="Arial" w:eastAsia="宋体" w:hAnsi="Arial" w:cs="Arial"/>
                <w:color w:val="000000"/>
                <w:sz w:val="17"/>
                <w:szCs w:val="17"/>
              </w:rPr>
              <w:t>65 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707B" w14:textId="77777777" w:rsidR="00066C63" w:rsidRDefault="00066C63">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707C" w14:textId="77777777" w:rsidR="00066C63" w:rsidRDefault="00066C63">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07D" w14:textId="77777777" w:rsidR="00066C63" w:rsidRDefault="009656F6">
            <w:pPr>
              <w:jc w:val="right"/>
              <w:textAlignment w:val="bottom"/>
            </w:pPr>
            <w:r>
              <w:rPr>
                <w:rFonts w:ascii="Arial" w:eastAsia="宋体" w:hAnsi="Arial" w:cs="Arial"/>
                <w:color w:val="000000"/>
                <w:sz w:val="17"/>
                <w:szCs w:val="17"/>
              </w:rPr>
              <w:t>57 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07E" w14:textId="77777777" w:rsidR="00066C63" w:rsidRDefault="00066C63">
            <w:pPr>
              <w:jc w:val="right"/>
              <w:rPr>
                <w:rFonts w:ascii="宋体"/>
              </w:rPr>
            </w:pPr>
          </w:p>
        </w:tc>
      </w:tr>
      <w:tr w:rsidR="00066C63" w14:paraId="669C7088"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080" w14:textId="77777777" w:rsidR="00066C63" w:rsidRDefault="009656F6">
            <w:pPr>
              <w:textAlignment w:val="bottom"/>
            </w:pPr>
            <w:r>
              <w:rPr>
                <w:rFonts w:ascii="Arial" w:eastAsia="宋体" w:hAnsi="Arial" w:cs="Arial"/>
                <w:b/>
                <w:bCs/>
                <w:color w:val="000000"/>
                <w:sz w:val="17"/>
                <w:szCs w:val="17"/>
              </w:rPr>
              <w:t xml:space="preserve">TOTAL </w:t>
            </w:r>
            <w:r>
              <w:rPr>
                <w:rFonts w:ascii="Arial" w:eastAsia="宋体" w:hAnsi="Arial" w:cs="Arial"/>
                <w:b/>
                <w:bCs/>
                <w:color w:val="000000"/>
                <w:sz w:val="17"/>
                <w:szCs w:val="17"/>
              </w:rPr>
              <w:t>ACCOUNTS RECEIVABLE, NET</w:t>
            </w:r>
          </w:p>
        </w:tc>
        <w:tc>
          <w:tcPr>
            <w:tcW w:w="0" w:type="auto"/>
            <w:tcBorders>
              <w:top w:val="single" w:sz="8" w:space="0" w:color="E87722"/>
            </w:tcBorders>
            <w:shd w:val="clear" w:color="auto" w:fill="FFF1E7"/>
            <w:tcMar>
              <w:top w:w="40" w:type="dxa"/>
              <w:left w:w="20" w:type="dxa"/>
              <w:bottom w:w="40" w:type="dxa"/>
              <w:right w:w="0" w:type="dxa"/>
            </w:tcMar>
            <w:vAlign w:val="bottom"/>
          </w:tcPr>
          <w:p w14:paraId="669C7081"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669C7082" w14:textId="77777777" w:rsidR="00066C63" w:rsidRDefault="009656F6">
            <w:pPr>
              <w:jc w:val="right"/>
              <w:textAlignment w:val="bottom"/>
            </w:pPr>
            <w:r>
              <w:rPr>
                <w:rFonts w:ascii="Arial" w:eastAsia="宋体" w:hAnsi="Arial" w:cs="Arial"/>
                <w:b/>
                <w:bCs/>
                <w:color w:val="000000"/>
                <w:sz w:val="17"/>
                <w:szCs w:val="17"/>
              </w:rPr>
              <w:t>3,669</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7083" w14:textId="77777777" w:rsidR="00066C63" w:rsidRDefault="00066C63">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7084" w14:textId="77777777" w:rsidR="00066C63" w:rsidRDefault="00066C63">
            <w:pPr>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69C7085"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69C7086" w14:textId="77777777" w:rsidR="00066C63" w:rsidRDefault="009656F6">
            <w:pPr>
              <w:jc w:val="right"/>
              <w:textAlignment w:val="bottom"/>
            </w:pPr>
            <w:r>
              <w:rPr>
                <w:rFonts w:ascii="Arial" w:eastAsia="宋体" w:hAnsi="Arial" w:cs="Arial"/>
                <w:b/>
                <w:bCs/>
                <w:color w:val="000000"/>
                <w:sz w:val="17"/>
                <w:szCs w:val="17"/>
              </w:rPr>
              <w:t>2,749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7087" w14:textId="77777777" w:rsidR="00066C63" w:rsidRDefault="00066C63">
            <w:pPr>
              <w:jc w:val="right"/>
              <w:rPr>
                <w:rFonts w:ascii="宋体"/>
              </w:rPr>
            </w:pPr>
          </w:p>
        </w:tc>
      </w:tr>
      <w:tr w:rsidR="00066C63" w14:paraId="669C708D"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089" w14:textId="77777777" w:rsidR="00066C63" w:rsidRDefault="009656F6">
            <w:pPr>
              <w:textAlignment w:val="bottom"/>
            </w:pPr>
            <w:r>
              <w:rPr>
                <w:rFonts w:ascii="Arial" w:eastAsia="宋体" w:hAnsi="Arial" w:cs="Arial"/>
                <w:b/>
                <w:bCs/>
                <w:color w:val="000000"/>
                <w:sz w:val="17"/>
                <w:szCs w:val="17"/>
              </w:rPr>
              <w:t>INVENTORIES</w:t>
            </w:r>
          </w:p>
        </w:tc>
        <w:tc>
          <w:tcPr>
            <w:tcW w:w="0" w:type="auto"/>
            <w:gridSpan w:val="3"/>
            <w:tcBorders>
              <w:top w:val="single" w:sz="8" w:space="0" w:color="E87722"/>
            </w:tcBorders>
            <w:shd w:val="clear" w:color="auto" w:fill="FFF1E7"/>
            <w:tcMar>
              <w:top w:w="0" w:type="dxa"/>
              <w:left w:w="20" w:type="dxa"/>
              <w:bottom w:w="0" w:type="dxa"/>
              <w:right w:w="20" w:type="dxa"/>
            </w:tcMar>
          </w:tcPr>
          <w:p w14:paraId="669C708A"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708B"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708C" w14:textId="77777777" w:rsidR="00066C63" w:rsidRDefault="00066C63">
            <w:pPr>
              <w:rPr>
                <w:rFonts w:ascii="宋体"/>
              </w:rPr>
            </w:pPr>
          </w:p>
        </w:tc>
      </w:tr>
      <w:tr w:rsidR="00066C63" w14:paraId="669C7096" w14:textId="77777777">
        <w:trPr>
          <w:jc w:val="center"/>
        </w:trPr>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708E" w14:textId="77777777" w:rsidR="00066C63" w:rsidRDefault="009656F6">
            <w:pPr>
              <w:textAlignment w:val="bottom"/>
            </w:pPr>
            <w:r>
              <w:rPr>
                <w:rFonts w:ascii="Arial" w:eastAsia="宋体" w:hAnsi="Arial" w:cs="Arial"/>
                <w:color w:val="000000"/>
                <w:sz w:val="17"/>
                <w:szCs w:val="17"/>
              </w:rPr>
              <w:t>North America</w:t>
            </w:r>
          </w:p>
        </w:tc>
        <w:tc>
          <w:tcPr>
            <w:tcW w:w="0" w:type="auto"/>
            <w:tcBorders>
              <w:top w:val="single" w:sz="8" w:space="0" w:color="808080"/>
            </w:tcBorders>
            <w:shd w:val="clear" w:color="auto" w:fill="FFF1E7"/>
            <w:tcMar>
              <w:top w:w="40" w:type="dxa"/>
              <w:left w:w="20" w:type="dxa"/>
              <w:bottom w:w="40" w:type="dxa"/>
              <w:right w:w="0" w:type="dxa"/>
            </w:tcMar>
            <w:vAlign w:val="bottom"/>
          </w:tcPr>
          <w:p w14:paraId="669C708F"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669C7090" w14:textId="77777777" w:rsidR="00066C63" w:rsidRDefault="009656F6">
            <w:pPr>
              <w:jc w:val="right"/>
              <w:textAlignment w:val="bottom"/>
            </w:pPr>
            <w:r>
              <w:rPr>
                <w:rFonts w:ascii="Arial" w:eastAsia="宋体" w:hAnsi="Arial" w:cs="Arial"/>
                <w:color w:val="000000"/>
                <w:sz w:val="17"/>
                <w:szCs w:val="17"/>
              </w:rPr>
              <w:t>2,904 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7091" w14:textId="77777777" w:rsidR="00066C63" w:rsidRDefault="00066C63">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7092" w14:textId="77777777" w:rsidR="00066C63" w:rsidRDefault="00066C63">
            <w:pPr>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669C7093"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669C7094" w14:textId="77777777" w:rsidR="00066C63" w:rsidRDefault="009656F6">
            <w:pPr>
              <w:jc w:val="right"/>
              <w:textAlignment w:val="bottom"/>
            </w:pPr>
            <w:r>
              <w:rPr>
                <w:rFonts w:ascii="Arial" w:eastAsia="宋体" w:hAnsi="Arial" w:cs="Arial"/>
                <w:color w:val="000000"/>
                <w:sz w:val="17"/>
                <w:szCs w:val="17"/>
              </w:rPr>
              <w:t>3,077 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095" w14:textId="77777777" w:rsidR="00066C63" w:rsidRDefault="00066C63">
            <w:pPr>
              <w:jc w:val="right"/>
              <w:rPr>
                <w:rFonts w:ascii="宋体"/>
              </w:rPr>
            </w:pPr>
          </w:p>
        </w:tc>
      </w:tr>
      <w:tr w:rsidR="00066C63" w14:paraId="669C709D" w14:textId="77777777">
        <w:trPr>
          <w:jc w:val="center"/>
        </w:trPr>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7097" w14:textId="77777777" w:rsidR="00066C63" w:rsidRDefault="009656F6">
            <w:pPr>
              <w:textAlignment w:val="bottom"/>
            </w:pPr>
            <w:r>
              <w:rPr>
                <w:rFonts w:ascii="Arial" w:eastAsia="宋体" w:hAnsi="Arial" w:cs="Arial"/>
                <w:color w:val="000000"/>
                <w:sz w:val="17"/>
                <w:szCs w:val="17"/>
              </w:rPr>
              <w:t>Europe, Middle East &amp; Africa</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7098" w14:textId="77777777" w:rsidR="00066C63" w:rsidRDefault="009656F6">
            <w:pPr>
              <w:jc w:val="right"/>
              <w:textAlignment w:val="bottom"/>
            </w:pPr>
            <w:r>
              <w:rPr>
                <w:rFonts w:ascii="Arial" w:eastAsia="宋体" w:hAnsi="Arial" w:cs="Arial"/>
                <w:color w:val="000000"/>
                <w:sz w:val="17"/>
                <w:szCs w:val="17"/>
              </w:rPr>
              <w:t>1,772 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7099" w14:textId="77777777" w:rsidR="00066C63" w:rsidRDefault="00066C63">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709A" w14:textId="77777777" w:rsidR="00066C63" w:rsidRDefault="00066C63">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09B" w14:textId="77777777" w:rsidR="00066C63" w:rsidRDefault="009656F6">
            <w:pPr>
              <w:jc w:val="right"/>
              <w:textAlignment w:val="bottom"/>
            </w:pPr>
            <w:r>
              <w:rPr>
                <w:rFonts w:ascii="Arial" w:eastAsia="宋体" w:hAnsi="Arial" w:cs="Arial"/>
                <w:color w:val="000000"/>
                <w:sz w:val="17"/>
                <w:szCs w:val="17"/>
              </w:rPr>
              <w:t>2,070 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09C" w14:textId="77777777" w:rsidR="00066C63" w:rsidRDefault="00066C63">
            <w:pPr>
              <w:jc w:val="right"/>
              <w:rPr>
                <w:rFonts w:ascii="宋体"/>
              </w:rPr>
            </w:pPr>
          </w:p>
        </w:tc>
      </w:tr>
      <w:tr w:rsidR="00066C63" w14:paraId="669C70A4" w14:textId="77777777">
        <w:trPr>
          <w:jc w:val="center"/>
        </w:trPr>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709E" w14:textId="77777777" w:rsidR="00066C63" w:rsidRDefault="009656F6">
            <w:pPr>
              <w:textAlignment w:val="bottom"/>
            </w:pPr>
            <w:r>
              <w:rPr>
                <w:rFonts w:ascii="Arial" w:eastAsia="宋体" w:hAnsi="Arial" w:cs="Arial"/>
                <w:color w:val="000000"/>
                <w:sz w:val="17"/>
                <w:szCs w:val="17"/>
              </w:rPr>
              <w:t>Greater China</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709F" w14:textId="77777777" w:rsidR="00066C63" w:rsidRDefault="009656F6">
            <w:pPr>
              <w:jc w:val="right"/>
              <w:textAlignment w:val="bottom"/>
            </w:pPr>
            <w:r>
              <w:rPr>
                <w:rFonts w:ascii="Arial" w:eastAsia="宋体" w:hAnsi="Arial" w:cs="Arial"/>
                <w:color w:val="000000"/>
                <w:sz w:val="17"/>
                <w:szCs w:val="17"/>
              </w:rPr>
              <w:t>1,136 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70A0" w14:textId="77777777" w:rsidR="00066C63" w:rsidRDefault="00066C63">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70A1" w14:textId="77777777" w:rsidR="00066C63" w:rsidRDefault="00066C63">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0A2" w14:textId="77777777" w:rsidR="00066C63" w:rsidRDefault="009656F6">
            <w:pPr>
              <w:jc w:val="right"/>
              <w:textAlignment w:val="bottom"/>
            </w:pPr>
            <w:r>
              <w:rPr>
                <w:rFonts w:ascii="Arial" w:eastAsia="宋体" w:hAnsi="Arial" w:cs="Arial"/>
                <w:color w:val="000000"/>
                <w:sz w:val="17"/>
                <w:szCs w:val="17"/>
              </w:rPr>
              <w:t>882 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0A3" w14:textId="77777777" w:rsidR="00066C63" w:rsidRDefault="00066C63">
            <w:pPr>
              <w:jc w:val="right"/>
              <w:rPr>
                <w:rFonts w:ascii="宋体"/>
              </w:rPr>
            </w:pPr>
          </w:p>
        </w:tc>
      </w:tr>
      <w:tr w:rsidR="00066C63" w14:paraId="669C70AB" w14:textId="77777777">
        <w:trPr>
          <w:jc w:val="center"/>
        </w:trPr>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70A5" w14:textId="77777777" w:rsidR="00066C63" w:rsidRDefault="009656F6">
            <w:pPr>
              <w:textAlignment w:val="bottom"/>
            </w:pPr>
            <w:r>
              <w:rPr>
                <w:rFonts w:ascii="Arial" w:eastAsia="宋体" w:hAnsi="Arial" w:cs="Arial"/>
                <w:color w:val="000000"/>
                <w:sz w:val="17"/>
                <w:szCs w:val="17"/>
              </w:rPr>
              <w:t>Asia Pacific &amp; Latin America</w:t>
            </w:r>
            <w:r>
              <w:rPr>
                <w:rFonts w:ascii="Arial" w:eastAsia="宋体" w:hAnsi="Arial" w:cs="Arial"/>
                <w:color w:val="000000"/>
                <w:sz w:val="11"/>
                <w:szCs w:val="11"/>
              </w:rPr>
              <w:t>(1)</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70A6" w14:textId="77777777" w:rsidR="00066C63" w:rsidRDefault="009656F6">
            <w:pPr>
              <w:jc w:val="right"/>
              <w:textAlignment w:val="bottom"/>
            </w:pPr>
            <w:r>
              <w:rPr>
                <w:rFonts w:ascii="Arial" w:eastAsia="宋体" w:hAnsi="Arial" w:cs="Arial"/>
                <w:color w:val="000000"/>
                <w:sz w:val="17"/>
                <w:szCs w:val="17"/>
              </w:rPr>
              <w:t>636 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70A7" w14:textId="77777777" w:rsidR="00066C63" w:rsidRDefault="00066C63">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70A8" w14:textId="77777777" w:rsidR="00066C63" w:rsidRDefault="00066C63">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0A9" w14:textId="77777777" w:rsidR="00066C63" w:rsidRDefault="009656F6">
            <w:pPr>
              <w:jc w:val="right"/>
              <w:textAlignment w:val="bottom"/>
            </w:pPr>
            <w:r>
              <w:rPr>
                <w:rFonts w:ascii="Arial" w:eastAsia="宋体" w:hAnsi="Arial" w:cs="Arial"/>
                <w:color w:val="000000"/>
                <w:sz w:val="17"/>
                <w:szCs w:val="17"/>
              </w:rPr>
              <w:t>770 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0AA" w14:textId="77777777" w:rsidR="00066C63" w:rsidRDefault="00066C63">
            <w:pPr>
              <w:jc w:val="right"/>
              <w:rPr>
                <w:rFonts w:ascii="宋体"/>
              </w:rPr>
            </w:pPr>
          </w:p>
        </w:tc>
      </w:tr>
      <w:tr w:rsidR="00066C63" w14:paraId="669C70B2" w14:textId="77777777">
        <w:trPr>
          <w:jc w:val="center"/>
        </w:trPr>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70AC" w14:textId="77777777" w:rsidR="00066C63" w:rsidRDefault="009656F6">
            <w:pPr>
              <w:textAlignment w:val="bottom"/>
            </w:pPr>
            <w:r>
              <w:rPr>
                <w:rFonts w:ascii="Arial" w:eastAsia="宋体" w:hAnsi="Arial" w:cs="Arial"/>
                <w:color w:val="000000"/>
                <w:sz w:val="17"/>
                <w:szCs w:val="17"/>
              </w:rPr>
              <w:t>Global Brand Divisions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70AD" w14:textId="77777777" w:rsidR="00066C63" w:rsidRDefault="009656F6">
            <w:pPr>
              <w:jc w:val="right"/>
              <w:textAlignment w:val="bottom"/>
            </w:pPr>
            <w:r>
              <w:rPr>
                <w:rFonts w:ascii="Arial" w:eastAsia="宋体" w:hAnsi="Arial" w:cs="Arial"/>
                <w:color w:val="000000"/>
                <w:sz w:val="17"/>
                <w:szCs w:val="17"/>
              </w:rPr>
              <w:t>134 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70AE" w14:textId="77777777" w:rsidR="00066C63" w:rsidRDefault="00066C63">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70AF" w14:textId="77777777" w:rsidR="00066C63" w:rsidRDefault="00066C63">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0B0" w14:textId="77777777" w:rsidR="00066C63" w:rsidRDefault="009656F6">
            <w:pPr>
              <w:jc w:val="right"/>
              <w:textAlignment w:val="bottom"/>
            </w:pPr>
            <w:r>
              <w:rPr>
                <w:rFonts w:ascii="Arial" w:eastAsia="宋体" w:hAnsi="Arial" w:cs="Arial"/>
                <w:color w:val="000000"/>
                <w:sz w:val="17"/>
                <w:szCs w:val="17"/>
              </w:rPr>
              <w:t>137 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0B1" w14:textId="77777777" w:rsidR="00066C63" w:rsidRDefault="00066C63">
            <w:pPr>
              <w:jc w:val="right"/>
              <w:rPr>
                <w:rFonts w:ascii="宋体"/>
              </w:rPr>
            </w:pPr>
          </w:p>
        </w:tc>
      </w:tr>
      <w:tr w:rsidR="00066C63" w14:paraId="669C70B9"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0B3" w14:textId="77777777" w:rsidR="00066C63" w:rsidRDefault="009656F6">
            <w:pPr>
              <w:textAlignment w:val="bottom"/>
            </w:pPr>
            <w:r>
              <w:rPr>
                <w:rFonts w:ascii="Arial" w:eastAsia="宋体" w:hAnsi="Arial" w:cs="Arial"/>
                <w:color w:val="000000"/>
                <w:sz w:val="17"/>
                <w:szCs w:val="17"/>
              </w:rPr>
              <w:t>Total NIKE Brand</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669C70B4" w14:textId="77777777" w:rsidR="00066C63" w:rsidRDefault="009656F6">
            <w:pPr>
              <w:jc w:val="right"/>
              <w:textAlignment w:val="bottom"/>
            </w:pPr>
            <w:r>
              <w:rPr>
                <w:rFonts w:ascii="Arial" w:eastAsia="宋体" w:hAnsi="Arial" w:cs="Arial"/>
                <w:color w:val="000000"/>
                <w:sz w:val="17"/>
                <w:szCs w:val="17"/>
              </w:rPr>
              <w:t>6,582 </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70B5" w14:textId="77777777" w:rsidR="00066C63" w:rsidRDefault="00066C63">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70B6" w14:textId="77777777" w:rsidR="00066C63" w:rsidRDefault="00066C63">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70B7" w14:textId="77777777" w:rsidR="00066C63" w:rsidRDefault="009656F6">
            <w:pPr>
              <w:jc w:val="right"/>
              <w:textAlignment w:val="bottom"/>
            </w:pPr>
            <w:r>
              <w:rPr>
                <w:rFonts w:ascii="Arial" w:eastAsia="宋体" w:hAnsi="Arial" w:cs="Arial"/>
                <w:color w:val="000000"/>
                <w:sz w:val="17"/>
                <w:szCs w:val="17"/>
              </w:rPr>
              <w:t>6,936 </w:t>
            </w:r>
          </w:p>
        </w:tc>
        <w:tc>
          <w:tcPr>
            <w:tcW w:w="0" w:type="auto"/>
            <w:tcBorders>
              <w:top w:val="single" w:sz="8" w:space="0" w:color="E87722"/>
            </w:tcBorders>
            <w:shd w:val="clear" w:color="auto" w:fill="auto"/>
            <w:tcMar>
              <w:top w:w="40" w:type="dxa"/>
              <w:left w:w="0" w:type="dxa"/>
              <w:bottom w:w="40" w:type="dxa"/>
              <w:right w:w="20" w:type="dxa"/>
            </w:tcMar>
            <w:vAlign w:val="bottom"/>
          </w:tcPr>
          <w:p w14:paraId="669C70B8" w14:textId="77777777" w:rsidR="00066C63" w:rsidRDefault="00066C63">
            <w:pPr>
              <w:jc w:val="right"/>
              <w:rPr>
                <w:rFonts w:ascii="宋体"/>
              </w:rPr>
            </w:pPr>
          </w:p>
        </w:tc>
      </w:tr>
      <w:tr w:rsidR="00066C63" w14:paraId="669C70C0" w14:textId="77777777">
        <w:trPr>
          <w:jc w:val="center"/>
        </w:trPr>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70BA" w14:textId="77777777" w:rsidR="00066C63" w:rsidRDefault="009656F6">
            <w:pPr>
              <w:textAlignment w:val="bottom"/>
            </w:pPr>
            <w:r>
              <w:rPr>
                <w:rFonts w:ascii="Arial" w:eastAsia="宋体" w:hAnsi="Arial" w:cs="Arial"/>
                <w:color w:val="000000"/>
                <w:sz w:val="17"/>
                <w:szCs w:val="17"/>
              </w:rPr>
              <w:t>Converse</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70BB" w14:textId="77777777" w:rsidR="00066C63" w:rsidRDefault="009656F6">
            <w:pPr>
              <w:jc w:val="right"/>
              <w:textAlignment w:val="bottom"/>
            </w:pPr>
            <w:r>
              <w:rPr>
                <w:rFonts w:ascii="Arial" w:eastAsia="宋体" w:hAnsi="Arial" w:cs="Arial"/>
                <w:color w:val="000000"/>
                <w:sz w:val="17"/>
                <w:szCs w:val="17"/>
              </w:rPr>
              <w:t>313 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70BC" w14:textId="77777777" w:rsidR="00066C63" w:rsidRDefault="00066C63">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70BD" w14:textId="77777777" w:rsidR="00066C63" w:rsidRDefault="00066C63">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0BE" w14:textId="77777777" w:rsidR="00066C63" w:rsidRDefault="009656F6">
            <w:pPr>
              <w:jc w:val="right"/>
              <w:textAlignment w:val="bottom"/>
            </w:pPr>
            <w:r>
              <w:rPr>
                <w:rFonts w:ascii="Arial" w:eastAsia="宋体" w:hAnsi="Arial" w:cs="Arial"/>
                <w:color w:val="000000"/>
                <w:sz w:val="17"/>
                <w:szCs w:val="17"/>
              </w:rPr>
              <w:t>341 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0BF" w14:textId="77777777" w:rsidR="00066C63" w:rsidRDefault="00066C63">
            <w:pPr>
              <w:jc w:val="right"/>
              <w:rPr>
                <w:rFonts w:ascii="宋体"/>
              </w:rPr>
            </w:pPr>
          </w:p>
        </w:tc>
      </w:tr>
      <w:tr w:rsidR="00066C63" w14:paraId="669C70C7" w14:textId="77777777">
        <w:trPr>
          <w:jc w:val="center"/>
        </w:trPr>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70C1" w14:textId="77777777" w:rsidR="00066C63" w:rsidRDefault="009656F6">
            <w:pPr>
              <w:textAlignment w:val="bottom"/>
            </w:pPr>
            <w:r>
              <w:rPr>
                <w:rFonts w:ascii="Arial" w:eastAsia="宋体" w:hAnsi="Arial" w:cs="Arial"/>
                <w:color w:val="000000"/>
                <w:sz w:val="17"/>
                <w:szCs w:val="17"/>
              </w:rPr>
              <w:t>Corporate</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70C2" w14:textId="77777777" w:rsidR="00066C63" w:rsidRDefault="009656F6">
            <w:pPr>
              <w:jc w:val="right"/>
              <w:textAlignment w:val="bottom"/>
            </w:pPr>
            <w:r>
              <w:rPr>
                <w:rFonts w:ascii="Arial" w:eastAsia="宋体" w:hAnsi="Arial" w:cs="Arial"/>
                <w:color w:val="000000"/>
                <w:sz w:val="17"/>
                <w:szCs w:val="17"/>
              </w:rPr>
              <w:t>(202)</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70C3" w14:textId="77777777" w:rsidR="00066C63" w:rsidRDefault="00066C63">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70C4" w14:textId="77777777" w:rsidR="00066C63" w:rsidRDefault="00066C63">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0C5" w14:textId="77777777" w:rsidR="00066C63" w:rsidRDefault="009656F6">
            <w:pPr>
              <w:jc w:val="right"/>
              <w:textAlignment w:val="bottom"/>
            </w:pPr>
            <w:r>
              <w:rPr>
                <w:rFonts w:ascii="Arial" w:eastAsia="宋体" w:hAnsi="Arial" w:cs="Arial"/>
                <w:color w:val="000000"/>
                <w:sz w:val="17"/>
                <w:szCs w:val="17"/>
              </w:rPr>
              <w:t>90 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0C6" w14:textId="77777777" w:rsidR="00066C63" w:rsidRDefault="00066C63">
            <w:pPr>
              <w:jc w:val="right"/>
              <w:rPr>
                <w:rFonts w:ascii="宋体"/>
              </w:rPr>
            </w:pPr>
          </w:p>
        </w:tc>
      </w:tr>
      <w:tr w:rsidR="00066C63" w14:paraId="669C70D0" w14:textId="77777777">
        <w:trPr>
          <w:jc w:val="center"/>
        </w:trPr>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669C70C8" w14:textId="77777777" w:rsidR="00066C63" w:rsidRDefault="009656F6">
            <w:pPr>
              <w:textAlignment w:val="bottom"/>
            </w:pPr>
            <w:r>
              <w:rPr>
                <w:rFonts w:ascii="Arial" w:eastAsia="宋体" w:hAnsi="Arial" w:cs="Arial"/>
                <w:b/>
                <w:bCs/>
                <w:color w:val="000000"/>
                <w:sz w:val="17"/>
                <w:szCs w:val="17"/>
              </w:rPr>
              <w:t>TOTAL INVENTORIES</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69C70C9"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669C70CA" w14:textId="77777777" w:rsidR="00066C63" w:rsidRDefault="009656F6">
            <w:pPr>
              <w:jc w:val="right"/>
              <w:textAlignment w:val="bottom"/>
            </w:pPr>
            <w:r>
              <w:rPr>
                <w:rFonts w:ascii="Arial" w:eastAsia="宋体" w:hAnsi="Arial" w:cs="Arial"/>
                <w:b/>
                <w:bCs/>
                <w:color w:val="000000"/>
                <w:sz w:val="17"/>
                <w:szCs w:val="17"/>
              </w:rPr>
              <w:t>6,693</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69C70CB" w14:textId="77777777" w:rsidR="00066C63" w:rsidRDefault="00066C63">
            <w:pPr>
              <w:jc w:val="right"/>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tcPr>
          <w:p w14:paraId="669C70CC" w14:textId="77777777" w:rsidR="00066C63" w:rsidRDefault="00066C63">
            <w:pPr>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69C70CD"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69C70CE" w14:textId="77777777" w:rsidR="00066C63" w:rsidRDefault="009656F6">
            <w:pPr>
              <w:jc w:val="right"/>
              <w:textAlignment w:val="bottom"/>
            </w:pPr>
            <w:r>
              <w:rPr>
                <w:rFonts w:ascii="Arial" w:eastAsia="宋体" w:hAnsi="Arial" w:cs="Arial"/>
                <w:b/>
                <w:bCs/>
                <w:color w:val="000000"/>
                <w:sz w:val="17"/>
                <w:szCs w:val="17"/>
              </w:rPr>
              <w:t>7,367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69C70CF" w14:textId="77777777" w:rsidR="00066C63" w:rsidRDefault="00066C63">
            <w:pPr>
              <w:jc w:val="right"/>
              <w:rPr>
                <w:rFonts w:ascii="宋体"/>
              </w:rPr>
            </w:pPr>
          </w:p>
        </w:tc>
      </w:tr>
    </w:tbl>
    <w:p w14:paraId="669C70D1" w14:textId="77777777" w:rsidR="00066C63" w:rsidRDefault="009656F6">
      <w:pPr>
        <w:spacing w:before="120" w:after="120"/>
      </w:pPr>
      <w:r>
        <w:rPr>
          <w:rFonts w:ascii="Arial" w:eastAsia="宋体" w:hAnsi="Arial" w:cs="Arial"/>
          <w:color w:val="E87722"/>
          <w:sz w:val="17"/>
          <w:szCs w:val="17"/>
        </w:rPr>
        <w:t>22</w:t>
      </w:r>
      <w:r>
        <w:rPr>
          <w:rFonts w:ascii="sans-serif" w:eastAsia="sans-serif" w:hAnsi="sans-serif" w:cs="sans-serif"/>
          <w:color w:val="000000"/>
          <w:sz w:val="17"/>
          <w:szCs w:val="17"/>
        </w:rPr>
        <w:t xml:space="preserve"> </w:t>
      </w:r>
    </w:p>
    <w:p w14:paraId="669C70D2" w14:textId="77777777" w:rsidR="00066C63" w:rsidRDefault="009656F6">
      <w:r>
        <w:pict w14:anchorId="669C7E46">
          <v:rect id="_x0000_i1048" style="width:415.3pt;height:1.5pt" o:hralign="center" o:hrstd="t" o:hr="t" fillcolor="#a0a0a0" stroked="f"/>
        </w:pict>
      </w:r>
    </w:p>
    <w:p w14:paraId="669C70D3" w14:textId="77777777" w:rsidR="00066C63" w:rsidRDefault="00066C63"/>
    <w:p w14:paraId="669C70D4" w14:textId="77777777" w:rsidR="00066C63" w:rsidRDefault="009656F6">
      <w:hyperlink r:id="rId93" w:anchor="i1e99cb26debe49fe8b698d0f0eb1273a_7" w:history="1">
        <w:r>
          <w:rPr>
            <w:rStyle w:val="a5"/>
            <w:rFonts w:ascii="sans-serif" w:eastAsia="sans-serif" w:hAnsi="sans-serif" w:cs="sans-serif"/>
            <w:sz w:val="17"/>
            <w:szCs w:val="17"/>
          </w:rPr>
          <w:t>Table of Contents</w:t>
        </w:r>
      </w:hyperlink>
    </w:p>
    <w:p w14:paraId="669C70D5" w14:textId="77777777" w:rsidR="00066C63" w:rsidRDefault="00066C63"/>
    <w:tbl>
      <w:tblPr>
        <w:tblW w:w="5000" w:type="pct"/>
        <w:jc w:val="center"/>
        <w:tblCellMar>
          <w:top w:w="15" w:type="dxa"/>
          <w:left w:w="15" w:type="dxa"/>
          <w:bottom w:w="15" w:type="dxa"/>
          <w:right w:w="15" w:type="dxa"/>
        </w:tblCellMar>
        <w:tblLook w:val="04A0" w:firstRow="1" w:lastRow="0" w:firstColumn="1" w:lastColumn="0" w:noHBand="0" w:noVBand="1"/>
      </w:tblPr>
      <w:tblGrid>
        <w:gridCol w:w="42"/>
        <w:gridCol w:w="5387"/>
        <w:gridCol w:w="37"/>
        <w:gridCol w:w="116"/>
        <w:gridCol w:w="1244"/>
        <w:gridCol w:w="36"/>
        <w:gridCol w:w="36"/>
        <w:gridCol w:w="36"/>
        <w:gridCol w:w="36"/>
        <w:gridCol w:w="115"/>
        <w:gridCol w:w="1215"/>
        <w:gridCol w:w="36"/>
      </w:tblGrid>
      <w:tr w:rsidR="00066C63" w14:paraId="669C70E2" w14:textId="77777777">
        <w:trPr>
          <w:jc w:val="center"/>
        </w:trPr>
        <w:tc>
          <w:tcPr>
            <w:tcW w:w="50" w:type="pct"/>
            <w:shd w:val="clear" w:color="auto" w:fill="auto"/>
          </w:tcPr>
          <w:p w14:paraId="669C70D6" w14:textId="77777777" w:rsidR="00066C63" w:rsidRDefault="00066C63">
            <w:pPr>
              <w:rPr>
                <w:rFonts w:ascii="宋体"/>
              </w:rPr>
            </w:pPr>
          </w:p>
        </w:tc>
        <w:tc>
          <w:tcPr>
            <w:tcW w:w="3255" w:type="pct"/>
            <w:shd w:val="clear" w:color="auto" w:fill="auto"/>
          </w:tcPr>
          <w:p w14:paraId="669C70D7" w14:textId="77777777" w:rsidR="00066C63" w:rsidRDefault="00066C63">
            <w:pPr>
              <w:rPr>
                <w:rFonts w:ascii="宋体"/>
              </w:rPr>
            </w:pPr>
          </w:p>
        </w:tc>
        <w:tc>
          <w:tcPr>
            <w:tcW w:w="5" w:type="pct"/>
            <w:shd w:val="clear" w:color="auto" w:fill="auto"/>
          </w:tcPr>
          <w:p w14:paraId="669C70D8" w14:textId="77777777" w:rsidR="00066C63" w:rsidRDefault="00066C63">
            <w:pPr>
              <w:rPr>
                <w:rFonts w:ascii="宋体"/>
              </w:rPr>
            </w:pPr>
          </w:p>
        </w:tc>
        <w:tc>
          <w:tcPr>
            <w:tcW w:w="50" w:type="pct"/>
            <w:shd w:val="clear" w:color="auto" w:fill="auto"/>
          </w:tcPr>
          <w:p w14:paraId="669C70D9" w14:textId="77777777" w:rsidR="00066C63" w:rsidRDefault="00066C63">
            <w:pPr>
              <w:rPr>
                <w:rFonts w:ascii="宋体"/>
              </w:rPr>
            </w:pPr>
          </w:p>
        </w:tc>
        <w:tc>
          <w:tcPr>
            <w:tcW w:w="770" w:type="pct"/>
            <w:shd w:val="clear" w:color="auto" w:fill="auto"/>
          </w:tcPr>
          <w:p w14:paraId="669C70DA" w14:textId="77777777" w:rsidR="00066C63" w:rsidRDefault="00066C63">
            <w:pPr>
              <w:rPr>
                <w:rFonts w:ascii="宋体"/>
              </w:rPr>
            </w:pPr>
          </w:p>
        </w:tc>
        <w:tc>
          <w:tcPr>
            <w:tcW w:w="5" w:type="pct"/>
            <w:shd w:val="clear" w:color="auto" w:fill="auto"/>
          </w:tcPr>
          <w:p w14:paraId="669C70DB" w14:textId="77777777" w:rsidR="00066C63" w:rsidRDefault="00066C63">
            <w:pPr>
              <w:rPr>
                <w:rFonts w:ascii="宋体"/>
              </w:rPr>
            </w:pPr>
          </w:p>
        </w:tc>
        <w:tc>
          <w:tcPr>
            <w:tcW w:w="5" w:type="pct"/>
            <w:shd w:val="clear" w:color="auto" w:fill="auto"/>
          </w:tcPr>
          <w:p w14:paraId="669C70DC" w14:textId="77777777" w:rsidR="00066C63" w:rsidRDefault="00066C63">
            <w:pPr>
              <w:rPr>
                <w:rFonts w:ascii="宋体"/>
              </w:rPr>
            </w:pPr>
          </w:p>
        </w:tc>
        <w:tc>
          <w:tcPr>
            <w:tcW w:w="28" w:type="pct"/>
            <w:shd w:val="clear" w:color="auto" w:fill="auto"/>
          </w:tcPr>
          <w:p w14:paraId="669C70DD" w14:textId="77777777" w:rsidR="00066C63" w:rsidRDefault="00066C63">
            <w:pPr>
              <w:rPr>
                <w:rFonts w:ascii="宋体"/>
              </w:rPr>
            </w:pPr>
          </w:p>
        </w:tc>
        <w:tc>
          <w:tcPr>
            <w:tcW w:w="5" w:type="pct"/>
            <w:shd w:val="clear" w:color="auto" w:fill="auto"/>
          </w:tcPr>
          <w:p w14:paraId="669C70DE" w14:textId="77777777" w:rsidR="00066C63" w:rsidRDefault="00066C63">
            <w:pPr>
              <w:rPr>
                <w:rFonts w:ascii="宋体"/>
              </w:rPr>
            </w:pPr>
          </w:p>
        </w:tc>
        <w:tc>
          <w:tcPr>
            <w:tcW w:w="50" w:type="pct"/>
            <w:shd w:val="clear" w:color="auto" w:fill="auto"/>
          </w:tcPr>
          <w:p w14:paraId="669C70DF" w14:textId="77777777" w:rsidR="00066C63" w:rsidRDefault="00066C63">
            <w:pPr>
              <w:rPr>
                <w:rFonts w:ascii="宋体"/>
              </w:rPr>
            </w:pPr>
          </w:p>
        </w:tc>
        <w:tc>
          <w:tcPr>
            <w:tcW w:w="770" w:type="pct"/>
            <w:shd w:val="clear" w:color="auto" w:fill="auto"/>
          </w:tcPr>
          <w:p w14:paraId="669C70E0" w14:textId="77777777" w:rsidR="00066C63" w:rsidRDefault="00066C63">
            <w:pPr>
              <w:rPr>
                <w:rFonts w:ascii="宋体"/>
              </w:rPr>
            </w:pPr>
          </w:p>
        </w:tc>
        <w:tc>
          <w:tcPr>
            <w:tcW w:w="5" w:type="pct"/>
            <w:shd w:val="clear" w:color="auto" w:fill="auto"/>
          </w:tcPr>
          <w:p w14:paraId="669C70E1" w14:textId="77777777" w:rsidR="00066C63" w:rsidRDefault="00066C63">
            <w:pPr>
              <w:rPr>
                <w:rFonts w:ascii="宋体"/>
              </w:rPr>
            </w:pPr>
          </w:p>
        </w:tc>
      </w:tr>
      <w:tr w:rsidR="00066C63" w14:paraId="669C70E7" w14:textId="77777777">
        <w:trPr>
          <w:jc w:val="center"/>
        </w:trPr>
        <w:tc>
          <w:tcPr>
            <w:tcW w:w="0" w:type="auto"/>
            <w:gridSpan w:val="3"/>
            <w:shd w:val="clear" w:color="auto" w:fill="auto"/>
            <w:tcMar>
              <w:top w:w="0" w:type="dxa"/>
              <w:left w:w="20" w:type="dxa"/>
              <w:bottom w:w="0" w:type="dxa"/>
              <w:right w:w="20" w:type="dxa"/>
            </w:tcMar>
          </w:tcPr>
          <w:p w14:paraId="669C70E3" w14:textId="77777777" w:rsidR="00066C63" w:rsidRDefault="00066C63">
            <w:pPr>
              <w:rPr>
                <w:rFonts w:ascii="宋体"/>
              </w:rPr>
            </w:pPr>
          </w:p>
        </w:tc>
        <w:tc>
          <w:tcPr>
            <w:tcW w:w="0" w:type="auto"/>
            <w:gridSpan w:val="3"/>
            <w:shd w:val="clear" w:color="auto" w:fill="auto"/>
            <w:tcMar>
              <w:top w:w="40" w:type="dxa"/>
              <w:left w:w="20" w:type="dxa"/>
              <w:bottom w:w="40" w:type="dxa"/>
              <w:right w:w="20" w:type="dxa"/>
            </w:tcMar>
            <w:vAlign w:val="bottom"/>
          </w:tcPr>
          <w:p w14:paraId="669C70E4" w14:textId="77777777" w:rsidR="00066C63" w:rsidRDefault="009656F6">
            <w:pPr>
              <w:jc w:val="center"/>
              <w:textAlignment w:val="bottom"/>
            </w:pPr>
            <w:r>
              <w:rPr>
                <w:rFonts w:ascii="sans-serif" w:eastAsia="sans-serif" w:hAnsi="sans-serif" w:cs="sans-serif"/>
                <w:b/>
                <w:bCs/>
                <w:color w:val="000000"/>
                <w:sz w:val="17"/>
                <w:szCs w:val="17"/>
              </w:rPr>
              <w:t>FEBRUARY 28,</w:t>
            </w:r>
          </w:p>
        </w:tc>
        <w:tc>
          <w:tcPr>
            <w:tcW w:w="0" w:type="auto"/>
            <w:gridSpan w:val="3"/>
            <w:shd w:val="clear" w:color="auto" w:fill="auto"/>
            <w:tcMar>
              <w:top w:w="0" w:type="dxa"/>
              <w:left w:w="20" w:type="dxa"/>
              <w:bottom w:w="0" w:type="dxa"/>
              <w:right w:w="20" w:type="dxa"/>
            </w:tcMar>
          </w:tcPr>
          <w:p w14:paraId="669C70E5" w14:textId="77777777" w:rsidR="00066C63" w:rsidRDefault="00066C63">
            <w:pPr>
              <w:rPr>
                <w:rFonts w:ascii="宋体"/>
              </w:rPr>
            </w:pPr>
          </w:p>
        </w:tc>
        <w:tc>
          <w:tcPr>
            <w:tcW w:w="0" w:type="auto"/>
            <w:gridSpan w:val="3"/>
            <w:shd w:val="clear" w:color="auto" w:fill="auto"/>
            <w:tcMar>
              <w:top w:w="40" w:type="dxa"/>
              <w:left w:w="20" w:type="dxa"/>
              <w:bottom w:w="40" w:type="dxa"/>
              <w:right w:w="20" w:type="dxa"/>
            </w:tcMar>
            <w:vAlign w:val="bottom"/>
          </w:tcPr>
          <w:p w14:paraId="669C70E6" w14:textId="77777777" w:rsidR="00066C63" w:rsidRDefault="009656F6">
            <w:pPr>
              <w:jc w:val="center"/>
              <w:textAlignment w:val="bottom"/>
            </w:pPr>
            <w:r>
              <w:rPr>
                <w:rFonts w:ascii="sans-serif" w:eastAsia="sans-serif" w:hAnsi="sans-serif" w:cs="sans-serif"/>
                <w:b/>
                <w:bCs/>
                <w:color w:val="000000"/>
                <w:sz w:val="17"/>
                <w:szCs w:val="17"/>
              </w:rPr>
              <w:t>MAY 31,</w:t>
            </w:r>
          </w:p>
        </w:tc>
      </w:tr>
      <w:tr w:rsidR="00066C63" w14:paraId="669C70EC" w14:textId="77777777">
        <w:trPr>
          <w:jc w:val="center"/>
        </w:trPr>
        <w:tc>
          <w:tcPr>
            <w:tcW w:w="0" w:type="auto"/>
            <w:gridSpan w:val="3"/>
            <w:shd w:val="clear" w:color="auto" w:fill="auto"/>
            <w:tcMar>
              <w:top w:w="40" w:type="dxa"/>
              <w:left w:w="20" w:type="dxa"/>
              <w:bottom w:w="40" w:type="dxa"/>
              <w:right w:w="20" w:type="dxa"/>
            </w:tcMar>
            <w:vAlign w:val="bottom"/>
          </w:tcPr>
          <w:p w14:paraId="669C70E8" w14:textId="77777777" w:rsidR="00066C63" w:rsidRDefault="009656F6">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0E9" w14:textId="77777777" w:rsidR="00066C63" w:rsidRDefault="009656F6">
            <w:pPr>
              <w:jc w:val="center"/>
              <w:textAlignment w:val="bottom"/>
            </w:pPr>
            <w:r>
              <w:rPr>
                <w:rFonts w:ascii="sans-serif" w:eastAsia="sans-serif" w:hAnsi="sans-serif" w:cs="sans-serif"/>
                <w:b/>
                <w:bCs/>
                <w:color w:val="000000"/>
                <w:sz w:val="17"/>
                <w:szCs w:val="17"/>
              </w:rPr>
              <w:t>2021</w:t>
            </w:r>
          </w:p>
        </w:tc>
        <w:tc>
          <w:tcPr>
            <w:tcW w:w="0" w:type="auto"/>
            <w:gridSpan w:val="3"/>
            <w:shd w:val="clear" w:color="auto" w:fill="auto"/>
            <w:tcMar>
              <w:top w:w="0" w:type="dxa"/>
              <w:left w:w="20" w:type="dxa"/>
              <w:bottom w:w="0" w:type="dxa"/>
              <w:right w:w="20" w:type="dxa"/>
            </w:tcMar>
          </w:tcPr>
          <w:p w14:paraId="669C70EA" w14:textId="77777777" w:rsidR="00066C63" w:rsidRDefault="00066C63">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0EB" w14:textId="77777777" w:rsidR="00066C63" w:rsidRDefault="009656F6">
            <w:pPr>
              <w:jc w:val="center"/>
              <w:textAlignment w:val="bottom"/>
            </w:pPr>
            <w:r>
              <w:rPr>
                <w:rFonts w:ascii="sans-serif" w:eastAsia="sans-serif" w:hAnsi="sans-serif" w:cs="sans-serif"/>
                <w:b/>
                <w:bCs/>
                <w:color w:val="000000"/>
                <w:sz w:val="17"/>
                <w:szCs w:val="17"/>
              </w:rPr>
              <w:t>2020</w:t>
            </w:r>
          </w:p>
        </w:tc>
      </w:tr>
      <w:tr w:rsidR="00066C63" w14:paraId="669C70F1"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0ED" w14:textId="77777777" w:rsidR="00066C63" w:rsidRDefault="009656F6">
            <w:pPr>
              <w:textAlignment w:val="bottom"/>
            </w:pPr>
            <w:r>
              <w:rPr>
                <w:rFonts w:ascii="Arial" w:eastAsia="宋体" w:hAnsi="Arial" w:cs="Arial"/>
                <w:b/>
                <w:bCs/>
                <w:color w:val="000000"/>
                <w:sz w:val="17"/>
                <w:szCs w:val="17"/>
              </w:rPr>
              <w:t>PROPERTY, PLANT AND EQUIPMENT, NET</w:t>
            </w:r>
          </w:p>
        </w:tc>
        <w:tc>
          <w:tcPr>
            <w:tcW w:w="0" w:type="auto"/>
            <w:gridSpan w:val="3"/>
            <w:tcBorders>
              <w:top w:val="single" w:sz="8" w:space="0" w:color="E87722"/>
            </w:tcBorders>
            <w:shd w:val="clear" w:color="auto" w:fill="FFF1E7"/>
            <w:tcMar>
              <w:top w:w="0" w:type="dxa"/>
              <w:left w:w="20" w:type="dxa"/>
              <w:bottom w:w="0" w:type="dxa"/>
              <w:right w:w="20" w:type="dxa"/>
            </w:tcMar>
          </w:tcPr>
          <w:p w14:paraId="669C70EE"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70EF"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70F0" w14:textId="77777777" w:rsidR="00066C63" w:rsidRDefault="00066C63">
            <w:pPr>
              <w:rPr>
                <w:rFonts w:ascii="宋体"/>
              </w:rPr>
            </w:pPr>
          </w:p>
        </w:tc>
      </w:tr>
      <w:tr w:rsidR="00066C63" w14:paraId="669C70FA" w14:textId="77777777">
        <w:trPr>
          <w:jc w:val="center"/>
        </w:trPr>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70F2" w14:textId="77777777" w:rsidR="00066C63" w:rsidRDefault="009656F6">
            <w:pPr>
              <w:textAlignment w:val="bottom"/>
            </w:pPr>
            <w:r>
              <w:rPr>
                <w:rFonts w:ascii="Arial" w:eastAsia="宋体" w:hAnsi="Arial" w:cs="Arial"/>
                <w:color w:val="000000"/>
                <w:sz w:val="17"/>
                <w:szCs w:val="17"/>
              </w:rPr>
              <w:t>North America</w:t>
            </w:r>
          </w:p>
        </w:tc>
        <w:tc>
          <w:tcPr>
            <w:tcW w:w="0" w:type="auto"/>
            <w:tcBorders>
              <w:top w:val="single" w:sz="8" w:space="0" w:color="808080"/>
            </w:tcBorders>
            <w:shd w:val="clear" w:color="auto" w:fill="FFF1E7"/>
            <w:tcMar>
              <w:top w:w="40" w:type="dxa"/>
              <w:left w:w="20" w:type="dxa"/>
              <w:bottom w:w="40" w:type="dxa"/>
              <w:right w:w="0" w:type="dxa"/>
            </w:tcMar>
            <w:vAlign w:val="bottom"/>
          </w:tcPr>
          <w:p w14:paraId="669C70F3"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669C70F4" w14:textId="77777777" w:rsidR="00066C63" w:rsidRDefault="009656F6">
            <w:pPr>
              <w:jc w:val="right"/>
              <w:textAlignment w:val="bottom"/>
            </w:pPr>
            <w:r>
              <w:rPr>
                <w:rFonts w:ascii="Arial" w:eastAsia="宋体" w:hAnsi="Arial" w:cs="Arial"/>
                <w:color w:val="000000"/>
                <w:sz w:val="17"/>
                <w:szCs w:val="17"/>
              </w:rPr>
              <w:t>621 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70F5" w14:textId="77777777" w:rsidR="00066C63" w:rsidRDefault="00066C63">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70F6" w14:textId="77777777" w:rsidR="00066C63" w:rsidRDefault="00066C63">
            <w:pPr>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669C70F7"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669C70F8" w14:textId="77777777" w:rsidR="00066C63" w:rsidRDefault="009656F6">
            <w:pPr>
              <w:jc w:val="right"/>
              <w:textAlignment w:val="bottom"/>
            </w:pPr>
            <w:r>
              <w:rPr>
                <w:rFonts w:ascii="Arial" w:eastAsia="宋体" w:hAnsi="Arial" w:cs="Arial"/>
                <w:color w:val="000000"/>
                <w:sz w:val="17"/>
                <w:szCs w:val="17"/>
              </w:rPr>
              <w:t>645 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0F9" w14:textId="77777777" w:rsidR="00066C63" w:rsidRDefault="00066C63">
            <w:pPr>
              <w:jc w:val="right"/>
              <w:rPr>
                <w:rFonts w:ascii="宋体"/>
              </w:rPr>
            </w:pPr>
          </w:p>
        </w:tc>
      </w:tr>
      <w:tr w:rsidR="00066C63" w14:paraId="669C7101" w14:textId="77777777">
        <w:trPr>
          <w:jc w:val="center"/>
        </w:trPr>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70FB" w14:textId="77777777" w:rsidR="00066C63" w:rsidRDefault="009656F6">
            <w:pPr>
              <w:textAlignment w:val="bottom"/>
            </w:pPr>
            <w:r>
              <w:rPr>
                <w:rFonts w:ascii="Arial" w:eastAsia="宋体" w:hAnsi="Arial" w:cs="Arial"/>
                <w:color w:val="000000"/>
                <w:sz w:val="17"/>
                <w:szCs w:val="17"/>
              </w:rPr>
              <w:t>Europe, Middle East &amp; Africa</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70FC" w14:textId="77777777" w:rsidR="00066C63" w:rsidRDefault="009656F6">
            <w:pPr>
              <w:jc w:val="right"/>
              <w:textAlignment w:val="bottom"/>
            </w:pPr>
            <w:r>
              <w:rPr>
                <w:rFonts w:ascii="Arial" w:eastAsia="宋体" w:hAnsi="Arial" w:cs="Arial"/>
                <w:color w:val="000000"/>
                <w:sz w:val="17"/>
                <w:szCs w:val="17"/>
              </w:rPr>
              <w:t>947 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70FD" w14:textId="77777777" w:rsidR="00066C63" w:rsidRDefault="00066C63">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70FE" w14:textId="77777777" w:rsidR="00066C63" w:rsidRDefault="00066C63">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0FF" w14:textId="77777777" w:rsidR="00066C63" w:rsidRDefault="009656F6">
            <w:pPr>
              <w:jc w:val="right"/>
              <w:textAlignment w:val="bottom"/>
            </w:pPr>
            <w:r>
              <w:rPr>
                <w:rFonts w:ascii="Arial" w:eastAsia="宋体" w:hAnsi="Arial" w:cs="Arial"/>
                <w:color w:val="000000"/>
                <w:sz w:val="17"/>
                <w:szCs w:val="17"/>
              </w:rPr>
              <w:t>885 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100" w14:textId="77777777" w:rsidR="00066C63" w:rsidRDefault="00066C63">
            <w:pPr>
              <w:jc w:val="right"/>
              <w:rPr>
                <w:rFonts w:ascii="宋体"/>
              </w:rPr>
            </w:pPr>
          </w:p>
        </w:tc>
      </w:tr>
      <w:tr w:rsidR="00066C63" w14:paraId="669C7108" w14:textId="77777777">
        <w:trPr>
          <w:jc w:val="center"/>
        </w:trPr>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7102" w14:textId="77777777" w:rsidR="00066C63" w:rsidRDefault="009656F6">
            <w:pPr>
              <w:textAlignment w:val="bottom"/>
            </w:pPr>
            <w:r>
              <w:rPr>
                <w:rFonts w:ascii="Arial" w:eastAsia="宋体" w:hAnsi="Arial" w:cs="Arial"/>
                <w:color w:val="000000"/>
                <w:sz w:val="17"/>
                <w:szCs w:val="17"/>
              </w:rPr>
              <w:t>Greater China</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7103" w14:textId="77777777" w:rsidR="00066C63" w:rsidRDefault="009656F6">
            <w:pPr>
              <w:jc w:val="right"/>
              <w:textAlignment w:val="bottom"/>
            </w:pPr>
            <w:r>
              <w:rPr>
                <w:rFonts w:ascii="Arial" w:eastAsia="宋体" w:hAnsi="Arial" w:cs="Arial"/>
                <w:color w:val="000000"/>
                <w:sz w:val="17"/>
                <w:szCs w:val="17"/>
              </w:rPr>
              <w:t>258 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7104" w14:textId="77777777" w:rsidR="00066C63" w:rsidRDefault="00066C63">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7105" w14:textId="77777777" w:rsidR="00066C63" w:rsidRDefault="00066C63">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106" w14:textId="77777777" w:rsidR="00066C63" w:rsidRDefault="009656F6">
            <w:pPr>
              <w:jc w:val="right"/>
              <w:textAlignment w:val="bottom"/>
            </w:pPr>
            <w:r>
              <w:rPr>
                <w:rFonts w:ascii="Arial" w:eastAsia="宋体" w:hAnsi="Arial" w:cs="Arial"/>
                <w:color w:val="000000"/>
                <w:sz w:val="17"/>
                <w:szCs w:val="17"/>
              </w:rPr>
              <w:t>214 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107" w14:textId="77777777" w:rsidR="00066C63" w:rsidRDefault="00066C63">
            <w:pPr>
              <w:jc w:val="right"/>
              <w:rPr>
                <w:rFonts w:ascii="宋体"/>
              </w:rPr>
            </w:pPr>
          </w:p>
        </w:tc>
      </w:tr>
      <w:tr w:rsidR="00066C63" w14:paraId="669C710F" w14:textId="77777777">
        <w:trPr>
          <w:jc w:val="center"/>
        </w:trPr>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7109" w14:textId="77777777" w:rsidR="00066C63" w:rsidRDefault="009656F6">
            <w:pPr>
              <w:textAlignment w:val="bottom"/>
            </w:pPr>
            <w:r>
              <w:rPr>
                <w:rFonts w:ascii="Arial" w:eastAsia="宋体" w:hAnsi="Arial" w:cs="Arial"/>
                <w:color w:val="000000"/>
                <w:sz w:val="17"/>
                <w:szCs w:val="17"/>
              </w:rPr>
              <w:t>Asia Pacific &amp; Latin America</w:t>
            </w:r>
            <w:r>
              <w:rPr>
                <w:rFonts w:ascii="Arial" w:eastAsia="宋体" w:hAnsi="Arial" w:cs="Arial"/>
                <w:color w:val="000000"/>
                <w:sz w:val="11"/>
                <w:szCs w:val="11"/>
              </w:rPr>
              <w:t>(1)</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710A" w14:textId="77777777" w:rsidR="00066C63" w:rsidRDefault="009656F6">
            <w:pPr>
              <w:jc w:val="right"/>
              <w:textAlignment w:val="bottom"/>
            </w:pPr>
            <w:r>
              <w:rPr>
                <w:rFonts w:ascii="Arial" w:eastAsia="宋体" w:hAnsi="Arial" w:cs="Arial"/>
                <w:color w:val="000000"/>
                <w:sz w:val="17"/>
                <w:szCs w:val="17"/>
              </w:rPr>
              <w:t>312 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710B" w14:textId="77777777" w:rsidR="00066C63" w:rsidRDefault="00066C63">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710C" w14:textId="77777777" w:rsidR="00066C63" w:rsidRDefault="00066C63">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10D" w14:textId="77777777" w:rsidR="00066C63" w:rsidRDefault="009656F6">
            <w:pPr>
              <w:jc w:val="right"/>
              <w:textAlignment w:val="bottom"/>
            </w:pPr>
            <w:r>
              <w:rPr>
                <w:rFonts w:ascii="Arial" w:eastAsia="宋体" w:hAnsi="Arial" w:cs="Arial"/>
                <w:color w:val="000000"/>
                <w:sz w:val="17"/>
                <w:szCs w:val="17"/>
              </w:rPr>
              <w:t>296 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10E" w14:textId="77777777" w:rsidR="00066C63" w:rsidRDefault="00066C63">
            <w:pPr>
              <w:jc w:val="right"/>
              <w:rPr>
                <w:rFonts w:ascii="宋体"/>
              </w:rPr>
            </w:pPr>
          </w:p>
        </w:tc>
      </w:tr>
      <w:tr w:rsidR="00066C63" w14:paraId="669C7116" w14:textId="77777777">
        <w:trPr>
          <w:jc w:val="center"/>
        </w:trPr>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7110" w14:textId="77777777" w:rsidR="00066C63" w:rsidRDefault="009656F6">
            <w:pPr>
              <w:textAlignment w:val="bottom"/>
            </w:pPr>
            <w:r>
              <w:rPr>
                <w:rFonts w:ascii="Arial" w:eastAsia="宋体" w:hAnsi="Arial" w:cs="Arial"/>
                <w:color w:val="000000"/>
                <w:sz w:val="17"/>
                <w:szCs w:val="17"/>
              </w:rPr>
              <w:t>Global Brand Divisions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7111" w14:textId="77777777" w:rsidR="00066C63" w:rsidRDefault="009656F6">
            <w:pPr>
              <w:jc w:val="right"/>
              <w:textAlignment w:val="bottom"/>
            </w:pPr>
            <w:r>
              <w:rPr>
                <w:rFonts w:ascii="Arial" w:eastAsia="宋体" w:hAnsi="Arial" w:cs="Arial"/>
                <w:color w:val="000000"/>
                <w:sz w:val="17"/>
                <w:szCs w:val="17"/>
              </w:rPr>
              <w:t>884 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7112" w14:textId="77777777" w:rsidR="00066C63" w:rsidRDefault="00066C63">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7113" w14:textId="77777777" w:rsidR="00066C63" w:rsidRDefault="00066C63">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114" w14:textId="77777777" w:rsidR="00066C63" w:rsidRDefault="009656F6">
            <w:pPr>
              <w:jc w:val="right"/>
              <w:textAlignment w:val="bottom"/>
            </w:pPr>
            <w:r>
              <w:rPr>
                <w:rFonts w:ascii="Arial" w:eastAsia="宋体" w:hAnsi="Arial" w:cs="Arial"/>
                <w:color w:val="000000"/>
                <w:sz w:val="17"/>
                <w:szCs w:val="17"/>
              </w:rPr>
              <w:t>830 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115" w14:textId="77777777" w:rsidR="00066C63" w:rsidRDefault="00066C63">
            <w:pPr>
              <w:jc w:val="right"/>
              <w:rPr>
                <w:rFonts w:ascii="宋体"/>
              </w:rPr>
            </w:pPr>
          </w:p>
        </w:tc>
      </w:tr>
      <w:tr w:rsidR="00066C63" w14:paraId="669C711D"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117" w14:textId="77777777" w:rsidR="00066C63" w:rsidRDefault="009656F6">
            <w:pPr>
              <w:textAlignment w:val="bottom"/>
            </w:pPr>
            <w:r>
              <w:rPr>
                <w:rFonts w:ascii="Arial" w:eastAsia="宋体" w:hAnsi="Arial" w:cs="Arial"/>
                <w:color w:val="000000"/>
                <w:sz w:val="17"/>
                <w:szCs w:val="17"/>
              </w:rPr>
              <w:t>Total NIKE Brand</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669C7118" w14:textId="77777777" w:rsidR="00066C63" w:rsidRDefault="009656F6">
            <w:pPr>
              <w:jc w:val="right"/>
              <w:textAlignment w:val="bottom"/>
            </w:pPr>
            <w:r>
              <w:rPr>
                <w:rFonts w:ascii="Arial" w:eastAsia="宋体" w:hAnsi="Arial" w:cs="Arial"/>
                <w:color w:val="000000"/>
                <w:sz w:val="17"/>
                <w:szCs w:val="17"/>
              </w:rPr>
              <w:t>3,022 </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7119" w14:textId="77777777" w:rsidR="00066C63" w:rsidRDefault="00066C63">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711A" w14:textId="77777777" w:rsidR="00066C63" w:rsidRDefault="00066C63">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711B" w14:textId="77777777" w:rsidR="00066C63" w:rsidRDefault="009656F6">
            <w:pPr>
              <w:jc w:val="right"/>
              <w:textAlignment w:val="bottom"/>
            </w:pPr>
            <w:r>
              <w:rPr>
                <w:rFonts w:ascii="Arial" w:eastAsia="宋体" w:hAnsi="Arial" w:cs="Arial"/>
                <w:color w:val="000000"/>
                <w:sz w:val="17"/>
                <w:szCs w:val="17"/>
              </w:rPr>
              <w:t>2,870 </w:t>
            </w:r>
          </w:p>
        </w:tc>
        <w:tc>
          <w:tcPr>
            <w:tcW w:w="0" w:type="auto"/>
            <w:tcBorders>
              <w:top w:val="single" w:sz="8" w:space="0" w:color="E87722"/>
            </w:tcBorders>
            <w:shd w:val="clear" w:color="auto" w:fill="auto"/>
            <w:tcMar>
              <w:top w:w="40" w:type="dxa"/>
              <w:left w:w="0" w:type="dxa"/>
              <w:bottom w:w="40" w:type="dxa"/>
              <w:right w:w="20" w:type="dxa"/>
            </w:tcMar>
            <w:vAlign w:val="bottom"/>
          </w:tcPr>
          <w:p w14:paraId="669C711C" w14:textId="77777777" w:rsidR="00066C63" w:rsidRDefault="00066C63">
            <w:pPr>
              <w:jc w:val="right"/>
              <w:rPr>
                <w:rFonts w:ascii="宋体"/>
              </w:rPr>
            </w:pPr>
          </w:p>
        </w:tc>
      </w:tr>
      <w:tr w:rsidR="00066C63" w14:paraId="669C7124" w14:textId="77777777">
        <w:trPr>
          <w:jc w:val="center"/>
        </w:trPr>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711E" w14:textId="77777777" w:rsidR="00066C63" w:rsidRDefault="009656F6">
            <w:pPr>
              <w:textAlignment w:val="bottom"/>
            </w:pPr>
            <w:r>
              <w:rPr>
                <w:rFonts w:ascii="Arial" w:eastAsia="宋体" w:hAnsi="Arial" w:cs="Arial"/>
                <w:color w:val="000000"/>
                <w:sz w:val="17"/>
                <w:szCs w:val="17"/>
              </w:rPr>
              <w:t>Converse</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711F" w14:textId="77777777" w:rsidR="00066C63" w:rsidRDefault="009656F6">
            <w:pPr>
              <w:jc w:val="right"/>
              <w:textAlignment w:val="bottom"/>
            </w:pPr>
            <w:r>
              <w:rPr>
                <w:rFonts w:ascii="Arial" w:eastAsia="宋体" w:hAnsi="Arial" w:cs="Arial"/>
                <w:color w:val="000000"/>
                <w:sz w:val="17"/>
                <w:szCs w:val="17"/>
              </w:rPr>
              <w:t>68 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7120" w14:textId="77777777" w:rsidR="00066C63" w:rsidRDefault="00066C63">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7121" w14:textId="77777777" w:rsidR="00066C63" w:rsidRDefault="00066C63">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122" w14:textId="77777777" w:rsidR="00066C63" w:rsidRDefault="009656F6">
            <w:pPr>
              <w:jc w:val="right"/>
              <w:textAlignment w:val="bottom"/>
            </w:pPr>
            <w:r>
              <w:rPr>
                <w:rFonts w:ascii="Arial" w:eastAsia="宋体" w:hAnsi="Arial" w:cs="Arial"/>
                <w:color w:val="000000"/>
                <w:sz w:val="17"/>
                <w:szCs w:val="17"/>
              </w:rPr>
              <w:t>80 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123" w14:textId="77777777" w:rsidR="00066C63" w:rsidRDefault="00066C63">
            <w:pPr>
              <w:jc w:val="right"/>
              <w:rPr>
                <w:rFonts w:ascii="宋体"/>
              </w:rPr>
            </w:pPr>
          </w:p>
        </w:tc>
      </w:tr>
      <w:tr w:rsidR="00066C63" w14:paraId="669C712B" w14:textId="77777777">
        <w:trPr>
          <w:jc w:val="center"/>
        </w:trPr>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7125" w14:textId="77777777" w:rsidR="00066C63" w:rsidRDefault="009656F6">
            <w:pPr>
              <w:textAlignment w:val="bottom"/>
            </w:pPr>
            <w:r>
              <w:rPr>
                <w:rFonts w:ascii="Arial" w:eastAsia="宋体" w:hAnsi="Arial" w:cs="Arial"/>
                <w:color w:val="000000"/>
                <w:sz w:val="17"/>
                <w:szCs w:val="17"/>
              </w:rPr>
              <w:t>Corporate</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7126" w14:textId="77777777" w:rsidR="00066C63" w:rsidRDefault="009656F6">
            <w:pPr>
              <w:jc w:val="right"/>
              <w:textAlignment w:val="bottom"/>
            </w:pPr>
            <w:r>
              <w:rPr>
                <w:rFonts w:ascii="Arial" w:eastAsia="宋体" w:hAnsi="Arial" w:cs="Arial"/>
                <w:color w:val="000000"/>
                <w:sz w:val="17"/>
                <w:szCs w:val="17"/>
              </w:rPr>
              <w:t>1,868 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7127" w14:textId="77777777" w:rsidR="00066C63" w:rsidRDefault="00066C63">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7128" w14:textId="77777777" w:rsidR="00066C63" w:rsidRDefault="00066C63">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129" w14:textId="77777777" w:rsidR="00066C63" w:rsidRDefault="009656F6">
            <w:pPr>
              <w:jc w:val="right"/>
              <w:textAlignment w:val="bottom"/>
            </w:pPr>
            <w:r>
              <w:rPr>
                <w:rFonts w:ascii="Arial" w:eastAsia="宋体" w:hAnsi="Arial" w:cs="Arial"/>
                <w:color w:val="000000"/>
                <w:sz w:val="17"/>
                <w:szCs w:val="17"/>
              </w:rPr>
              <w:t>1,916 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12A" w14:textId="77777777" w:rsidR="00066C63" w:rsidRDefault="00066C63">
            <w:pPr>
              <w:jc w:val="right"/>
              <w:rPr>
                <w:rFonts w:ascii="宋体"/>
              </w:rPr>
            </w:pPr>
          </w:p>
        </w:tc>
      </w:tr>
      <w:tr w:rsidR="00066C63" w14:paraId="669C7134" w14:textId="77777777">
        <w:trPr>
          <w:jc w:val="center"/>
        </w:trPr>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669C712C" w14:textId="77777777" w:rsidR="00066C63" w:rsidRDefault="009656F6">
            <w:pPr>
              <w:textAlignment w:val="bottom"/>
            </w:pPr>
            <w:r>
              <w:rPr>
                <w:rFonts w:ascii="Arial" w:eastAsia="宋体" w:hAnsi="Arial" w:cs="Arial"/>
                <w:b/>
                <w:bCs/>
                <w:color w:val="000000"/>
                <w:sz w:val="17"/>
                <w:szCs w:val="17"/>
              </w:rPr>
              <w:t>TOTAL PROPERTY, PLANT AND EQUIPMENT, NET</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69C712D"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669C712E" w14:textId="77777777" w:rsidR="00066C63" w:rsidRDefault="009656F6">
            <w:pPr>
              <w:jc w:val="right"/>
              <w:textAlignment w:val="bottom"/>
            </w:pPr>
            <w:r>
              <w:rPr>
                <w:rFonts w:ascii="Arial" w:eastAsia="宋体" w:hAnsi="Arial" w:cs="Arial"/>
                <w:b/>
                <w:bCs/>
                <w:color w:val="000000"/>
                <w:sz w:val="17"/>
                <w:szCs w:val="17"/>
              </w:rPr>
              <w:t>4,958</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69C712F" w14:textId="77777777" w:rsidR="00066C63" w:rsidRDefault="00066C63">
            <w:pPr>
              <w:jc w:val="right"/>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tcPr>
          <w:p w14:paraId="669C7130" w14:textId="77777777" w:rsidR="00066C63" w:rsidRDefault="00066C63">
            <w:pPr>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69C7131"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69C7132" w14:textId="77777777" w:rsidR="00066C63" w:rsidRDefault="009656F6">
            <w:pPr>
              <w:jc w:val="right"/>
              <w:textAlignment w:val="bottom"/>
            </w:pPr>
            <w:r>
              <w:rPr>
                <w:rFonts w:ascii="Arial" w:eastAsia="宋体" w:hAnsi="Arial" w:cs="Arial"/>
                <w:b/>
                <w:bCs/>
                <w:color w:val="000000"/>
                <w:sz w:val="17"/>
                <w:szCs w:val="17"/>
              </w:rPr>
              <w:t>4,866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69C7133" w14:textId="77777777" w:rsidR="00066C63" w:rsidRDefault="00066C63">
            <w:pPr>
              <w:jc w:val="right"/>
              <w:rPr>
                <w:rFonts w:ascii="宋体"/>
              </w:rPr>
            </w:pPr>
          </w:p>
        </w:tc>
      </w:tr>
    </w:tbl>
    <w:p w14:paraId="669C7135" w14:textId="77777777" w:rsidR="00066C63" w:rsidRDefault="009656F6">
      <w:pPr>
        <w:spacing w:before="60" w:after="60"/>
        <w:ind w:hanging="360"/>
      </w:pPr>
      <w:r>
        <w:rPr>
          <w:rFonts w:ascii="Arial" w:eastAsia="宋体" w:hAnsi="Arial" w:cs="Arial"/>
          <w:i/>
          <w:iCs/>
          <w:color w:val="000000"/>
          <w:sz w:val="14"/>
          <w:szCs w:val="14"/>
        </w:rPr>
        <w:t xml:space="preserve">(1)Excludes assets held-for-sale as of February 28, 2021 and May 31, 2020. See Note 13 — Acquisitions and Divestitures for </w:t>
      </w:r>
      <w:r>
        <w:rPr>
          <w:rFonts w:ascii="Arial" w:eastAsia="宋体" w:hAnsi="Arial" w:cs="Arial"/>
          <w:i/>
          <w:iCs/>
          <w:color w:val="000000"/>
          <w:sz w:val="14"/>
          <w:szCs w:val="14"/>
        </w:rPr>
        <w:t>additional information.</w:t>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066C63" w14:paraId="669C7139" w14:textId="77777777">
        <w:tc>
          <w:tcPr>
            <w:tcW w:w="50" w:type="pct"/>
            <w:shd w:val="clear" w:color="auto" w:fill="auto"/>
          </w:tcPr>
          <w:p w14:paraId="669C7136" w14:textId="77777777" w:rsidR="00066C63" w:rsidRDefault="00066C63">
            <w:pPr>
              <w:rPr>
                <w:rFonts w:ascii="宋体"/>
              </w:rPr>
            </w:pPr>
          </w:p>
        </w:tc>
        <w:tc>
          <w:tcPr>
            <w:tcW w:w="4945" w:type="pct"/>
            <w:shd w:val="clear" w:color="auto" w:fill="auto"/>
          </w:tcPr>
          <w:p w14:paraId="669C7137" w14:textId="77777777" w:rsidR="00066C63" w:rsidRDefault="00066C63">
            <w:pPr>
              <w:rPr>
                <w:rFonts w:ascii="宋体"/>
              </w:rPr>
            </w:pPr>
          </w:p>
        </w:tc>
        <w:tc>
          <w:tcPr>
            <w:tcW w:w="5" w:type="pct"/>
            <w:shd w:val="clear" w:color="auto" w:fill="auto"/>
          </w:tcPr>
          <w:p w14:paraId="669C7138" w14:textId="77777777" w:rsidR="00066C63" w:rsidRDefault="00066C63">
            <w:pPr>
              <w:rPr>
                <w:rFonts w:ascii="宋体"/>
              </w:rPr>
            </w:pPr>
          </w:p>
        </w:tc>
      </w:tr>
      <w:tr w:rsidR="00066C63" w14:paraId="669C713B" w14:textId="77777777">
        <w:tc>
          <w:tcPr>
            <w:tcW w:w="0" w:type="auto"/>
            <w:gridSpan w:val="3"/>
            <w:shd w:val="clear" w:color="auto" w:fill="auto"/>
            <w:tcMar>
              <w:top w:w="40" w:type="dxa"/>
              <w:left w:w="20" w:type="dxa"/>
              <w:bottom w:w="40" w:type="dxa"/>
              <w:right w:w="20" w:type="dxa"/>
            </w:tcMar>
            <w:vAlign w:val="bottom"/>
          </w:tcPr>
          <w:p w14:paraId="669C713A" w14:textId="77777777" w:rsidR="00066C63" w:rsidRDefault="009656F6">
            <w:pPr>
              <w:textAlignment w:val="bottom"/>
            </w:pPr>
            <w:r>
              <w:rPr>
                <w:rFonts w:ascii="sans-serif" w:eastAsia="sans-serif" w:hAnsi="sans-serif" w:cs="sans-serif"/>
                <w:b/>
                <w:bCs/>
                <w:color w:val="E87722"/>
                <w:sz w:val="36"/>
                <w:szCs w:val="36"/>
              </w:rPr>
              <w:t>NOTE 13 — ACQUISITIONS AND DIVESTITURES</w:t>
            </w:r>
          </w:p>
        </w:tc>
      </w:tr>
    </w:tbl>
    <w:p w14:paraId="669C713C" w14:textId="77777777" w:rsidR="00066C63" w:rsidRDefault="009656F6">
      <w:pPr>
        <w:spacing w:before="120" w:after="120"/>
      </w:pPr>
      <w:r>
        <w:rPr>
          <w:rFonts w:ascii="Arial" w:eastAsia="宋体" w:hAnsi="Arial" w:cs="Arial"/>
          <w:color w:val="000000"/>
          <w:sz w:val="17"/>
          <w:szCs w:val="17"/>
        </w:rPr>
        <w:t>During the third quarter of fiscal 2020, as a result of the Company's decision to transition its wholesale and direct to consumer operating model in certain countries within its APLA operating segment, the Company signed definitive agreements to sell its N</w:t>
      </w:r>
      <w:r>
        <w:rPr>
          <w:rFonts w:ascii="Arial" w:eastAsia="宋体" w:hAnsi="Arial" w:cs="Arial"/>
          <w:color w:val="000000"/>
          <w:sz w:val="17"/>
          <w:szCs w:val="17"/>
        </w:rPr>
        <w:t>IKE Brand businesses in Brazil, Argentina, Chile and Uruguay to third-party distributors. Specifically, NIKE entered into agreements to sell its operations in Argentina, Chile and Uruguay to Grupo Axo and to sell substantially all of its operations in Braz</w:t>
      </w:r>
      <w:r>
        <w:rPr>
          <w:rFonts w:ascii="Arial" w:eastAsia="宋体" w:hAnsi="Arial" w:cs="Arial"/>
          <w:color w:val="000000"/>
          <w:sz w:val="17"/>
          <w:szCs w:val="17"/>
        </w:rPr>
        <w:t xml:space="preserve">il to Grupo SBF S.A., through its wholly owned subsidiary. The Company has maintained a small operation in Brazil focused on certain sports marketing assets, local manufacturing and Converse. </w:t>
      </w:r>
    </w:p>
    <w:p w14:paraId="669C713D" w14:textId="77777777" w:rsidR="00066C63" w:rsidRDefault="009656F6">
      <w:pPr>
        <w:spacing w:before="120"/>
      </w:pPr>
      <w:r>
        <w:rPr>
          <w:rFonts w:ascii="Arial" w:eastAsia="宋体" w:hAnsi="Arial" w:cs="Arial"/>
          <w:color w:val="000000"/>
          <w:sz w:val="17"/>
          <w:szCs w:val="17"/>
        </w:rPr>
        <w:t>As a result of this decision, beginning in the third quarter of</w:t>
      </w:r>
      <w:r>
        <w:rPr>
          <w:rFonts w:ascii="Arial" w:eastAsia="宋体" w:hAnsi="Arial" w:cs="Arial"/>
          <w:color w:val="000000"/>
          <w:sz w:val="17"/>
          <w:szCs w:val="17"/>
        </w:rPr>
        <w:t xml:space="preserve"> fiscal 2020, the related assets and liabilities of these entities were classified as held-for-sale within Prepaid expenses and other current assets and Accrued liabilities, respectively, on the Unaudited Condensed Consolidated Balance Sheets. </w:t>
      </w:r>
    </w:p>
    <w:p w14:paraId="669C713E" w14:textId="77777777" w:rsidR="00066C63" w:rsidRDefault="009656F6">
      <w:pPr>
        <w:spacing w:before="120"/>
      </w:pPr>
      <w:r>
        <w:rPr>
          <w:rFonts w:ascii="sans-serif" w:eastAsia="sans-serif" w:hAnsi="sans-serif" w:cs="sans-serif"/>
          <w:b/>
          <w:bCs/>
          <w:color w:val="808080"/>
          <w:sz w:val="22"/>
          <w:szCs w:val="22"/>
        </w:rPr>
        <w:t>BRAZIL</w:t>
      </w:r>
    </w:p>
    <w:p w14:paraId="669C713F" w14:textId="77777777" w:rsidR="00066C63" w:rsidRDefault="009656F6">
      <w:pPr>
        <w:spacing w:before="120" w:after="120"/>
      </w:pPr>
      <w:r>
        <w:rPr>
          <w:rFonts w:ascii="Arial" w:eastAsia="宋体" w:hAnsi="Arial" w:cs="Arial"/>
          <w:color w:val="000000"/>
          <w:sz w:val="17"/>
          <w:szCs w:val="17"/>
        </w:rPr>
        <w:t>Duri</w:t>
      </w:r>
      <w:r>
        <w:rPr>
          <w:rFonts w:ascii="Arial" w:eastAsia="宋体" w:hAnsi="Arial" w:cs="Arial"/>
          <w:color w:val="000000"/>
          <w:sz w:val="17"/>
          <w:szCs w:val="17"/>
        </w:rPr>
        <w:t>ng the third quarter of fiscal 2021, the transaction with Grupo SBF S.A. closed and the Company recognized a loss of $53 million, of which $47 million was recognized during the second quarter of fiscal 2021 within Other (income) expense, net, classified wi</w:t>
      </w:r>
      <w:r>
        <w:rPr>
          <w:rFonts w:ascii="Arial" w:eastAsia="宋体" w:hAnsi="Arial" w:cs="Arial"/>
          <w:color w:val="000000"/>
          <w:sz w:val="17"/>
          <w:szCs w:val="17"/>
        </w:rPr>
        <w:t xml:space="preserve">thin Corporate, on the Unaudited Condensed Consolidated Statements of Income. Cash proceeds received were reflected within Other investing activities on the Unaudited Condensed Consolidated Statements of Cash Flows. </w:t>
      </w:r>
    </w:p>
    <w:p w14:paraId="669C7140" w14:textId="77777777" w:rsidR="00066C63" w:rsidRDefault="009656F6">
      <w:pPr>
        <w:spacing w:before="120"/>
      </w:pPr>
      <w:r>
        <w:rPr>
          <w:rFonts w:ascii="Arial" w:eastAsia="宋体" w:hAnsi="Arial" w:cs="Arial"/>
          <w:color w:val="000000"/>
          <w:sz w:val="17"/>
          <w:szCs w:val="17"/>
        </w:rPr>
        <w:t>As of May 31, 2020, held-for-sale asset</w:t>
      </w:r>
      <w:r>
        <w:rPr>
          <w:rFonts w:ascii="Arial" w:eastAsia="宋体" w:hAnsi="Arial" w:cs="Arial"/>
          <w:color w:val="000000"/>
          <w:sz w:val="17"/>
          <w:szCs w:val="17"/>
        </w:rPr>
        <w:t>s and liabilities consisted of the following:</w:t>
      </w:r>
    </w:p>
    <w:p w14:paraId="669C7141" w14:textId="77777777" w:rsidR="00066C63" w:rsidRDefault="009656F6">
      <w:pPr>
        <w:spacing w:before="120" w:after="120"/>
        <w:ind w:hanging="360"/>
      </w:pPr>
      <w:r>
        <w:rPr>
          <w:rFonts w:ascii="Arial" w:eastAsia="宋体" w:hAnsi="Arial" w:cs="Arial"/>
          <w:color w:val="E87722"/>
          <w:sz w:val="17"/>
          <w:szCs w:val="17"/>
        </w:rPr>
        <w:t>•</w:t>
      </w:r>
      <w:r>
        <w:rPr>
          <w:rFonts w:ascii="Arial" w:eastAsia="宋体" w:hAnsi="Arial" w:cs="Arial"/>
          <w:color w:val="000000"/>
          <w:sz w:val="17"/>
          <w:szCs w:val="17"/>
        </w:rPr>
        <w:t>Held-for-sale assets of $272 million, primarily consisting of $142 million of Inventories and $101 million of Accounts receivable, net; and</w:t>
      </w:r>
    </w:p>
    <w:p w14:paraId="669C7142" w14:textId="77777777" w:rsidR="00066C63" w:rsidRDefault="009656F6">
      <w:pPr>
        <w:spacing w:before="120" w:after="120"/>
        <w:ind w:hanging="360"/>
      </w:pPr>
      <w:r>
        <w:rPr>
          <w:rFonts w:ascii="Arial" w:eastAsia="宋体" w:hAnsi="Arial" w:cs="Arial"/>
          <w:color w:val="E87722"/>
          <w:sz w:val="17"/>
          <w:szCs w:val="17"/>
        </w:rPr>
        <w:t>•</w:t>
      </w:r>
      <w:r>
        <w:rPr>
          <w:rFonts w:ascii="Arial" w:eastAsia="宋体" w:hAnsi="Arial" w:cs="Arial"/>
          <w:color w:val="000000"/>
          <w:sz w:val="17"/>
          <w:szCs w:val="17"/>
        </w:rPr>
        <w:t xml:space="preserve">Held-for-sale liabilities of $91 million, primarily consisting of $51 million of Accrued liabilities. </w:t>
      </w:r>
    </w:p>
    <w:p w14:paraId="669C7143" w14:textId="77777777" w:rsidR="00066C63" w:rsidRDefault="009656F6">
      <w:pPr>
        <w:spacing w:before="120"/>
      </w:pPr>
      <w:r>
        <w:rPr>
          <w:rFonts w:ascii="sans-serif" w:eastAsia="sans-serif" w:hAnsi="sans-serif" w:cs="sans-serif"/>
          <w:b/>
          <w:bCs/>
          <w:color w:val="808080"/>
          <w:sz w:val="22"/>
          <w:szCs w:val="22"/>
        </w:rPr>
        <w:t>ARGENTINA, CHILE AND URUGUAY</w:t>
      </w:r>
    </w:p>
    <w:p w14:paraId="669C7144" w14:textId="77777777" w:rsidR="00066C63" w:rsidRDefault="009656F6">
      <w:pPr>
        <w:spacing w:before="120" w:after="120"/>
      </w:pPr>
      <w:r>
        <w:rPr>
          <w:rFonts w:ascii="Arial" w:eastAsia="宋体" w:hAnsi="Arial" w:cs="Arial"/>
          <w:color w:val="000000"/>
          <w:sz w:val="17"/>
          <w:szCs w:val="17"/>
        </w:rPr>
        <w:t>During the third quarter of fiscal 2021, the Company and Grupo Axo mutually agreed to terminate the sale and purchase agreem</w:t>
      </w:r>
      <w:r>
        <w:rPr>
          <w:rFonts w:ascii="Arial" w:eastAsia="宋体" w:hAnsi="Arial" w:cs="Arial"/>
          <w:color w:val="000000"/>
          <w:sz w:val="17"/>
          <w:szCs w:val="17"/>
        </w:rPr>
        <w:t>ent for the transition of NIKE’s businesses in Argentina, Chile and Uruguay to a distributor partnership. However, as the Company remains committed to selling its legal entities in all three countries and granting distribution rights to third-party distrib</w:t>
      </w:r>
      <w:r>
        <w:rPr>
          <w:rFonts w:ascii="Arial" w:eastAsia="宋体" w:hAnsi="Arial" w:cs="Arial"/>
          <w:color w:val="000000"/>
          <w:sz w:val="17"/>
          <w:szCs w:val="17"/>
        </w:rPr>
        <w:t xml:space="preserve">utors, the assets and liabilities of the entities have remained classified as held-for-sale on the Unaudited Condensed Consolidated Balance Sheets. </w:t>
      </w:r>
    </w:p>
    <w:p w14:paraId="669C7145" w14:textId="77777777" w:rsidR="00066C63" w:rsidRDefault="009656F6">
      <w:pPr>
        <w:spacing w:before="120" w:after="120"/>
      </w:pPr>
      <w:r>
        <w:rPr>
          <w:rFonts w:ascii="Arial" w:eastAsia="宋体" w:hAnsi="Arial" w:cs="Arial"/>
          <w:color w:val="000000"/>
          <w:sz w:val="17"/>
          <w:szCs w:val="17"/>
        </w:rPr>
        <w:t>As of February 28, 2021, held-for-sale assets and liabilities consisted of the following:</w:t>
      </w:r>
    </w:p>
    <w:p w14:paraId="669C7146" w14:textId="77777777" w:rsidR="00066C63" w:rsidRDefault="009656F6">
      <w:pPr>
        <w:spacing w:before="120" w:after="120"/>
        <w:ind w:hanging="360"/>
      </w:pPr>
      <w:r>
        <w:rPr>
          <w:rFonts w:ascii="Arial" w:eastAsia="宋体" w:hAnsi="Arial" w:cs="Arial"/>
          <w:color w:val="E87722"/>
          <w:sz w:val="17"/>
          <w:szCs w:val="17"/>
        </w:rPr>
        <w:t>•</w:t>
      </w:r>
      <w:r>
        <w:rPr>
          <w:rFonts w:ascii="Arial" w:eastAsia="宋体" w:hAnsi="Arial" w:cs="Arial"/>
          <w:color w:val="000000"/>
          <w:sz w:val="17"/>
          <w:szCs w:val="17"/>
        </w:rPr>
        <w:t>Held-for-sale as</w:t>
      </w:r>
      <w:r>
        <w:rPr>
          <w:rFonts w:ascii="Arial" w:eastAsia="宋体" w:hAnsi="Arial" w:cs="Arial"/>
          <w:color w:val="000000"/>
          <w:sz w:val="17"/>
          <w:szCs w:val="17"/>
        </w:rPr>
        <w:t>sets of $195 million, primarily consisting of $83 million of Inventories and $70 million of Accounts receivable, net; and</w:t>
      </w:r>
    </w:p>
    <w:p w14:paraId="669C7147" w14:textId="77777777" w:rsidR="00066C63" w:rsidRDefault="009656F6">
      <w:pPr>
        <w:spacing w:before="120" w:after="120"/>
        <w:ind w:hanging="360"/>
      </w:pPr>
      <w:r>
        <w:rPr>
          <w:rFonts w:ascii="Arial" w:eastAsia="宋体" w:hAnsi="Arial" w:cs="Arial"/>
          <w:color w:val="E87722"/>
          <w:sz w:val="17"/>
          <w:szCs w:val="17"/>
        </w:rPr>
        <w:t>•</w:t>
      </w:r>
      <w:r>
        <w:rPr>
          <w:rFonts w:ascii="Arial" w:eastAsia="宋体" w:hAnsi="Arial" w:cs="Arial"/>
          <w:color w:val="000000"/>
          <w:sz w:val="17"/>
          <w:szCs w:val="17"/>
        </w:rPr>
        <w:t xml:space="preserve">Held-for-sale liabilities of $59 million, primarily consisting of $24 million of Accrued liabilities. </w:t>
      </w:r>
    </w:p>
    <w:p w14:paraId="669C7148" w14:textId="77777777" w:rsidR="00066C63" w:rsidRDefault="00066C63">
      <w:pPr>
        <w:spacing w:before="120"/>
      </w:pPr>
    </w:p>
    <w:p w14:paraId="669C7149" w14:textId="77777777" w:rsidR="00066C63" w:rsidRDefault="009656F6">
      <w:pPr>
        <w:spacing w:before="120" w:after="120"/>
        <w:jc w:val="right"/>
      </w:pPr>
      <w:r>
        <w:rPr>
          <w:rFonts w:ascii="Arial" w:eastAsia="宋体" w:hAnsi="Arial" w:cs="Arial"/>
          <w:color w:val="E87722"/>
          <w:sz w:val="17"/>
          <w:szCs w:val="17"/>
        </w:rPr>
        <w:t>23</w:t>
      </w:r>
    </w:p>
    <w:p w14:paraId="669C714A" w14:textId="77777777" w:rsidR="00066C63" w:rsidRDefault="009656F6">
      <w:r>
        <w:pict w14:anchorId="669C7E47">
          <v:rect id="_x0000_i1049" style="width:415.3pt;height:1.5pt" o:hralign="center" o:hrstd="t" o:hr="t" fillcolor="#a0a0a0" stroked="f"/>
        </w:pict>
      </w:r>
    </w:p>
    <w:p w14:paraId="669C714B" w14:textId="77777777" w:rsidR="00066C63" w:rsidRDefault="00066C63"/>
    <w:p w14:paraId="669C714C" w14:textId="77777777" w:rsidR="00066C63" w:rsidRDefault="009656F6">
      <w:hyperlink r:id="rId94" w:anchor="i1e99cb26debe49fe8b698d0f0eb1273a_7" w:history="1">
        <w:r>
          <w:rPr>
            <w:rStyle w:val="a5"/>
            <w:rFonts w:ascii="sans-serif" w:eastAsia="sans-serif" w:hAnsi="sans-serif" w:cs="sans-serif"/>
            <w:sz w:val="17"/>
            <w:szCs w:val="17"/>
          </w:rPr>
          <w:t>Table of Contents</w:t>
        </w:r>
      </w:hyperlink>
    </w:p>
    <w:p w14:paraId="669C714D" w14:textId="77777777" w:rsidR="00066C63" w:rsidRDefault="00066C63"/>
    <w:p w14:paraId="669C714E" w14:textId="77777777" w:rsidR="00066C63" w:rsidRDefault="009656F6">
      <w:pPr>
        <w:spacing w:before="120"/>
      </w:pPr>
      <w:r>
        <w:rPr>
          <w:rFonts w:ascii="Arial" w:eastAsia="宋体" w:hAnsi="Arial" w:cs="Arial"/>
          <w:color w:val="000000"/>
          <w:sz w:val="17"/>
          <w:szCs w:val="17"/>
        </w:rPr>
        <w:t>As of May 31, 2020, held-for-sale assets and liabilities consisted of the following:</w:t>
      </w:r>
    </w:p>
    <w:p w14:paraId="669C714F" w14:textId="77777777" w:rsidR="00066C63" w:rsidRDefault="009656F6">
      <w:pPr>
        <w:spacing w:before="120" w:after="120"/>
        <w:ind w:hanging="360"/>
      </w:pPr>
      <w:r>
        <w:rPr>
          <w:rFonts w:ascii="Arial" w:eastAsia="宋体" w:hAnsi="Arial" w:cs="Arial"/>
          <w:color w:val="E87722"/>
          <w:sz w:val="17"/>
          <w:szCs w:val="17"/>
        </w:rPr>
        <w:t>•</w:t>
      </w:r>
      <w:r>
        <w:rPr>
          <w:rFonts w:ascii="Arial" w:eastAsia="宋体" w:hAnsi="Arial" w:cs="Arial"/>
          <w:color w:val="000000"/>
          <w:sz w:val="17"/>
          <w:szCs w:val="17"/>
        </w:rPr>
        <w:t>Held-for-sale assets of $234 million, primarily consisting of $122 million of Inventories and $50 million of Prepaid expenses and other current assets; and</w:t>
      </w:r>
    </w:p>
    <w:p w14:paraId="669C7150" w14:textId="77777777" w:rsidR="00066C63" w:rsidRDefault="009656F6">
      <w:pPr>
        <w:spacing w:before="120" w:after="120"/>
        <w:ind w:hanging="360"/>
      </w:pPr>
      <w:r>
        <w:rPr>
          <w:rFonts w:ascii="Arial" w:eastAsia="宋体" w:hAnsi="Arial" w:cs="Arial"/>
          <w:color w:val="E87722"/>
          <w:sz w:val="17"/>
          <w:szCs w:val="17"/>
        </w:rPr>
        <w:t>•</w:t>
      </w:r>
      <w:r>
        <w:rPr>
          <w:rFonts w:ascii="Arial" w:eastAsia="宋体" w:hAnsi="Arial" w:cs="Arial"/>
          <w:color w:val="000000"/>
          <w:sz w:val="17"/>
          <w:szCs w:val="17"/>
        </w:rPr>
        <w:t>Held-for-sale liabilities of $55 million, primarily consisting of $34 million of Accrued liabilitie</w:t>
      </w:r>
      <w:r>
        <w:rPr>
          <w:rFonts w:ascii="Arial" w:eastAsia="宋体" w:hAnsi="Arial" w:cs="Arial"/>
          <w:color w:val="000000"/>
          <w:sz w:val="17"/>
          <w:szCs w:val="17"/>
        </w:rPr>
        <w:t>s.</w:t>
      </w:r>
    </w:p>
    <w:p w14:paraId="669C7151" w14:textId="77777777" w:rsidR="00066C63" w:rsidRDefault="009656F6">
      <w:pPr>
        <w:spacing w:before="120" w:after="120"/>
      </w:pPr>
      <w:r>
        <w:rPr>
          <w:rFonts w:ascii="Arial" w:eastAsia="宋体" w:hAnsi="Arial" w:cs="Arial"/>
          <w:color w:val="000000"/>
          <w:sz w:val="17"/>
          <w:szCs w:val="17"/>
        </w:rPr>
        <w:t>As of February 28, 2021, the Company recognized total expected net losses related to the Argentina, Chile and Uruguay transaction of $373 million within Other (income) expense, net, classified within Corporate, and a corresponding allowance within Accru</w:t>
      </w:r>
      <w:r>
        <w:rPr>
          <w:rFonts w:ascii="Arial" w:eastAsia="宋体" w:hAnsi="Arial" w:cs="Arial"/>
          <w:color w:val="000000"/>
          <w:sz w:val="17"/>
          <w:szCs w:val="17"/>
        </w:rPr>
        <w:t>ed liabilities on the Unaudited Condensed Consolidated Balance Sheets. The expected loss, which was primarily recognized in fiscal 2020, is largely due to the anticipated release of the cumulative foreign currency translation losses.</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8231"/>
        <w:gridCol w:w="36"/>
      </w:tblGrid>
      <w:tr w:rsidR="00066C63" w14:paraId="669C7155" w14:textId="77777777">
        <w:trPr>
          <w:jc w:val="center"/>
        </w:trPr>
        <w:tc>
          <w:tcPr>
            <w:tcW w:w="50" w:type="pct"/>
            <w:shd w:val="clear" w:color="auto" w:fill="auto"/>
          </w:tcPr>
          <w:p w14:paraId="669C7152" w14:textId="77777777" w:rsidR="00066C63" w:rsidRDefault="00066C63">
            <w:pPr>
              <w:rPr>
                <w:rFonts w:ascii="宋体"/>
              </w:rPr>
            </w:pPr>
          </w:p>
        </w:tc>
        <w:tc>
          <w:tcPr>
            <w:tcW w:w="4945" w:type="pct"/>
            <w:shd w:val="clear" w:color="auto" w:fill="auto"/>
          </w:tcPr>
          <w:p w14:paraId="669C7153" w14:textId="77777777" w:rsidR="00066C63" w:rsidRDefault="00066C63">
            <w:pPr>
              <w:rPr>
                <w:rFonts w:ascii="宋体"/>
              </w:rPr>
            </w:pPr>
          </w:p>
        </w:tc>
        <w:tc>
          <w:tcPr>
            <w:tcW w:w="5" w:type="pct"/>
            <w:shd w:val="clear" w:color="auto" w:fill="auto"/>
          </w:tcPr>
          <w:p w14:paraId="669C7154" w14:textId="77777777" w:rsidR="00066C63" w:rsidRDefault="00066C63">
            <w:pPr>
              <w:rPr>
                <w:rFonts w:ascii="宋体"/>
              </w:rPr>
            </w:pPr>
          </w:p>
        </w:tc>
      </w:tr>
      <w:tr w:rsidR="00066C63" w14:paraId="669C7157" w14:textId="77777777">
        <w:trPr>
          <w:jc w:val="center"/>
        </w:trPr>
        <w:tc>
          <w:tcPr>
            <w:tcW w:w="0" w:type="auto"/>
            <w:gridSpan w:val="3"/>
            <w:shd w:val="clear" w:color="auto" w:fill="auto"/>
            <w:tcMar>
              <w:top w:w="40" w:type="dxa"/>
              <w:left w:w="20" w:type="dxa"/>
              <w:bottom w:w="40" w:type="dxa"/>
              <w:right w:w="20" w:type="dxa"/>
            </w:tcMar>
            <w:vAlign w:val="bottom"/>
          </w:tcPr>
          <w:p w14:paraId="669C7156" w14:textId="77777777" w:rsidR="00066C63" w:rsidRDefault="009656F6">
            <w:pPr>
              <w:textAlignment w:val="bottom"/>
            </w:pPr>
            <w:r>
              <w:rPr>
                <w:rFonts w:ascii="sans-serif" w:eastAsia="sans-serif" w:hAnsi="sans-serif" w:cs="sans-serif"/>
                <w:b/>
                <w:bCs/>
                <w:color w:val="E87722"/>
                <w:sz w:val="36"/>
                <w:szCs w:val="36"/>
              </w:rPr>
              <w:t xml:space="preserve">NOTE 14 — </w:t>
            </w:r>
            <w:r>
              <w:rPr>
                <w:rFonts w:ascii="sans-serif" w:eastAsia="sans-serif" w:hAnsi="sans-serif" w:cs="sans-serif"/>
                <w:b/>
                <w:bCs/>
                <w:color w:val="E87722"/>
                <w:sz w:val="36"/>
                <w:szCs w:val="36"/>
              </w:rPr>
              <w:t>RESTRUCTURING</w:t>
            </w:r>
          </w:p>
        </w:tc>
      </w:tr>
    </w:tbl>
    <w:p w14:paraId="669C7158" w14:textId="77777777" w:rsidR="00066C63" w:rsidRDefault="009656F6">
      <w:pPr>
        <w:spacing w:before="120" w:after="120"/>
      </w:pPr>
      <w:r>
        <w:rPr>
          <w:rFonts w:ascii="Arial" w:eastAsia="宋体" w:hAnsi="Arial" w:cs="Arial"/>
          <w:color w:val="000000"/>
          <w:sz w:val="17"/>
          <w:szCs w:val="17"/>
        </w:rPr>
        <w:t>During the first quarter of fiscal 2021, the Company announced a new digitally empowered phase of its Consumer Direct Offense strategy: Consumer Direct Acceleration. As a result, management announced a series of leadership and operating mode</w:t>
      </w:r>
      <w:r>
        <w:rPr>
          <w:rFonts w:ascii="Arial" w:eastAsia="宋体" w:hAnsi="Arial" w:cs="Arial"/>
          <w:color w:val="000000"/>
          <w:sz w:val="17"/>
          <w:szCs w:val="17"/>
        </w:rPr>
        <w:t>l changes to streamline and speed up strategic execution for the Company. These changes will result in a net reduction of the Company's global workforce and the Company expects to incur pre-tax charges of approximately $315 million, of which $248 million w</w:t>
      </w:r>
      <w:r>
        <w:rPr>
          <w:rFonts w:ascii="Arial" w:eastAsia="宋体" w:hAnsi="Arial" w:cs="Arial"/>
          <w:color w:val="000000"/>
          <w:sz w:val="17"/>
          <w:szCs w:val="17"/>
        </w:rPr>
        <w:t xml:space="preserve">ere incurred during the first nine months of fiscal 2021, the majority of which relate to employee termination costs and, to a lesser extent, stock-based compensation expense. These amounts reflect the continued evaluation and variability of the Company's </w:t>
      </w:r>
      <w:r>
        <w:rPr>
          <w:rFonts w:ascii="Arial" w:eastAsia="宋体" w:hAnsi="Arial" w:cs="Arial"/>
          <w:color w:val="000000"/>
          <w:sz w:val="17"/>
          <w:szCs w:val="17"/>
        </w:rPr>
        <w:t>original estimate of employee termination costs and required changes in assumptions used to calculate stock-based compensation expense. The related cash expenditures will primarily take place throughout fiscal 2021 and all related actions are expected to b</w:t>
      </w:r>
      <w:r>
        <w:rPr>
          <w:rFonts w:ascii="Arial" w:eastAsia="宋体" w:hAnsi="Arial" w:cs="Arial"/>
          <w:color w:val="000000"/>
          <w:sz w:val="17"/>
          <w:szCs w:val="17"/>
        </w:rPr>
        <w:t xml:space="preserve">e substantially complete by the end of fiscal 2021. </w:t>
      </w:r>
    </w:p>
    <w:p w14:paraId="669C7159" w14:textId="77777777" w:rsidR="00066C63" w:rsidRDefault="009656F6">
      <w:pPr>
        <w:spacing w:before="120" w:after="120"/>
      </w:pPr>
      <w:r>
        <w:rPr>
          <w:rFonts w:ascii="Arial" w:eastAsia="宋体" w:hAnsi="Arial" w:cs="Arial"/>
          <w:color w:val="000000"/>
          <w:sz w:val="17"/>
          <w:szCs w:val="17"/>
        </w:rPr>
        <w:t xml:space="preserve">During the three months ended February 28, 2021, the Company recognized employee termination costs of $23 million and $6 million within Operating overhead expense and Cost of sales, respectively, on the </w:t>
      </w:r>
      <w:r>
        <w:rPr>
          <w:rFonts w:ascii="Arial" w:eastAsia="宋体" w:hAnsi="Arial" w:cs="Arial"/>
          <w:color w:val="000000"/>
          <w:sz w:val="17"/>
          <w:szCs w:val="17"/>
        </w:rPr>
        <w:t>Unaudited Condensed Consolidated Statements of Income. During the nine months ended February 28, 2021, the Company recognized employee termination costs of $168 million and $36 million within Operating overhead expense and Cost of sales, respectively. Thes</w:t>
      </w:r>
      <w:r>
        <w:rPr>
          <w:rFonts w:ascii="Arial" w:eastAsia="宋体" w:hAnsi="Arial" w:cs="Arial"/>
          <w:color w:val="000000"/>
          <w:sz w:val="17"/>
          <w:szCs w:val="17"/>
        </w:rPr>
        <w:t>e costs were classified within Corporate.</w:t>
      </w:r>
    </w:p>
    <w:p w14:paraId="669C715A" w14:textId="77777777" w:rsidR="00066C63" w:rsidRDefault="009656F6">
      <w:pPr>
        <w:spacing w:before="120" w:after="120"/>
      </w:pPr>
      <w:r>
        <w:rPr>
          <w:rFonts w:ascii="Arial" w:eastAsia="宋体" w:hAnsi="Arial" w:cs="Arial"/>
          <w:color w:val="000000"/>
          <w:sz w:val="17"/>
          <w:szCs w:val="17"/>
        </w:rPr>
        <w:t>The activity was recognized within Accrued liabilities as follows:</w:t>
      </w:r>
    </w:p>
    <w:tbl>
      <w:tblPr>
        <w:tblW w:w="5000" w:type="pct"/>
        <w:tblCellMar>
          <w:top w:w="15" w:type="dxa"/>
          <w:left w:w="15" w:type="dxa"/>
          <w:bottom w:w="15" w:type="dxa"/>
          <w:right w:w="15" w:type="dxa"/>
        </w:tblCellMar>
        <w:tblLook w:val="04A0" w:firstRow="1" w:lastRow="0" w:firstColumn="1" w:lastColumn="0" w:noHBand="0" w:noVBand="1"/>
      </w:tblPr>
      <w:tblGrid>
        <w:gridCol w:w="55"/>
        <w:gridCol w:w="7047"/>
        <w:gridCol w:w="37"/>
        <w:gridCol w:w="109"/>
        <w:gridCol w:w="1052"/>
        <w:gridCol w:w="36"/>
      </w:tblGrid>
      <w:tr w:rsidR="00066C63" w14:paraId="669C7161" w14:textId="77777777">
        <w:tc>
          <w:tcPr>
            <w:tcW w:w="50" w:type="pct"/>
            <w:shd w:val="clear" w:color="auto" w:fill="auto"/>
          </w:tcPr>
          <w:p w14:paraId="669C715B" w14:textId="77777777" w:rsidR="00066C63" w:rsidRDefault="00066C63">
            <w:pPr>
              <w:rPr>
                <w:rFonts w:ascii="宋体"/>
              </w:rPr>
            </w:pPr>
          </w:p>
        </w:tc>
        <w:tc>
          <w:tcPr>
            <w:tcW w:w="4242" w:type="pct"/>
            <w:shd w:val="clear" w:color="auto" w:fill="auto"/>
          </w:tcPr>
          <w:p w14:paraId="669C715C" w14:textId="77777777" w:rsidR="00066C63" w:rsidRDefault="00066C63">
            <w:pPr>
              <w:rPr>
                <w:rFonts w:ascii="宋体"/>
              </w:rPr>
            </w:pPr>
          </w:p>
        </w:tc>
        <w:tc>
          <w:tcPr>
            <w:tcW w:w="5" w:type="pct"/>
            <w:shd w:val="clear" w:color="auto" w:fill="auto"/>
          </w:tcPr>
          <w:p w14:paraId="669C715D" w14:textId="77777777" w:rsidR="00066C63" w:rsidRDefault="00066C63">
            <w:pPr>
              <w:rPr>
                <w:rFonts w:ascii="宋体"/>
              </w:rPr>
            </w:pPr>
          </w:p>
        </w:tc>
        <w:tc>
          <w:tcPr>
            <w:tcW w:w="50" w:type="pct"/>
            <w:shd w:val="clear" w:color="auto" w:fill="auto"/>
          </w:tcPr>
          <w:p w14:paraId="669C715E" w14:textId="77777777" w:rsidR="00066C63" w:rsidRDefault="00066C63">
            <w:pPr>
              <w:rPr>
                <w:rFonts w:ascii="宋体"/>
              </w:rPr>
            </w:pPr>
          </w:p>
        </w:tc>
        <w:tc>
          <w:tcPr>
            <w:tcW w:w="647" w:type="pct"/>
            <w:shd w:val="clear" w:color="auto" w:fill="auto"/>
          </w:tcPr>
          <w:p w14:paraId="669C715F" w14:textId="77777777" w:rsidR="00066C63" w:rsidRDefault="00066C63">
            <w:pPr>
              <w:rPr>
                <w:rFonts w:ascii="宋体"/>
              </w:rPr>
            </w:pPr>
          </w:p>
        </w:tc>
        <w:tc>
          <w:tcPr>
            <w:tcW w:w="5" w:type="pct"/>
            <w:shd w:val="clear" w:color="auto" w:fill="auto"/>
          </w:tcPr>
          <w:p w14:paraId="669C7160" w14:textId="77777777" w:rsidR="00066C63" w:rsidRDefault="00066C63">
            <w:pPr>
              <w:rPr>
                <w:rFonts w:ascii="宋体"/>
              </w:rPr>
            </w:pPr>
          </w:p>
        </w:tc>
      </w:tr>
      <w:tr w:rsidR="00066C63" w14:paraId="669C7164" w14:textId="77777777">
        <w:tc>
          <w:tcPr>
            <w:tcW w:w="0" w:type="auto"/>
            <w:gridSpan w:val="3"/>
            <w:shd w:val="clear" w:color="auto" w:fill="auto"/>
            <w:tcMar>
              <w:top w:w="40" w:type="dxa"/>
              <w:left w:w="20" w:type="dxa"/>
              <w:bottom w:w="40" w:type="dxa"/>
              <w:right w:w="20" w:type="dxa"/>
            </w:tcMar>
            <w:vAlign w:val="bottom"/>
          </w:tcPr>
          <w:p w14:paraId="669C7162" w14:textId="77777777" w:rsidR="00066C63" w:rsidRDefault="009656F6">
            <w:pPr>
              <w:textAlignment w:val="bottom"/>
            </w:pPr>
            <w:r>
              <w:rPr>
                <w:rFonts w:ascii="Arial Narrow" w:eastAsia="Arial Narrow" w:hAnsi="Arial Narrow" w:cs="Arial Narrow"/>
                <w:i/>
                <w:iCs/>
                <w:color w:val="000000"/>
                <w:sz w:val="17"/>
                <w:szCs w:val="17"/>
              </w:rPr>
              <w:t>(Dollars in millions)</w:t>
            </w:r>
          </w:p>
        </w:tc>
        <w:tc>
          <w:tcPr>
            <w:tcW w:w="0" w:type="auto"/>
            <w:gridSpan w:val="3"/>
            <w:shd w:val="clear" w:color="auto" w:fill="auto"/>
            <w:tcMar>
              <w:top w:w="0" w:type="dxa"/>
              <w:left w:w="20" w:type="dxa"/>
              <w:bottom w:w="0" w:type="dxa"/>
              <w:right w:w="20" w:type="dxa"/>
            </w:tcMar>
          </w:tcPr>
          <w:p w14:paraId="669C7163" w14:textId="77777777" w:rsidR="00066C63" w:rsidRDefault="00066C63">
            <w:pPr>
              <w:rPr>
                <w:rFonts w:ascii="宋体"/>
              </w:rPr>
            </w:pPr>
          </w:p>
        </w:tc>
      </w:tr>
      <w:tr w:rsidR="00066C63" w14:paraId="669C7169"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165" w14:textId="77777777" w:rsidR="00066C63" w:rsidRDefault="009656F6">
            <w:pPr>
              <w:textAlignment w:val="bottom"/>
            </w:pPr>
            <w:r>
              <w:rPr>
                <w:rFonts w:ascii="Arial" w:eastAsia="宋体" w:hAnsi="Arial" w:cs="Arial"/>
                <w:b/>
                <w:bCs/>
                <w:color w:val="000000"/>
                <w:sz w:val="16"/>
                <w:szCs w:val="16"/>
              </w:rPr>
              <w:t>Balance at November 30, 2020</w:t>
            </w:r>
          </w:p>
        </w:tc>
        <w:tc>
          <w:tcPr>
            <w:tcW w:w="0" w:type="auto"/>
            <w:tcBorders>
              <w:top w:val="single" w:sz="8" w:space="0" w:color="E87722"/>
            </w:tcBorders>
            <w:shd w:val="clear" w:color="auto" w:fill="auto"/>
            <w:tcMar>
              <w:top w:w="40" w:type="dxa"/>
              <w:left w:w="20" w:type="dxa"/>
              <w:bottom w:w="40" w:type="dxa"/>
              <w:right w:w="0" w:type="dxa"/>
            </w:tcMar>
            <w:vAlign w:val="bottom"/>
          </w:tcPr>
          <w:p w14:paraId="669C7166" w14:textId="77777777" w:rsidR="00066C63" w:rsidRDefault="009656F6">
            <w:pPr>
              <w:textAlignment w:val="bottom"/>
            </w:pPr>
            <w:r>
              <w:rPr>
                <w:rFonts w:ascii="Arial" w:eastAsia="宋体" w:hAnsi="Arial" w:cs="Arial"/>
                <w:b/>
                <w:bCs/>
                <w:color w:val="000000"/>
                <w:sz w:val="16"/>
                <w:szCs w:val="16"/>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69C7167" w14:textId="77777777" w:rsidR="00066C63" w:rsidRDefault="009656F6">
            <w:pPr>
              <w:jc w:val="right"/>
              <w:textAlignment w:val="bottom"/>
            </w:pPr>
            <w:r>
              <w:rPr>
                <w:rFonts w:ascii="Arial" w:eastAsia="宋体" w:hAnsi="Arial" w:cs="Arial"/>
                <w:b/>
                <w:bCs/>
                <w:color w:val="000000"/>
                <w:sz w:val="16"/>
                <w:szCs w:val="16"/>
              </w:rPr>
              <w:t>104</w:t>
            </w:r>
            <w:r>
              <w:rPr>
                <w:rFonts w:ascii="Arial" w:eastAsia="宋体" w:hAnsi="Arial" w:cs="Arial"/>
                <w:color w:val="000000"/>
                <w:sz w:val="16"/>
                <w:szCs w:val="16"/>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7168" w14:textId="77777777" w:rsidR="00066C63" w:rsidRDefault="00066C63">
            <w:pPr>
              <w:jc w:val="right"/>
              <w:rPr>
                <w:rFonts w:ascii="宋体"/>
              </w:rPr>
            </w:pPr>
          </w:p>
        </w:tc>
      </w:tr>
      <w:tr w:rsidR="00066C63" w14:paraId="669C716D"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16A" w14:textId="77777777" w:rsidR="00066C63" w:rsidRDefault="009656F6">
            <w:pPr>
              <w:textAlignment w:val="bottom"/>
            </w:pPr>
            <w:r>
              <w:rPr>
                <w:rFonts w:ascii="Arial" w:eastAsia="宋体" w:hAnsi="Arial" w:cs="Arial"/>
                <w:color w:val="000000"/>
                <w:sz w:val="16"/>
                <w:szCs w:val="16"/>
              </w:rPr>
              <w:t>Employee termination costs</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669C716B" w14:textId="77777777" w:rsidR="00066C63" w:rsidRDefault="009656F6">
            <w:pPr>
              <w:jc w:val="right"/>
              <w:textAlignment w:val="bottom"/>
            </w:pPr>
            <w:r>
              <w:rPr>
                <w:rFonts w:ascii="Arial" w:eastAsia="宋体" w:hAnsi="Arial" w:cs="Arial"/>
                <w:color w:val="000000"/>
                <w:sz w:val="16"/>
                <w:szCs w:val="16"/>
              </w:rPr>
              <w:t>29 </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716C" w14:textId="77777777" w:rsidR="00066C63" w:rsidRDefault="00066C63">
            <w:pPr>
              <w:jc w:val="right"/>
              <w:rPr>
                <w:rFonts w:ascii="宋体"/>
              </w:rPr>
            </w:pPr>
          </w:p>
        </w:tc>
      </w:tr>
      <w:tr w:rsidR="00066C63" w14:paraId="669C7171" w14:textId="77777777">
        <w:tc>
          <w:tcPr>
            <w:tcW w:w="0" w:type="auto"/>
            <w:gridSpan w:val="3"/>
            <w:tcBorders>
              <w:top w:val="single" w:sz="8" w:space="0" w:color="B6B6B6"/>
            </w:tcBorders>
            <w:shd w:val="clear" w:color="auto" w:fill="auto"/>
            <w:tcMar>
              <w:top w:w="40" w:type="dxa"/>
              <w:left w:w="20" w:type="dxa"/>
              <w:bottom w:w="40" w:type="dxa"/>
              <w:right w:w="20" w:type="dxa"/>
            </w:tcMar>
            <w:vAlign w:val="bottom"/>
          </w:tcPr>
          <w:p w14:paraId="669C716E" w14:textId="77777777" w:rsidR="00066C63" w:rsidRDefault="009656F6">
            <w:pPr>
              <w:textAlignment w:val="bottom"/>
            </w:pPr>
            <w:r>
              <w:rPr>
                <w:rFonts w:ascii="Arial" w:eastAsia="宋体" w:hAnsi="Arial" w:cs="Arial"/>
                <w:color w:val="000000"/>
                <w:sz w:val="16"/>
                <w:szCs w:val="16"/>
              </w:rPr>
              <w:t>Cash payments</w:t>
            </w:r>
          </w:p>
        </w:tc>
        <w:tc>
          <w:tcPr>
            <w:tcW w:w="0" w:type="auto"/>
            <w:gridSpan w:val="2"/>
            <w:tcBorders>
              <w:top w:val="single" w:sz="8" w:space="0" w:color="B6B6B6"/>
            </w:tcBorders>
            <w:shd w:val="clear" w:color="auto" w:fill="FFF1E7"/>
            <w:tcMar>
              <w:top w:w="40" w:type="dxa"/>
              <w:left w:w="20" w:type="dxa"/>
              <w:bottom w:w="40" w:type="dxa"/>
              <w:right w:w="0" w:type="dxa"/>
            </w:tcMar>
            <w:vAlign w:val="bottom"/>
          </w:tcPr>
          <w:p w14:paraId="669C716F" w14:textId="77777777" w:rsidR="00066C63" w:rsidRDefault="009656F6">
            <w:pPr>
              <w:jc w:val="right"/>
              <w:textAlignment w:val="bottom"/>
            </w:pPr>
            <w:r>
              <w:rPr>
                <w:rFonts w:ascii="Arial" w:eastAsia="宋体" w:hAnsi="Arial" w:cs="Arial"/>
                <w:color w:val="000000"/>
                <w:sz w:val="16"/>
                <w:szCs w:val="16"/>
              </w:rPr>
              <w:t>(99)</w:t>
            </w:r>
          </w:p>
        </w:tc>
        <w:tc>
          <w:tcPr>
            <w:tcW w:w="0" w:type="auto"/>
            <w:tcBorders>
              <w:top w:val="single" w:sz="8" w:space="0" w:color="B6B6B6"/>
            </w:tcBorders>
            <w:shd w:val="clear" w:color="auto" w:fill="FFF1E7"/>
            <w:tcMar>
              <w:top w:w="40" w:type="dxa"/>
              <w:left w:w="0" w:type="dxa"/>
              <w:bottom w:w="40" w:type="dxa"/>
              <w:right w:w="20" w:type="dxa"/>
            </w:tcMar>
            <w:vAlign w:val="bottom"/>
          </w:tcPr>
          <w:p w14:paraId="669C7170" w14:textId="77777777" w:rsidR="00066C63" w:rsidRDefault="00066C63">
            <w:pPr>
              <w:jc w:val="right"/>
              <w:rPr>
                <w:rFonts w:ascii="宋体"/>
              </w:rPr>
            </w:pPr>
          </w:p>
        </w:tc>
      </w:tr>
      <w:tr w:rsidR="00066C63" w14:paraId="669C7175" w14:textId="77777777">
        <w:tc>
          <w:tcPr>
            <w:tcW w:w="0" w:type="auto"/>
            <w:gridSpan w:val="3"/>
            <w:tcBorders>
              <w:top w:val="single" w:sz="8" w:space="0" w:color="B6B6B6"/>
            </w:tcBorders>
            <w:shd w:val="clear" w:color="auto" w:fill="auto"/>
            <w:tcMar>
              <w:top w:w="40" w:type="dxa"/>
              <w:left w:w="20" w:type="dxa"/>
              <w:bottom w:w="40" w:type="dxa"/>
              <w:right w:w="20" w:type="dxa"/>
            </w:tcMar>
            <w:vAlign w:val="bottom"/>
          </w:tcPr>
          <w:p w14:paraId="669C7172" w14:textId="77777777" w:rsidR="00066C63" w:rsidRDefault="009656F6">
            <w:pPr>
              <w:textAlignment w:val="bottom"/>
            </w:pPr>
            <w:r>
              <w:rPr>
                <w:rFonts w:ascii="Arial" w:eastAsia="宋体" w:hAnsi="Arial" w:cs="Arial"/>
                <w:color w:val="000000"/>
                <w:sz w:val="16"/>
                <w:szCs w:val="16"/>
              </w:rPr>
              <w:t xml:space="preserve">Foreign currency </w:t>
            </w:r>
            <w:r>
              <w:rPr>
                <w:rFonts w:ascii="Arial" w:eastAsia="宋体" w:hAnsi="Arial" w:cs="Arial"/>
                <w:color w:val="000000"/>
                <w:sz w:val="16"/>
                <w:szCs w:val="16"/>
              </w:rPr>
              <w:t>translation and other</w:t>
            </w:r>
          </w:p>
        </w:tc>
        <w:tc>
          <w:tcPr>
            <w:tcW w:w="0" w:type="auto"/>
            <w:gridSpan w:val="2"/>
            <w:tcBorders>
              <w:top w:val="single" w:sz="8" w:space="0" w:color="B6B6B6"/>
            </w:tcBorders>
            <w:shd w:val="clear" w:color="auto" w:fill="FFF1E7"/>
            <w:tcMar>
              <w:top w:w="40" w:type="dxa"/>
              <w:left w:w="20" w:type="dxa"/>
              <w:bottom w:w="40" w:type="dxa"/>
              <w:right w:w="0" w:type="dxa"/>
            </w:tcMar>
            <w:vAlign w:val="bottom"/>
          </w:tcPr>
          <w:p w14:paraId="669C7173" w14:textId="77777777" w:rsidR="00066C63" w:rsidRDefault="009656F6">
            <w:pPr>
              <w:jc w:val="right"/>
              <w:textAlignment w:val="bottom"/>
            </w:pPr>
            <w:r>
              <w:rPr>
                <w:rFonts w:ascii="Arial" w:eastAsia="宋体" w:hAnsi="Arial" w:cs="Arial"/>
                <w:color w:val="000000"/>
                <w:sz w:val="16"/>
                <w:szCs w:val="16"/>
              </w:rPr>
              <w:t>1 </w:t>
            </w:r>
          </w:p>
        </w:tc>
        <w:tc>
          <w:tcPr>
            <w:tcW w:w="0" w:type="auto"/>
            <w:tcBorders>
              <w:top w:val="single" w:sz="8" w:space="0" w:color="B6B6B6"/>
            </w:tcBorders>
            <w:shd w:val="clear" w:color="auto" w:fill="FFF1E7"/>
            <w:tcMar>
              <w:top w:w="40" w:type="dxa"/>
              <w:left w:w="0" w:type="dxa"/>
              <w:bottom w:w="40" w:type="dxa"/>
              <w:right w:w="20" w:type="dxa"/>
            </w:tcMar>
            <w:vAlign w:val="bottom"/>
          </w:tcPr>
          <w:p w14:paraId="669C7174" w14:textId="77777777" w:rsidR="00066C63" w:rsidRDefault="00066C63">
            <w:pPr>
              <w:jc w:val="right"/>
              <w:rPr>
                <w:rFonts w:ascii="宋体"/>
              </w:rPr>
            </w:pPr>
          </w:p>
        </w:tc>
      </w:tr>
      <w:tr w:rsidR="00066C63" w14:paraId="669C717A"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669C7176" w14:textId="77777777" w:rsidR="00066C63" w:rsidRDefault="009656F6">
            <w:pPr>
              <w:textAlignment w:val="bottom"/>
            </w:pPr>
            <w:r>
              <w:rPr>
                <w:rFonts w:ascii="Arial" w:eastAsia="宋体" w:hAnsi="Arial" w:cs="Arial"/>
                <w:b/>
                <w:bCs/>
                <w:color w:val="000000"/>
                <w:sz w:val="16"/>
                <w:szCs w:val="16"/>
              </w:rPr>
              <w:t>Balance at February 28, 2021</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69C7177" w14:textId="77777777" w:rsidR="00066C63" w:rsidRDefault="009656F6">
            <w:pPr>
              <w:textAlignment w:val="bottom"/>
            </w:pPr>
            <w:r>
              <w:rPr>
                <w:rFonts w:ascii="Arial" w:eastAsia="宋体" w:hAnsi="Arial" w:cs="Arial"/>
                <w:b/>
                <w:bCs/>
                <w:color w:val="000000"/>
                <w:sz w:val="16"/>
                <w:szCs w:val="16"/>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669C7178" w14:textId="77777777" w:rsidR="00066C63" w:rsidRDefault="009656F6">
            <w:pPr>
              <w:jc w:val="right"/>
              <w:textAlignment w:val="bottom"/>
            </w:pPr>
            <w:r>
              <w:rPr>
                <w:rFonts w:ascii="Arial" w:eastAsia="宋体" w:hAnsi="Arial" w:cs="Arial"/>
                <w:b/>
                <w:bCs/>
                <w:color w:val="000000"/>
                <w:sz w:val="16"/>
                <w:szCs w:val="16"/>
              </w:rPr>
              <w:t>35</w:t>
            </w:r>
            <w:r>
              <w:rPr>
                <w:rFonts w:ascii="Arial" w:eastAsia="宋体" w:hAnsi="Arial" w:cs="Arial"/>
                <w:color w:val="000000"/>
                <w:sz w:val="16"/>
                <w:szCs w:val="16"/>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69C7179" w14:textId="77777777" w:rsidR="00066C63" w:rsidRDefault="00066C63">
            <w:pPr>
              <w:jc w:val="right"/>
              <w:rPr>
                <w:rFonts w:ascii="宋体"/>
              </w:rPr>
            </w:pPr>
          </w:p>
        </w:tc>
      </w:tr>
    </w:tbl>
    <w:p w14:paraId="669C717B" w14:textId="77777777" w:rsidR="00066C63" w:rsidRDefault="00066C63"/>
    <w:tbl>
      <w:tblPr>
        <w:tblW w:w="5000" w:type="pct"/>
        <w:tblCellMar>
          <w:top w:w="15" w:type="dxa"/>
          <w:left w:w="15" w:type="dxa"/>
          <w:bottom w:w="15" w:type="dxa"/>
          <w:right w:w="15" w:type="dxa"/>
        </w:tblCellMar>
        <w:tblLook w:val="04A0" w:firstRow="1" w:lastRow="0" w:firstColumn="1" w:lastColumn="0" w:noHBand="0" w:noVBand="1"/>
      </w:tblPr>
      <w:tblGrid>
        <w:gridCol w:w="55"/>
        <w:gridCol w:w="7046"/>
        <w:gridCol w:w="38"/>
        <w:gridCol w:w="110"/>
        <w:gridCol w:w="1051"/>
        <w:gridCol w:w="36"/>
      </w:tblGrid>
      <w:tr w:rsidR="00066C63" w14:paraId="669C7182" w14:textId="77777777">
        <w:tc>
          <w:tcPr>
            <w:tcW w:w="50" w:type="pct"/>
            <w:shd w:val="clear" w:color="auto" w:fill="auto"/>
          </w:tcPr>
          <w:p w14:paraId="669C717C" w14:textId="77777777" w:rsidR="00066C63" w:rsidRDefault="00066C63">
            <w:pPr>
              <w:rPr>
                <w:rFonts w:ascii="宋体"/>
              </w:rPr>
            </w:pPr>
          </w:p>
        </w:tc>
        <w:tc>
          <w:tcPr>
            <w:tcW w:w="4242" w:type="pct"/>
            <w:shd w:val="clear" w:color="auto" w:fill="auto"/>
          </w:tcPr>
          <w:p w14:paraId="669C717D" w14:textId="77777777" w:rsidR="00066C63" w:rsidRDefault="00066C63">
            <w:pPr>
              <w:rPr>
                <w:rFonts w:ascii="宋体"/>
              </w:rPr>
            </w:pPr>
          </w:p>
        </w:tc>
        <w:tc>
          <w:tcPr>
            <w:tcW w:w="5" w:type="pct"/>
            <w:shd w:val="clear" w:color="auto" w:fill="auto"/>
          </w:tcPr>
          <w:p w14:paraId="669C717E" w14:textId="77777777" w:rsidR="00066C63" w:rsidRDefault="00066C63">
            <w:pPr>
              <w:rPr>
                <w:rFonts w:ascii="宋体"/>
              </w:rPr>
            </w:pPr>
          </w:p>
        </w:tc>
        <w:tc>
          <w:tcPr>
            <w:tcW w:w="50" w:type="pct"/>
            <w:shd w:val="clear" w:color="auto" w:fill="auto"/>
          </w:tcPr>
          <w:p w14:paraId="669C717F" w14:textId="77777777" w:rsidR="00066C63" w:rsidRDefault="00066C63">
            <w:pPr>
              <w:rPr>
                <w:rFonts w:ascii="宋体"/>
              </w:rPr>
            </w:pPr>
          </w:p>
        </w:tc>
        <w:tc>
          <w:tcPr>
            <w:tcW w:w="647" w:type="pct"/>
            <w:shd w:val="clear" w:color="auto" w:fill="auto"/>
          </w:tcPr>
          <w:p w14:paraId="669C7180" w14:textId="77777777" w:rsidR="00066C63" w:rsidRDefault="00066C63">
            <w:pPr>
              <w:rPr>
                <w:rFonts w:ascii="宋体"/>
              </w:rPr>
            </w:pPr>
          </w:p>
        </w:tc>
        <w:tc>
          <w:tcPr>
            <w:tcW w:w="5" w:type="pct"/>
            <w:shd w:val="clear" w:color="auto" w:fill="auto"/>
          </w:tcPr>
          <w:p w14:paraId="669C7181" w14:textId="77777777" w:rsidR="00066C63" w:rsidRDefault="00066C63">
            <w:pPr>
              <w:rPr>
                <w:rFonts w:ascii="宋体"/>
              </w:rPr>
            </w:pPr>
          </w:p>
        </w:tc>
      </w:tr>
      <w:tr w:rsidR="00066C63" w14:paraId="669C7185" w14:textId="77777777">
        <w:tc>
          <w:tcPr>
            <w:tcW w:w="0" w:type="auto"/>
            <w:gridSpan w:val="3"/>
            <w:shd w:val="clear" w:color="auto" w:fill="auto"/>
            <w:tcMar>
              <w:top w:w="40" w:type="dxa"/>
              <w:left w:w="20" w:type="dxa"/>
              <w:bottom w:w="40" w:type="dxa"/>
              <w:right w:w="20" w:type="dxa"/>
            </w:tcMar>
            <w:vAlign w:val="bottom"/>
          </w:tcPr>
          <w:p w14:paraId="669C7183" w14:textId="77777777" w:rsidR="00066C63" w:rsidRDefault="009656F6">
            <w:pPr>
              <w:textAlignment w:val="bottom"/>
            </w:pPr>
            <w:r>
              <w:rPr>
                <w:rFonts w:ascii="Arial Narrow" w:eastAsia="Arial Narrow" w:hAnsi="Arial Narrow" w:cs="Arial Narrow"/>
                <w:i/>
                <w:iCs/>
                <w:color w:val="000000"/>
                <w:sz w:val="17"/>
                <w:szCs w:val="17"/>
              </w:rPr>
              <w:t>(Dollars in millions)</w:t>
            </w:r>
          </w:p>
        </w:tc>
        <w:tc>
          <w:tcPr>
            <w:tcW w:w="0" w:type="auto"/>
            <w:gridSpan w:val="3"/>
            <w:shd w:val="clear" w:color="auto" w:fill="auto"/>
            <w:tcMar>
              <w:top w:w="0" w:type="dxa"/>
              <w:left w:w="20" w:type="dxa"/>
              <w:bottom w:w="0" w:type="dxa"/>
              <w:right w:w="20" w:type="dxa"/>
            </w:tcMar>
          </w:tcPr>
          <w:p w14:paraId="669C7184" w14:textId="77777777" w:rsidR="00066C63" w:rsidRDefault="00066C63">
            <w:pPr>
              <w:rPr>
                <w:rFonts w:ascii="宋体"/>
              </w:rPr>
            </w:pPr>
          </w:p>
        </w:tc>
      </w:tr>
      <w:tr w:rsidR="00066C63" w14:paraId="669C718A"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186" w14:textId="77777777" w:rsidR="00066C63" w:rsidRDefault="009656F6">
            <w:pPr>
              <w:textAlignment w:val="bottom"/>
            </w:pPr>
            <w:r>
              <w:rPr>
                <w:rFonts w:ascii="Arial" w:eastAsia="宋体" w:hAnsi="Arial" w:cs="Arial"/>
                <w:b/>
                <w:bCs/>
                <w:color w:val="000000"/>
                <w:sz w:val="16"/>
                <w:szCs w:val="16"/>
              </w:rPr>
              <w:t>Balance at May 31, 2020</w:t>
            </w:r>
          </w:p>
        </w:tc>
        <w:tc>
          <w:tcPr>
            <w:tcW w:w="0" w:type="auto"/>
            <w:tcBorders>
              <w:top w:val="single" w:sz="8" w:space="0" w:color="E87722"/>
            </w:tcBorders>
            <w:shd w:val="clear" w:color="auto" w:fill="auto"/>
            <w:tcMar>
              <w:top w:w="40" w:type="dxa"/>
              <w:left w:w="20" w:type="dxa"/>
              <w:bottom w:w="40" w:type="dxa"/>
              <w:right w:w="0" w:type="dxa"/>
            </w:tcMar>
            <w:vAlign w:val="bottom"/>
          </w:tcPr>
          <w:p w14:paraId="669C7187" w14:textId="77777777" w:rsidR="00066C63" w:rsidRDefault="009656F6">
            <w:pPr>
              <w:textAlignment w:val="bottom"/>
            </w:pPr>
            <w:r>
              <w:rPr>
                <w:rFonts w:ascii="Arial" w:eastAsia="宋体" w:hAnsi="Arial" w:cs="Arial"/>
                <w:b/>
                <w:bCs/>
                <w:color w:val="000000"/>
                <w:sz w:val="16"/>
                <w:szCs w:val="16"/>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69C7188" w14:textId="77777777" w:rsidR="00066C63" w:rsidRDefault="009656F6">
            <w:pPr>
              <w:jc w:val="right"/>
              <w:textAlignment w:val="bottom"/>
            </w:pPr>
            <w:r>
              <w:rPr>
                <w:rFonts w:ascii="Arial" w:eastAsia="宋体" w:hAnsi="Arial" w:cs="Arial"/>
                <w:b/>
                <w:bCs/>
                <w:color w:val="000000"/>
                <w:sz w:val="16"/>
                <w:szCs w:val="16"/>
              </w:rPr>
              <w:t>—</w:t>
            </w:r>
            <w:r>
              <w:rPr>
                <w:rFonts w:ascii="Arial" w:eastAsia="宋体" w:hAnsi="Arial" w:cs="Arial"/>
                <w:color w:val="000000"/>
                <w:sz w:val="16"/>
                <w:szCs w:val="16"/>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7189" w14:textId="77777777" w:rsidR="00066C63" w:rsidRDefault="00066C63">
            <w:pPr>
              <w:jc w:val="right"/>
              <w:rPr>
                <w:rFonts w:ascii="宋体"/>
              </w:rPr>
            </w:pPr>
          </w:p>
        </w:tc>
      </w:tr>
      <w:tr w:rsidR="00066C63" w14:paraId="669C718E"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18B" w14:textId="77777777" w:rsidR="00066C63" w:rsidRDefault="009656F6">
            <w:pPr>
              <w:textAlignment w:val="bottom"/>
            </w:pPr>
            <w:r>
              <w:rPr>
                <w:rFonts w:ascii="Arial" w:eastAsia="宋体" w:hAnsi="Arial" w:cs="Arial"/>
                <w:color w:val="000000"/>
                <w:sz w:val="16"/>
                <w:szCs w:val="16"/>
              </w:rPr>
              <w:t>Employee termination costs</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669C718C" w14:textId="77777777" w:rsidR="00066C63" w:rsidRDefault="009656F6">
            <w:pPr>
              <w:jc w:val="right"/>
              <w:textAlignment w:val="bottom"/>
            </w:pPr>
            <w:r>
              <w:rPr>
                <w:rFonts w:ascii="Arial" w:eastAsia="宋体" w:hAnsi="Arial" w:cs="Arial"/>
                <w:color w:val="000000"/>
                <w:sz w:val="16"/>
                <w:szCs w:val="16"/>
              </w:rPr>
              <w:t>204 </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718D" w14:textId="77777777" w:rsidR="00066C63" w:rsidRDefault="00066C63">
            <w:pPr>
              <w:jc w:val="right"/>
              <w:rPr>
                <w:rFonts w:ascii="宋体"/>
              </w:rPr>
            </w:pPr>
          </w:p>
        </w:tc>
      </w:tr>
      <w:tr w:rsidR="00066C63" w14:paraId="669C7192" w14:textId="77777777">
        <w:tc>
          <w:tcPr>
            <w:tcW w:w="0" w:type="auto"/>
            <w:gridSpan w:val="3"/>
            <w:tcBorders>
              <w:top w:val="single" w:sz="8" w:space="0" w:color="B6B6B6"/>
            </w:tcBorders>
            <w:shd w:val="clear" w:color="auto" w:fill="auto"/>
            <w:tcMar>
              <w:top w:w="40" w:type="dxa"/>
              <w:left w:w="20" w:type="dxa"/>
              <w:bottom w:w="40" w:type="dxa"/>
              <w:right w:w="20" w:type="dxa"/>
            </w:tcMar>
            <w:vAlign w:val="bottom"/>
          </w:tcPr>
          <w:p w14:paraId="669C718F" w14:textId="77777777" w:rsidR="00066C63" w:rsidRDefault="009656F6">
            <w:pPr>
              <w:textAlignment w:val="bottom"/>
            </w:pPr>
            <w:r>
              <w:rPr>
                <w:rFonts w:ascii="Arial" w:eastAsia="宋体" w:hAnsi="Arial" w:cs="Arial"/>
                <w:color w:val="000000"/>
                <w:sz w:val="16"/>
                <w:szCs w:val="16"/>
              </w:rPr>
              <w:t>Cash payments</w:t>
            </w:r>
          </w:p>
        </w:tc>
        <w:tc>
          <w:tcPr>
            <w:tcW w:w="0" w:type="auto"/>
            <w:gridSpan w:val="2"/>
            <w:tcBorders>
              <w:top w:val="single" w:sz="8" w:space="0" w:color="B6B6B6"/>
            </w:tcBorders>
            <w:shd w:val="clear" w:color="auto" w:fill="FFF1E7"/>
            <w:tcMar>
              <w:top w:w="40" w:type="dxa"/>
              <w:left w:w="20" w:type="dxa"/>
              <w:bottom w:w="40" w:type="dxa"/>
              <w:right w:w="0" w:type="dxa"/>
            </w:tcMar>
            <w:vAlign w:val="bottom"/>
          </w:tcPr>
          <w:p w14:paraId="669C7190" w14:textId="77777777" w:rsidR="00066C63" w:rsidRDefault="009656F6">
            <w:pPr>
              <w:jc w:val="right"/>
              <w:textAlignment w:val="bottom"/>
            </w:pPr>
            <w:r>
              <w:rPr>
                <w:rFonts w:ascii="Arial" w:eastAsia="宋体" w:hAnsi="Arial" w:cs="Arial"/>
                <w:color w:val="000000"/>
                <w:sz w:val="16"/>
                <w:szCs w:val="16"/>
              </w:rPr>
              <w:t>(170)</w:t>
            </w:r>
          </w:p>
        </w:tc>
        <w:tc>
          <w:tcPr>
            <w:tcW w:w="0" w:type="auto"/>
            <w:tcBorders>
              <w:top w:val="single" w:sz="8" w:space="0" w:color="B6B6B6"/>
            </w:tcBorders>
            <w:shd w:val="clear" w:color="auto" w:fill="FFF1E7"/>
            <w:tcMar>
              <w:top w:w="40" w:type="dxa"/>
              <w:left w:w="0" w:type="dxa"/>
              <w:bottom w:w="40" w:type="dxa"/>
              <w:right w:w="20" w:type="dxa"/>
            </w:tcMar>
            <w:vAlign w:val="bottom"/>
          </w:tcPr>
          <w:p w14:paraId="669C7191" w14:textId="77777777" w:rsidR="00066C63" w:rsidRDefault="00066C63">
            <w:pPr>
              <w:jc w:val="right"/>
              <w:rPr>
                <w:rFonts w:ascii="宋体"/>
              </w:rPr>
            </w:pPr>
          </w:p>
        </w:tc>
      </w:tr>
      <w:tr w:rsidR="00066C63" w14:paraId="669C7196" w14:textId="77777777">
        <w:tc>
          <w:tcPr>
            <w:tcW w:w="0" w:type="auto"/>
            <w:gridSpan w:val="3"/>
            <w:tcBorders>
              <w:top w:val="single" w:sz="8" w:space="0" w:color="B6B6B6"/>
            </w:tcBorders>
            <w:shd w:val="clear" w:color="auto" w:fill="auto"/>
            <w:tcMar>
              <w:top w:w="40" w:type="dxa"/>
              <w:left w:w="20" w:type="dxa"/>
              <w:bottom w:w="40" w:type="dxa"/>
              <w:right w:w="20" w:type="dxa"/>
            </w:tcMar>
            <w:vAlign w:val="bottom"/>
          </w:tcPr>
          <w:p w14:paraId="669C7193" w14:textId="77777777" w:rsidR="00066C63" w:rsidRDefault="009656F6">
            <w:pPr>
              <w:textAlignment w:val="bottom"/>
            </w:pPr>
            <w:r>
              <w:rPr>
                <w:rFonts w:ascii="Arial" w:eastAsia="宋体" w:hAnsi="Arial" w:cs="Arial"/>
                <w:color w:val="000000"/>
                <w:sz w:val="16"/>
                <w:szCs w:val="16"/>
              </w:rPr>
              <w:t>Foreign currency translation and other</w:t>
            </w:r>
          </w:p>
        </w:tc>
        <w:tc>
          <w:tcPr>
            <w:tcW w:w="0" w:type="auto"/>
            <w:gridSpan w:val="2"/>
            <w:tcBorders>
              <w:top w:val="single" w:sz="8" w:space="0" w:color="B6B6B6"/>
            </w:tcBorders>
            <w:shd w:val="clear" w:color="auto" w:fill="FFF1E7"/>
            <w:tcMar>
              <w:top w:w="40" w:type="dxa"/>
              <w:left w:w="20" w:type="dxa"/>
              <w:bottom w:w="40" w:type="dxa"/>
              <w:right w:w="0" w:type="dxa"/>
            </w:tcMar>
            <w:vAlign w:val="bottom"/>
          </w:tcPr>
          <w:p w14:paraId="669C7194" w14:textId="77777777" w:rsidR="00066C63" w:rsidRDefault="009656F6">
            <w:pPr>
              <w:jc w:val="right"/>
              <w:textAlignment w:val="bottom"/>
            </w:pPr>
            <w:r>
              <w:rPr>
                <w:rFonts w:ascii="Arial" w:eastAsia="宋体" w:hAnsi="Arial" w:cs="Arial"/>
                <w:color w:val="000000"/>
                <w:sz w:val="16"/>
                <w:szCs w:val="16"/>
              </w:rPr>
              <w:t>1 </w:t>
            </w:r>
          </w:p>
        </w:tc>
        <w:tc>
          <w:tcPr>
            <w:tcW w:w="0" w:type="auto"/>
            <w:tcBorders>
              <w:top w:val="single" w:sz="8" w:space="0" w:color="B6B6B6"/>
            </w:tcBorders>
            <w:shd w:val="clear" w:color="auto" w:fill="FFF1E7"/>
            <w:tcMar>
              <w:top w:w="40" w:type="dxa"/>
              <w:left w:w="0" w:type="dxa"/>
              <w:bottom w:w="40" w:type="dxa"/>
              <w:right w:w="20" w:type="dxa"/>
            </w:tcMar>
            <w:vAlign w:val="bottom"/>
          </w:tcPr>
          <w:p w14:paraId="669C7195" w14:textId="77777777" w:rsidR="00066C63" w:rsidRDefault="00066C63">
            <w:pPr>
              <w:jc w:val="right"/>
              <w:rPr>
                <w:rFonts w:ascii="宋体"/>
              </w:rPr>
            </w:pPr>
          </w:p>
        </w:tc>
      </w:tr>
      <w:tr w:rsidR="00066C63" w14:paraId="669C719B"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669C7197" w14:textId="77777777" w:rsidR="00066C63" w:rsidRDefault="009656F6">
            <w:pPr>
              <w:textAlignment w:val="bottom"/>
            </w:pPr>
            <w:r>
              <w:rPr>
                <w:rFonts w:ascii="Arial" w:eastAsia="宋体" w:hAnsi="Arial" w:cs="Arial"/>
                <w:b/>
                <w:bCs/>
                <w:color w:val="000000"/>
                <w:sz w:val="16"/>
                <w:szCs w:val="16"/>
              </w:rPr>
              <w:t xml:space="preserve">Balance at February 28, </w:t>
            </w:r>
            <w:r>
              <w:rPr>
                <w:rFonts w:ascii="Arial" w:eastAsia="宋体" w:hAnsi="Arial" w:cs="Arial"/>
                <w:b/>
                <w:bCs/>
                <w:color w:val="000000"/>
                <w:sz w:val="16"/>
                <w:szCs w:val="16"/>
              </w:rPr>
              <w:t>2021</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69C7198" w14:textId="77777777" w:rsidR="00066C63" w:rsidRDefault="009656F6">
            <w:pPr>
              <w:textAlignment w:val="bottom"/>
            </w:pPr>
            <w:r>
              <w:rPr>
                <w:rFonts w:ascii="Arial" w:eastAsia="宋体" w:hAnsi="Arial" w:cs="Arial"/>
                <w:b/>
                <w:bCs/>
                <w:color w:val="000000"/>
                <w:sz w:val="16"/>
                <w:szCs w:val="16"/>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669C7199" w14:textId="77777777" w:rsidR="00066C63" w:rsidRDefault="009656F6">
            <w:pPr>
              <w:jc w:val="right"/>
              <w:textAlignment w:val="bottom"/>
            </w:pPr>
            <w:r>
              <w:rPr>
                <w:rFonts w:ascii="Arial" w:eastAsia="宋体" w:hAnsi="Arial" w:cs="Arial"/>
                <w:b/>
                <w:bCs/>
                <w:color w:val="000000"/>
                <w:sz w:val="16"/>
                <w:szCs w:val="16"/>
              </w:rPr>
              <w:t>35</w:t>
            </w:r>
            <w:r>
              <w:rPr>
                <w:rFonts w:ascii="Arial" w:eastAsia="宋体" w:hAnsi="Arial" w:cs="Arial"/>
                <w:color w:val="000000"/>
                <w:sz w:val="16"/>
                <w:szCs w:val="16"/>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69C719A" w14:textId="77777777" w:rsidR="00066C63" w:rsidRDefault="00066C63">
            <w:pPr>
              <w:jc w:val="right"/>
              <w:rPr>
                <w:rFonts w:ascii="宋体"/>
              </w:rPr>
            </w:pPr>
          </w:p>
        </w:tc>
      </w:tr>
    </w:tbl>
    <w:p w14:paraId="669C719C" w14:textId="77777777" w:rsidR="00066C63" w:rsidRDefault="00066C63"/>
    <w:p w14:paraId="669C719D" w14:textId="77777777" w:rsidR="00066C63" w:rsidRDefault="009656F6">
      <w:r>
        <w:rPr>
          <w:rFonts w:ascii="Arial" w:eastAsia="宋体" w:hAnsi="Arial" w:cs="Arial"/>
          <w:color w:val="000000"/>
          <w:sz w:val="17"/>
          <w:szCs w:val="17"/>
        </w:rPr>
        <w:t xml:space="preserve">Additionally, the related stock-based compensation expense recorded within Operating overhead expense and Costs of sales was $1 million and $0 million, respectively, for the three months ended February 28, 2021, and $40 million and $4 </w:t>
      </w:r>
      <w:r>
        <w:rPr>
          <w:rFonts w:ascii="Arial" w:eastAsia="宋体" w:hAnsi="Arial" w:cs="Arial"/>
          <w:color w:val="000000"/>
          <w:sz w:val="17"/>
          <w:szCs w:val="17"/>
        </w:rPr>
        <w:t>million, respectively, for the nine months ended February 28, 2021.</w:t>
      </w:r>
    </w:p>
    <w:p w14:paraId="669C719E" w14:textId="77777777" w:rsidR="00066C63" w:rsidRDefault="009656F6">
      <w:pPr>
        <w:spacing w:before="120" w:after="120"/>
      </w:pPr>
      <w:r>
        <w:rPr>
          <w:rFonts w:ascii="Arial" w:eastAsia="宋体" w:hAnsi="Arial" w:cs="Arial"/>
          <w:color w:val="E87722"/>
          <w:sz w:val="17"/>
          <w:szCs w:val="17"/>
        </w:rPr>
        <w:t>24</w:t>
      </w:r>
      <w:r>
        <w:rPr>
          <w:rFonts w:ascii="sans-serif" w:eastAsia="sans-serif" w:hAnsi="sans-serif" w:cs="sans-serif"/>
          <w:color w:val="000000"/>
          <w:sz w:val="17"/>
          <w:szCs w:val="17"/>
        </w:rPr>
        <w:t xml:space="preserve"> </w:t>
      </w:r>
    </w:p>
    <w:p w14:paraId="669C719F" w14:textId="77777777" w:rsidR="00066C63" w:rsidRDefault="009656F6">
      <w:r>
        <w:pict w14:anchorId="669C7E48">
          <v:rect id="_x0000_i1050" style="width:415.3pt;height:1.5pt" o:hralign="center" o:hrstd="t" o:hr="t" fillcolor="#a0a0a0" stroked="f"/>
        </w:pict>
      </w:r>
    </w:p>
    <w:p w14:paraId="669C71A0" w14:textId="77777777" w:rsidR="00066C63" w:rsidRDefault="00066C63"/>
    <w:p w14:paraId="669C71A1" w14:textId="77777777" w:rsidR="00066C63" w:rsidRDefault="009656F6">
      <w:hyperlink r:id="rId95" w:anchor="i1e99cb26debe49fe8b698d0f0eb1273a_7" w:history="1">
        <w:r>
          <w:rPr>
            <w:rStyle w:val="a5"/>
            <w:rFonts w:ascii="sans-serif" w:eastAsia="sans-serif" w:hAnsi="sans-serif" w:cs="sans-serif"/>
            <w:sz w:val="17"/>
            <w:szCs w:val="17"/>
          </w:rPr>
          <w:t>Table of Contents</w:t>
        </w:r>
      </w:hyperlink>
    </w:p>
    <w:p w14:paraId="669C71A2" w14:textId="77777777" w:rsidR="00066C63" w:rsidRDefault="00066C63"/>
    <w:p w14:paraId="669C71A3" w14:textId="77777777" w:rsidR="00066C63" w:rsidRDefault="009656F6">
      <w:pPr>
        <w:spacing w:before="360" w:after="180"/>
      </w:pPr>
      <w:r>
        <w:rPr>
          <w:rFonts w:ascii="sans-serif" w:eastAsia="sans-serif" w:hAnsi="sans-serif" w:cs="sans-serif"/>
          <w:color w:val="000000"/>
          <w:sz w:val="44"/>
          <w:szCs w:val="44"/>
        </w:rPr>
        <w:t>ITEM 2. MANAGEMENT'S DISCUSSION AND ANALYSIS OF FINANCIAL CONDITION AND RESULTS OF OP</w:t>
      </w:r>
      <w:r>
        <w:rPr>
          <w:rFonts w:ascii="sans-serif" w:eastAsia="sans-serif" w:hAnsi="sans-serif" w:cs="sans-serif"/>
          <w:color w:val="000000"/>
          <w:sz w:val="44"/>
          <w:szCs w:val="44"/>
        </w:rPr>
        <w:t>ERATIONS</w:t>
      </w:r>
    </w:p>
    <w:p w14:paraId="669C71A4" w14:textId="77777777" w:rsidR="00066C63" w:rsidRDefault="009656F6">
      <w:pPr>
        <w:spacing w:before="240" w:after="120"/>
      </w:pPr>
      <w:r>
        <w:rPr>
          <w:rFonts w:ascii="sans-serif" w:eastAsia="sans-serif" w:hAnsi="sans-serif" w:cs="sans-serif"/>
          <w:b/>
          <w:bCs/>
          <w:color w:val="000000"/>
          <w:sz w:val="28"/>
          <w:szCs w:val="28"/>
        </w:rPr>
        <w:t>OVERVIEW</w:t>
      </w:r>
    </w:p>
    <w:p w14:paraId="669C71A5" w14:textId="77777777" w:rsidR="00066C63" w:rsidRDefault="009656F6">
      <w:pPr>
        <w:spacing w:before="120" w:after="120"/>
      </w:pPr>
      <w:r>
        <w:rPr>
          <w:rFonts w:ascii="Arial" w:eastAsia="宋体" w:hAnsi="Arial" w:cs="Arial"/>
          <w:color w:val="000000"/>
          <w:sz w:val="17"/>
          <w:szCs w:val="17"/>
        </w:rPr>
        <w:t>NIKE designs, develops, markets and sells athletic footwear, apparel, equipment, accessories and services worldwide. We are the largest seller of athletic footwear and apparel in the world. We sell our products through NIKE-owned retail s</w:t>
      </w:r>
      <w:r>
        <w:rPr>
          <w:rFonts w:ascii="Arial" w:eastAsia="宋体" w:hAnsi="Arial" w:cs="Arial"/>
          <w:color w:val="000000"/>
          <w:sz w:val="17"/>
          <w:szCs w:val="17"/>
        </w:rPr>
        <w:t xml:space="preserve">tores and through digital platforms (which we refer to collectively as our “NIKE Direct” operations), to retail accounts and to a mix of independent distributors, licensees and sales representatives in virtually all countries around the world. Our goal is </w:t>
      </w:r>
      <w:r>
        <w:rPr>
          <w:rFonts w:ascii="Arial" w:eastAsia="宋体" w:hAnsi="Arial" w:cs="Arial"/>
          <w:color w:val="000000"/>
          <w:sz w:val="17"/>
          <w:szCs w:val="17"/>
        </w:rPr>
        <w:t>to deliver value to our shareholders by building a profitable global portfolio of branded footwear, apparel, equipment and accessories businesses. Our strategy is to achieve long-term revenue growth by creating innovative, “must-have” products, building de</w:t>
      </w:r>
      <w:r>
        <w:rPr>
          <w:rFonts w:ascii="Arial" w:eastAsia="宋体" w:hAnsi="Arial" w:cs="Arial"/>
          <w:color w:val="000000"/>
          <w:sz w:val="17"/>
          <w:szCs w:val="17"/>
        </w:rPr>
        <w:t xml:space="preserve">ep personal consumer connections with our brands and delivering compelling consumer experiences through digital platforms and at retail. </w:t>
      </w:r>
    </w:p>
    <w:p w14:paraId="669C71A6" w14:textId="77777777" w:rsidR="00066C63" w:rsidRDefault="009656F6">
      <w:pPr>
        <w:spacing w:before="120" w:after="120"/>
      </w:pPr>
      <w:r>
        <w:rPr>
          <w:rFonts w:ascii="Arial" w:eastAsia="宋体" w:hAnsi="Arial" w:cs="Arial"/>
          <w:color w:val="212529"/>
          <w:sz w:val="17"/>
          <w:szCs w:val="17"/>
        </w:rPr>
        <w:t>Since fiscal 2018, through the Consumer Direct Offense and our Triple Double strategy, we have focused on doubling the</w:t>
      </w:r>
      <w:r>
        <w:rPr>
          <w:rFonts w:ascii="Arial" w:eastAsia="宋体" w:hAnsi="Arial" w:cs="Arial"/>
          <w:color w:val="212529"/>
          <w:sz w:val="17"/>
          <w:szCs w:val="17"/>
        </w:rPr>
        <w:t xml:space="preserve"> impact of innovation, increasing our speed and agility to market and growing our direct connections with consumers. In June 2020, we announced a new digitally empowered phase of the Consumer Direct Offense strategy: Consumer Direct Acceleration. This stra</w:t>
      </w:r>
      <w:r>
        <w:rPr>
          <w:rFonts w:ascii="Arial" w:eastAsia="宋体" w:hAnsi="Arial" w:cs="Arial"/>
          <w:color w:val="212529"/>
          <w:sz w:val="17"/>
          <w:szCs w:val="17"/>
        </w:rPr>
        <w:t xml:space="preserve">tegic acceleration will focus on three specific areas. First, creating the marketplace of the future through more premium, consistent and seamless consumer experiences that more closely align with what consumers want and need. This strategy will lead with </w:t>
      </w:r>
      <w:r>
        <w:rPr>
          <w:rFonts w:ascii="Arial" w:eastAsia="宋体" w:hAnsi="Arial" w:cs="Arial"/>
          <w:color w:val="212529"/>
          <w:sz w:val="17"/>
          <w:szCs w:val="17"/>
        </w:rPr>
        <w:t>NIKE Digital and our owned stores, as well as through select strategic partners who share our marketplace vision. Second, we will align our product creation and category organizations around a new consumer construct focused on Men’s, Women's and Kids'. Thi</w:t>
      </w:r>
      <w:r>
        <w:rPr>
          <w:rFonts w:ascii="Arial" w:eastAsia="宋体" w:hAnsi="Arial" w:cs="Arial"/>
          <w:color w:val="212529"/>
          <w:sz w:val="17"/>
          <w:szCs w:val="17"/>
        </w:rPr>
        <w:t>s approach is intended to allow us to create product that better meets individual consumer needs, including more specialization of our category approach, while re-aligning and simplifying our offense to accelerate our largest growth opportunities. In parti</w:t>
      </w:r>
      <w:r>
        <w:rPr>
          <w:rFonts w:ascii="Arial" w:eastAsia="宋体" w:hAnsi="Arial" w:cs="Arial"/>
          <w:color w:val="212529"/>
          <w:sz w:val="17"/>
          <w:szCs w:val="17"/>
        </w:rPr>
        <w:t>cular, we expect to reinvest in our Women's and Kids' businesses and also simplify our operating model across the remainder of the Company to optimize effectiveness. Third, we will unify investments in data and analytics, demand sensing, insight gathering,</w:t>
      </w:r>
      <w:r>
        <w:rPr>
          <w:rFonts w:ascii="Arial" w:eastAsia="宋体" w:hAnsi="Arial" w:cs="Arial"/>
          <w:color w:val="212529"/>
          <w:sz w:val="17"/>
          <w:szCs w:val="17"/>
        </w:rPr>
        <w:t xml:space="preserve"> inventory management and other areas against an end-to-end technology foundation to accelerate our digital transformation. We believe this unified approach will accelerate growth and unlock more efficiency for our business, while driving speed and respons</w:t>
      </w:r>
      <w:r>
        <w:rPr>
          <w:rFonts w:ascii="Arial" w:eastAsia="宋体" w:hAnsi="Arial" w:cs="Arial"/>
          <w:color w:val="212529"/>
          <w:sz w:val="17"/>
          <w:szCs w:val="17"/>
        </w:rPr>
        <w:t>iveness as we serve consumers globally.</w:t>
      </w:r>
    </w:p>
    <w:p w14:paraId="669C71A7" w14:textId="77777777" w:rsidR="00066C63" w:rsidRDefault="009656F6">
      <w:r>
        <w:rPr>
          <w:rFonts w:ascii="Arial" w:eastAsia="宋体" w:hAnsi="Arial" w:cs="Arial"/>
          <w:color w:val="212529"/>
          <w:sz w:val="17"/>
          <w:szCs w:val="17"/>
        </w:rPr>
        <w:t xml:space="preserve">As a result of our strategic acceleration, management announced on July 22, 2020, a series of leadership and operating model changes to streamline and speed up our execution. </w:t>
      </w:r>
      <w:r>
        <w:rPr>
          <w:rFonts w:ascii="Arial" w:eastAsia="宋体" w:hAnsi="Arial" w:cs="Arial"/>
          <w:color w:val="000000"/>
          <w:sz w:val="17"/>
          <w:szCs w:val="17"/>
        </w:rPr>
        <w:t>These changes will result in a net reduct</w:t>
      </w:r>
      <w:r>
        <w:rPr>
          <w:rFonts w:ascii="Arial" w:eastAsia="宋体" w:hAnsi="Arial" w:cs="Arial"/>
          <w:color w:val="000000"/>
          <w:sz w:val="17"/>
          <w:szCs w:val="17"/>
        </w:rPr>
        <w:t>ion of our global workforce and we expect to incur pre-tax charges of approximately $315 million, the majority of which relate to employee termination costs and, to a lesser extent, stock-based compensation expense. These amounts reflect the continued eval</w:t>
      </w:r>
      <w:r>
        <w:rPr>
          <w:rFonts w:ascii="Arial" w:eastAsia="宋体" w:hAnsi="Arial" w:cs="Arial"/>
          <w:color w:val="000000"/>
          <w:sz w:val="17"/>
          <w:szCs w:val="17"/>
        </w:rPr>
        <w:t xml:space="preserve">uation and variability of our original estimate of employee termination costs and required changes in assumptions used to calculate stock-based compensation expense. For the first nine months of fiscal 2021, we incurred pre-tax charges of $248 million and </w:t>
      </w:r>
      <w:r>
        <w:rPr>
          <w:rFonts w:ascii="Arial" w:eastAsia="宋体" w:hAnsi="Arial" w:cs="Arial"/>
          <w:color w:val="000000"/>
          <w:sz w:val="17"/>
          <w:szCs w:val="17"/>
        </w:rPr>
        <w:t>expect all remaining actions to be substantially complete by the end of fiscal 2021.</w:t>
      </w:r>
      <w:r>
        <w:rPr>
          <w:rFonts w:ascii="Arial" w:eastAsia="宋体" w:hAnsi="Arial" w:cs="Arial"/>
          <w:color w:val="212529"/>
          <w:sz w:val="17"/>
          <w:szCs w:val="17"/>
        </w:rPr>
        <w:t xml:space="preserve"> We expect future annual wage-related savings will be reinvested to execute against this next phase of our strategy. </w:t>
      </w:r>
      <w:r>
        <w:rPr>
          <w:rFonts w:ascii="Arial" w:eastAsia="宋体" w:hAnsi="Arial" w:cs="Arial"/>
          <w:color w:val="000000"/>
          <w:sz w:val="17"/>
          <w:szCs w:val="17"/>
        </w:rPr>
        <w:t>For more information related to our organizational real</w:t>
      </w:r>
      <w:r>
        <w:rPr>
          <w:rFonts w:ascii="Arial" w:eastAsia="宋体" w:hAnsi="Arial" w:cs="Arial"/>
          <w:color w:val="000000"/>
          <w:sz w:val="17"/>
          <w:szCs w:val="17"/>
        </w:rPr>
        <w:t>ignment and related costs, see Note 14 — Restructuring within the accompanying Notes to the Unaudited Condensed Consolidated Financial Statements.</w:t>
      </w:r>
    </w:p>
    <w:p w14:paraId="669C71A8" w14:textId="77777777" w:rsidR="00066C63" w:rsidRDefault="009656F6">
      <w:pPr>
        <w:spacing w:before="120"/>
      </w:pPr>
      <w:r>
        <w:rPr>
          <w:rFonts w:ascii="sans-serif" w:eastAsia="sans-serif" w:hAnsi="sans-serif" w:cs="sans-serif"/>
          <w:b/>
          <w:bCs/>
          <w:color w:val="808080"/>
          <w:sz w:val="22"/>
          <w:szCs w:val="22"/>
        </w:rPr>
        <w:t>COVID-19 UPDATE</w:t>
      </w:r>
    </w:p>
    <w:p w14:paraId="669C71A9" w14:textId="77777777" w:rsidR="00066C63" w:rsidRDefault="009656F6">
      <w:r>
        <w:rPr>
          <w:rFonts w:ascii="Arial" w:eastAsia="宋体" w:hAnsi="Arial" w:cs="Arial"/>
          <w:color w:val="000000"/>
          <w:sz w:val="17"/>
          <w:szCs w:val="17"/>
        </w:rPr>
        <w:t>The COVID-19 pandemic continues to create volatility in our business performance. During the third quarter of fiscal 2021, disruption in the global supply chain due to container shortages, transportation delays and U.S. port congestion interrupted the flow</w:t>
      </w:r>
      <w:r>
        <w:rPr>
          <w:rFonts w:ascii="Arial" w:eastAsia="宋体" w:hAnsi="Arial" w:cs="Arial"/>
          <w:color w:val="000000"/>
          <w:sz w:val="17"/>
          <w:szCs w:val="17"/>
        </w:rPr>
        <w:t xml:space="preserve"> of our inventory. Specifically in North America, this caused higher in-transit inventory levels and a delay of shipments to our wholesale partners, resulting in lower than expected revenue growth. We expect the majority of delayed shipments to our wholesa</w:t>
      </w:r>
      <w:r>
        <w:rPr>
          <w:rFonts w:ascii="Arial" w:eastAsia="宋体" w:hAnsi="Arial" w:cs="Arial"/>
          <w:color w:val="000000"/>
          <w:sz w:val="17"/>
          <w:szCs w:val="17"/>
        </w:rPr>
        <w:t xml:space="preserve">le partners from the third quarter will take place in the fourth quarter of fiscal 2021. Within EMEA, additional COVID-19 related lockdowns caused mandatory store closures of 45% of our NIKE-owned stores during the last two months of the third quarter, as </w:t>
      </w:r>
      <w:r>
        <w:rPr>
          <w:rFonts w:ascii="Arial" w:eastAsia="宋体" w:hAnsi="Arial" w:cs="Arial"/>
          <w:color w:val="000000"/>
          <w:sz w:val="17"/>
          <w:szCs w:val="17"/>
        </w:rPr>
        <w:t>well as closures for our wholesale partner stores, which contributed to the 9% decline in EMEA's currency-neutral revenues. In Greater China, revenues increased 42% on a currency-neutral basis as we experienced growth across wholesale and NIKE Direct, in p</w:t>
      </w:r>
      <w:r>
        <w:rPr>
          <w:rFonts w:ascii="Arial" w:eastAsia="宋体" w:hAnsi="Arial" w:cs="Arial"/>
          <w:color w:val="000000"/>
          <w:sz w:val="17"/>
          <w:szCs w:val="17"/>
        </w:rPr>
        <w:t xml:space="preserve">art reflecting the impacts of COVID-19 in the prior year. </w:t>
      </w:r>
    </w:p>
    <w:p w14:paraId="669C71AA" w14:textId="77777777" w:rsidR="00066C63" w:rsidRDefault="00066C63"/>
    <w:p w14:paraId="669C71AB" w14:textId="77777777" w:rsidR="00066C63" w:rsidRDefault="009656F6">
      <w:r>
        <w:rPr>
          <w:rFonts w:ascii="Arial" w:eastAsia="宋体" w:hAnsi="Arial" w:cs="Arial"/>
          <w:color w:val="000000"/>
          <w:sz w:val="17"/>
          <w:szCs w:val="17"/>
        </w:rPr>
        <w:t>Our NIKE Direct business continues to fuel our growth as we navigate through the pandemic, leveraging our digital platforms with our store footprint to connect directly with the consumer. NIKE Bra</w:t>
      </w:r>
      <w:r>
        <w:rPr>
          <w:rFonts w:ascii="Arial" w:eastAsia="宋体" w:hAnsi="Arial" w:cs="Arial"/>
          <w:color w:val="000000"/>
          <w:sz w:val="17"/>
          <w:szCs w:val="17"/>
        </w:rPr>
        <w:t>nd digital revenues grew 54% and 71%, on a currency-neutral basis, for the third quarter and first nine months of fiscal 2021, respectively, with strong double-digit growth across each of our geographies. During the quarter, we continued to experience a de</w:t>
      </w:r>
      <w:r>
        <w:rPr>
          <w:rFonts w:ascii="Arial" w:eastAsia="宋体" w:hAnsi="Arial" w:cs="Arial"/>
          <w:color w:val="000000"/>
          <w:sz w:val="17"/>
          <w:szCs w:val="17"/>
        </w:rPr>
        <w:t>cline in comparable store sales in EMEA, North America and APLA primarily due to reduced physical retail traffic, in part resulting from temporary store closures and safety-related measures in response to COVID-19. As of April 2, 2021, approximately 85% of</w:t>
      </w:r>
      <w:r>
        <w:rPr>
          <w:rFonts w:ascii="Arial" w:eastAsia="宋体" w:hAnsi="Arial" w:cs="Arial"/>
          <w:color w:val="000000"/>
          <w:sz w:val="17"/>
          <w:szCs w:val="17"/>
        </w:rPr>
        <w:t xml:space="preserve"> our owned stores were open with some operating on reduced hours. </w:t>
      </w:r>
    </w:p>
    <w:p w14:paraId="669C71AC" w14:textId="77777777" w:rsidR="00066C63" w:rsidRDefault="00066C63"/>
    <w:p w14:paraId="669C71AD" w14:textId="77777777" w:rsidR="00066C63" w:rsidRDefault="009656F6">
      <w:r>
        <w:rPr>
          <w:rFonts w:ascii="Arial" w:eastAsia="宋体" w:hAnsi="Arial" w:cs="Arial"/>
          <w:color w:val="000000"/>
          <w:sz w:val="17"/>
          <w:szCs w:val="17"/>
        </w:rPr>
        <w:t>During the quarter, we continued to reduce discretionary spending while investing in our digital transformation. As a result, total selling and administrative expense declined 7% for the t</w:t>
      </w:r>
      <w:r>
        <w:rPr>
          <w:rFonts w:ascii="Arial" w:eastAsia="宋体" w:hAnsi="Arial" w:cs="Arial"/>
          <w:color w:val="000000"/>
          <w:sz w:val="17"/>
          <w:szCs w:val="17"/>
        </w:rPr>
        <w:t xml:space="preserve">hird quarter and the first nine months of fiscal 2021 compared to the same periods in the prior year. However, we expect Demand creation expense to increase in future periods as we rebuild our </w:t>
      </w:r>
    </w:p>
    <w:p w14:paraId="669C71AE" w14:textId="77777777" w:rsidR="00066C63" w:rsidRDefault="009656F6">
      <w:pPr>
        <w:spacing w:before="120" w:after="120"/>
        <w:jc w:val="right"/>
      </w:pPr>
      <w:r>
        <w:rPr>
          <w:rFonts w:ascii="Arial" w:eastAsia="宋体" w:hAnsi="Arial" w:cs="Arial"/>
          <w:color w:val="E87722"/>
          <w:sz w:val="17"/>
          <w:szCs w:val="17"/>
        </w:rPr>
        <w:t>25</w:t>
      </w:r>
    </w:p>
    <w:p w14:paraId="669C71AF" w14:textId="77777777" w:rsidR="00066C63" w:rsidRDefault="009656F6">
      <w:r>
        <w:pict w14:anchorId="669C7E49">
          <v:rect id="_x0000_i1051" style="width:415.3pt;height:1.5pt" o:hralign="center" o:hrstd="t" o:hr="t" fillcolor="#a0a0a0" stroked="f"/>
        </w:pict>
      </w:r>
    </w:p>
    <w:p w14:paraId="669C71B0" w14:textId="77777777" w:rsidR="00066C63" w:rsidRDefault="00066C63"/>
    <w:p w14:paraId="669C71B1" w14:textId="77777777" w:rsidR="00066C63" w:rsidRDefault="009656F6">
      <w:hyperlink r:id="rId96" w:anchor="i1e99cb26debe49fe8b698d0f0eb1273a_7" w:history="1">
        <w:r>
          <w:rPr>
            <w:rStyle w:val="a5"/>
            <w:rFonts w:ascii="sans-serif" w:eastAsia="sans-serif" w:hAnsi="sans-serif" w:cs="sans-serif"/>
            <w:sz w:val="17"/>
            <w:szCs w:val="17"/>
          </w:rPr>
          <w:t>Table of Contents</w:t>
        </w:r>
      </w:hyperlink>
    </w:p>
    <w:p w14:paraId="669C71B2" w14:textId="77777777" w:rsidR="00066C63" w:rsidRDefault="00066C63"/>
    <w:p w14:paraId="669C71B3" w14:textId="77777777" w:rsidR="00066C63" w:rsidRDefault="009656F6">
      <w:r>
        <w:rPr>
          <w:rFonts w:ascii="Arial" w:eastAsia="宋体" w:hAnsi="Arial" w:cs="Arial"/>
          <w:color w:val="000000"/>
          <w:sz w:val="17"/>
          <w:szCs w:val="17"/>
        </w:rPr>
        <w:t>investment towards pre-COVID-19 levels. Our liquidity position remains strong and we ended the third quarter with $12.5 billion of Cash and e</w:t>
      </w:r>
      <w:r>
        <w:rPr>
          <w:rFonts w:ascii="Arial" w:eastAsia="宋体" w:hAnsi="Arial" w:cs="Arial"/>
          <w:color w:val="000000"/>
          <w:sz w:val="17"/>
          <w:szCs w:val="17"/>
        </w:rPr>
        <w:t>quivalents and Short-term investments.</w:t>
      </w:r>
    </w:p>
    <w:p w14:paraId="669C71B4" w14:textId="77777777" w:rsidR="00066C63" w:rsidRDefault="00066C63"/>
    <w:p w14:paraId="669C71B5" w14:textId="77777777" w:rsidR="00066C63" w:rsidRDefault="009656F6">
      <w:r>
        <w:rPr>
          <w:rFonts w:ascii="Arial" w:eastAsia="宋体" w:hAnsi="Arial" w:cs="Arial"/>
          <w:color w:val="000000"/>
          <w:sz w:val="17"/>
          <w:szCs w:val="17"/>
        </w:rPr>
        <w:t>We continue to monitor the ongoing and evolving situation, as well as guidance from international and domestic authorities, including federal, state and local public health authorities and may take additional actions</w:t>
      </w:r>
      <w:r>
        <w:rPr>
          <w:rFonts w:ascii="Arial" w:eastAsia="宋体" w:hAnsi="Arial" w:cs="Arial"/>
          <w:color w:val="000000"/>
          <w:sz w:val="17"/>
          <w:szCs w:val="17"/>
        </w:rPr>
        <w:t xml:space="preserve"> based on their recommendations. In these circumstances, there may be developments outside our control requiring us to adjust our operating plan. While our results over the course of fiscal 2021 have been positive to date, there remains the risk that COVID</w:t>
      </w:r>
      <w:r>
        <w:rPr>
          <w:rFonts w:ascii="Arial" w:eastAsia="宋体" w:hAnsi="Arial" w:cs="Arial"/>
          <w:color w:val="000000"/>
          <w:sz w:val="17"/>
          <w:szCs w:val="17"/>
        </w:rPr>
        <w:t xml:space="preserve">-19 </w:t>
      </w:r>
      <w:r>
        <w:rPr>
          <w:rFonts w:ascii="Arial" w:eastAsia="宋体" w:hAnsi="Arial" w:cs="Arial"/>
          <w:color w:val="212529"/>
          <w:sz w:val="17"/>
          <w:szCs w:val="17"/>
        </w:rPr>
        <w:t>could have material adverse impacts on our future revenue growth as well as our overall profitability and may lead to higher than normal inventory levels in various markets, adverse impacts on the global supply chain, revised payment terms with certain</w:t>
      </w:r>
      <w:r>
        <w:rPr>
          <w:rFonts w:ascii="Arial" w:eastAsia="宋体" w:hAnsi="Arial" w:cs="Arial"/>
          <w:color w:val="212529"/>
          <w:sz w:val="17"/>
          <w:szCs w:val="17"/>
        </w:rPr>
        <w:t xml:space="preserve"> of our wholesale customers, higher sales-related reserves and a volatile effective tax rate driven by changes in the mix of earnings across the Company's jurisdictions.</w:t>
      </w:r>
    </w:p>
    <w:p w14:paraId="669C71B6" w14:textId="77777777" w:rsidR="00066C63" w:rsidRDefault="009656F6">
      <w:pPr>
        <w:spacing w:before="120"/>
      </w:pPr>
      <w:r>
        <w:rPr>
          <w:rFonts w:ascii="sans-serif" w:eastAsia="sans-serif" w:hAnsi="sans-serif" w:cs="sans-serif"/>
          <w:b/>
          <w:bCs/>
          <w:color w:val="808080"/>
          <w:sz w:val="22"/>
          <w:szCs w:val="22"/>
        </w:rPr>
        <w:t>THIRD QUARTER OVERVIEW</w:t>
      </w:r>
    </w:p>
    <w:p w14:paraId="669C71B7" w14:textId="77777777" w:rsidR="00066C63" w:rsidRDefault="009656F6">
      <w:pPr>
        <w:spacing w:after="160"/>
      </w:pPr>
      <w:r>
        <w:rPr>
          <w:rFonts w:ascii="Arial" w:eastAsia="宋体" w:hAnsi="Arial" w:cs="Arial"/>
          <w:color w:val="000000"/>
          <w:sz w:val="17"/>
          <w:szCs w:val="17"/>
        </w:rPr>
        <w:t>For the third quarter of fiscal 2021, NIKE, Inc. Revenues incre</w:t>
      </w:r>
      <w:r>
        <w:rPr>
          <w:rFonts w:ascii="Arial" w:eastAsia="宋体" w:hAnsi="Arial" w:cs="Arial"/>
          <w:color w:val="000000"/>
          <w:sz w:val="17"/>
          <w:szCs w:val="17"/>
        </w:rPr>
        <w:t>ased 3% to $10.4 billion compared to the third quarter of fiscal 2020. On a currency-neutral basis, Revenues decreased 1%. Net income was $1,449 million and diluted earnings per common share was $0.90 for the third quarter of fiscal 2021, compared to Net i</w:t>
      </w:r>
      <w:r>
        <w:rPr>
          <w:rFonts w:ascii="Arial" w:eastAsia="宋体" w:hAnsi="Arial" w:cs="Arial"/>
          <w:color w:val="000000"/>
          <w:sz w:val="17"/>
          <w:szCs w:val="17"/>
        </w:rPr>
        <w:t>ncome of $847 million and diluted earnings per common share of $0.53 for the third quarter of fiscal 2020.</w:t>
      </w:r>
    </w:p>
    <w:p w14:paraId="669C71B8" w14:textId="77777777" w:rsidR="00066C63" w:rsidRDefault="009656F6">
      <w:pPr>
        <w:spacing w:before="120" w:after="120"/>
      </w:pPr>
      <w:r>
        <w:rPr>
          <w:rFonts w:ascii="Arial" w:eastAsia="宋体" w:hAnsi="Arial" w:cs="Arial"/>
          <w:color w:val="000000"/>
          <w:sz w:val="17"/>
          <w:szCs w:val="17"/>
        </w:rPr>
        <w:t>Income before income taxes increased 86% compared to the third quarter of fiscal 2020, primarily due to the $400 million impairment charge recognized</w:t>
      </w:r>
      <w:r>
        <w:rPr>
          <w:rFonts w:ascii="Arial" w:eastAsia="宋体" w:hAnsi="Arial" w:cs="Arial"/>
          <w:color w:val="000000"/>
          <w:sz w:val="17"/>
          <w:szCs w:val="17"/>
        </w:rPr>
        <w:t xml:space="preserve"> in the prior year related to our planned transition to a distributor operating model in Brazil, Argentina, Chile and Uruguay, as well as lower selling and administrative expense, higher revenues and gross margin expansion. The NIKE Brand, which represents</w:t>
      </w:r>
      <w:r>
        <w:rPr>
          <w:rFonts w:ascii="Arial" w:eastAsia="宋体" w:hAnsi="Arial" w:cs="Arial"/>
          <w:color w:val="000000"/>
          <w:sz w:val="17"/>
          <w:szCs w:val="17"/>
        </w:rPr>
        <w:t xml:space="preserve"> over 90% of NIKE, Inc. Revenues, increased 2% compared to the third quarter of fiscal 2020. On a currency-neutral basis, NIKE Brand revenues decreased 2%, driven by lower revenues in North America, EMEA and APLA, partially offset by an increase in Greater</w:t>
      </w:r>
      <w:r>
        <w:rPr>
          <w:rFonts w:ascii="Arial" w:eastAsia="宋体" w:hAnsi="Arial" w:cs="Arial"/>
          <w:color w:val="000000"/>
          <w:sz w:val="17"/>
          <w:szCs w:val="17"/>
        </w:rPr>
        <w:t xml:space="preserve"> China. Additionally, NIKE Brand currency-neutral revenues experienced declines across footwear and apparel, as well as declines in most key categories, primarily Football (Soccer) and Running, partially offset by growth in the Jordan Brand. Revenues for C</w:t>
      </w:r>
      <w:r>
        <w:rPr>
          <w:rFonts w:ascii="Arial" w:eastAsia="宋体" w:hAnsi="Arial" w:cs="Arial"/>
          <w:color w:val="000000"/>
          <w:sz w:val="17"/>
          <w:szCs w:val="17"/>
        </w:rPr>
        <w:t>onverse increased 13% and 8% on a reported and currency-neutral basis, respectively, led by strong digital performance in North America and Europe.</w:t>
      </w:r>
    </w:p>
    <w:p w14:paraId="669C71B9" w14:textId="77777777" w:rsidR="00066C63" w:rsidRDefault="009656F6">
      <w:r>
        <w:rPr>
          <w:rFonts w:ascii="Arial" w:eastAsia="宋体" w:hAnsi="Arial" w:cs="Arial"/>
          <w:color w:val="000000"/>
          <w:sz w:val="17"/>
          <w:szCs w:val="17"/>
        </w:rPr>
        <w:t>Our effective tax rate was 11.4% for the third quarter of fiscal 2021, compared to 3.9% for the third quarte</w:t>
      </w:r>
      <w:r>
        <w:rPr>
          <w:rFonts w:ascii="Arial" w:eastAsia="宋体" w:hAnsi="Arial" w:cs="Arial"/>
          <w:color w:val="000000"/>
          <w:sz w:val="17"/>
          <w:szCs w:val="17"/>
        </w:rPr>
        <w:t>r of fiscal 2020, primarily due to decreased benefits from discrete items, such as a modification of the treatment of certain research and development expenditures recognized in the prior year, a less favorable impact from stock based compensation, and a s</w:t>
      </w:r>
      <w:r>
        <w:rPr>
          <w:rFonts w:ascii="Arial" w:eastAsia="宋体" w:hAnsi="Arial" w:cs="Arial"/>
          <w:color w:val="000000"/>
          <w:sz w:val="17"/>
          <w:szCs w:val="17"/>
        </w:rPr>
        <w:t xml:space="preserve">hift in the proportion of earnings taxed in the U.S., in part due to the impact of the COVID-19 pandemic. </w:t>
      </w:r>
    </w:p>
    <w:p w14:paraId="669C71BA" w14:textId="77777777" w:rsidR="00066C63" w:rsidRDefault="009656F6">
      <w:pPr>
        <w:spacing w:before="120" w:after="120"/>
      </w:pPr>
      <w:r>
        <w:rPr>
          <w:rFonts w:ascii="Arial" w:eastAsia="宋体" w:hAnsi="Arial" w:cs="Arial"/>
          <w:color w:val="000000"/>
          <w:sz w:val="17"/>
          <w:szCs w:val="17"/>
        </w:rPr>
        <w:t>During the third quarter of fiscal 2020, we entered into definitive agreements to sell our NIKE Brand businesses in Brazil, Argentina, Chile and Urug</w:t>
      </w:r>
      <w:r>
        <w:rPr>
          <w:rFonts w:ascii="Arial" w:eastAsia="宋体" w:hAnsi="Arial" w:cs="Arial"/>
          <w:color w:val="000000"/>
          <w:sz w:val="17"/>
          <w:szCs w:val="17"/>
        </w:rPr>
        <w:t>uay and to shift to a distributor operating model. During the third quarter of fiscal 2021, the transaction with Grupo SBF S.A. to purchase substantially all of our NIKE Brand operations in Brazil closed. Additionally, during the third quarter of fiscal 20</w:t>
      </w:r>
      <w:r>
        <w:rPr>
          <w:rFonts w:ascii="Arial" w:eastAsia="宋体" w:hAnsi="Arial" w:cs="Arial"/>
          <w:color w:val="000000"/>
          <w:sz w:val="17"/>
          <w:szCs w:val="17"/>
        </w:rPr>
        <w:t>21, we mutually agreed with Grupo Axo to terminate the sale and purchase agreement for the transition of NIKE’s businesses in Argentina, Chile and Uruguay to a distributor partnership. However, as we remain committed to selling the legal entities in all th</w:t>
      </w:r>
      <w:r>
        <w:rPr>
          <w:rFonts w:ascii="Arial" w:eastAsia="宋体" w:hAnsi="Arial" w:cs="Arial"/>
          <w:color w:val="000000"/>
          <w:sz w:val="17"/>
          <w:szCs w:val="17"/>
        </w:rPr>
        <w:t>ree countries and granting distribution rights to third-party distributors, the assets and liabilities of the entities have remained classified as held-for-sale on our Unaudited Condensed Consolidated Balance Sheets. For more information see Note 13 — Acqu</w:t>
      </w:r>
      <w:r>
        <w:rPr>
          <w:rFonts w:ascii="Arial" w:eastAsia="宋体" w:hAnsi="Arial" w:cs="Arial"/>
          <w:color w:val="000000"/>
          <w:sz w:val="17"/>
          <w:szCs w:val="17"/>
        </w:rPr>
        <w:t>isitions and Divestitures within the accompanying Notes to the Unaudited Condensed Consolidated Financial Statements.</w:t>
      </w:r>
    </w:p>
    <w:p w14:paraId="669C71BB" w14:textId="77777777" w:rsidR="00066C63" w:rsidRDefault="009656F6">
      <w:pPr>
        <w:spacing w:before="120"/>
      </w:pPr>
      <w:r>
        <w:rPr>
          <w:rFonts w:ascii="sans-serif" w:eastAsia="sans-serif" w:hAnsi="sans-serif" w:cs="sans-serif"/>
          <w:b/>
          <w:bCs/>
          <w:color w:val="808080"/>
          <w:sz w:val="22"/>
          <w:szCs w:val="22"/>
        </w:rPr>
        <w:t>USE OF NON-GAAP FINANCIAL MEASURES</w:t>
      </w:r>
    </w:p>
    <w:p w14:paraId="669C71BC" w14:textId="77777777" w:rsidR="00066C63" w:rsidRDefault="009656F6">
      <w:pPr>
        <w:spacing w:after="120"/>
      </w:pPr>
      <w:r>
        <w:rPr>
          <w:rFonts w:ascii="Arial" w:eastAsia="宋体" w:hAnsi="Arial" w:cs="Arial"/>
          <w:color w:val="000000"/>
          <w:sz w:val="17"/>
          <w:szCs w:val="17"/>
        </w:rPr>
        <w:t>Throughout this Quarterly Report on Form 10-Q, we discuss non-GAAP financial measures, including refere</w:t>
      </w:r>
      <w:r>
        <w:rPr>
          <w:rFonts w:ascii="Arial" w:eastAsia="宋体" w:hAnsi="Arial" w:cs="Arial"/>
          <w:color w:val="000000"/>
          <w:sz w:val="17"/>
          <w:szCs w:val="17"/>
        </w:rPr>
        <w:t>nces to wholesale equivalent revenues, currency-neutral revenues as well as Total NIKE Brand earnings before interest and taxes (EBIT) and Total NIKE, Inc. EBIT, which should be considered in addition to, and not in lieu of, the financial measures calculat</w:t>
      </w:r>
      <w:r>
        <w:rPr>
          <w:rFonts w:ascii="Arial" w:eastAsia="宋体" w:hAnsi="Arial" w:cs="Arial"/>
          <w:color w:val="000000"/>
          <w:sz w:val="17"/>
          <w:szCs w:val="17"/>
        </w:rPr>
        <w:t xml:space="preserve">ed and presented in accordance with accounting principles generally accepted in the United States of America (“U.S. GAAP”). References to wholesale equivalent revenues are intended to provide context as to the total size of our NIKE Brand market footprint </w:t>
      </w:r>
      <w:r>
        <w:rPr>
          <w:rFonts w:ascii="Arial" w:eastAsia="宋体" w:hAnsi="Arial" w:cs="Arial"/>
          <w:color w:val="000000"/>
          <w:sz w:val="17"/>
          <w:szCs w:val="17"/>
        </w:rPr>
        <w:t>if we had no NIKE Direct operations. NIKE Brand wholesale equivalent revenues consist of (1) sales to external wholesale customers and (2) internal sales from our wholesale operations to our NIKE Direct operations, which are charged at prices comparable to</w:t>
      </w:r>
      <w:r>
        <w:rPr>
          <w:rFonts w:ascii="Arial" w:eastAsia="宋体" w:hAnsi="Arial" w:cs="Arial"/>
          <w:color w:val="000000"/>
          <w:sz w:val="17"/>
          <w:szCs w:val="17"/>
        </w:rPr>
        <w:t xml:space="preserve"> those charged to external wholesale customers. Currency-neutral revenues are calculated using actual exchange rates in use during the comparative prior year period to enhance the visibility of the underlying business trends excluding the impact of transla</w:t>
      </w:r>
      <w:r>
        <w:rPr>
          <w:rFonts w:ascii="Arial" w:eastAsia="宋体" w:hAnsi="Arial" w:cs="Arial"/>
          <w:color w:val="000000"/>
          <w:sz w:val="17"/>
          <w:szCs w:val="17"/>
        </w:rPr>
        <w:t>tion arising from foreign currency exchange rate fluctuations. EBIT is calculated as Net Income before Interest expense (income), net and Income tax expense in the Unaudited Condensed Consolidated Statements of Income.</w:t>
      </w:r>
    </w:p>
    <w:p w14:paraId="669C71BD" w14:textId="77777777" w:rsidR="00066C63" w:rsidRDefault="009656F6">
      <w:pPr>
        <w:spacing w:before="120" w:after="120"/>
      </w:pPr>
      <w:r>
        <w:rPr>
          <w:rFonts w:ascii="Arial" w:eastAsia="宋体" w:hAnsi="Arial" w:cs="Arial"/>
          <w:color w:val="000000"/>
          <w:sz w:val="17"/>
          <w:szCs w:val="17"/>
        </w:rPr>
        <w:t>Management uses these non-GAAP financ</w:t>
      </w:r>
      <w:r>
        <w:rPr>
          <w:rFonts w:ascii="Arial" w:eastAsia="宋体" w:hAnsi="Arial" w:cs="Arial"/>
          <w:color w:val="000000"/>
          <w:sz w:val="17"/>
          <w:szCs w:val="17"/>
        </w:rPr>
        <w:t>ial measures when evaluating the Company's performance, including when making financial and operating decisions. Additionally, management believes these non-GAAP financial measures provide investors with additional financial information that should be cons</w:t>
      </w:r>
      <w:r>
        <w:rPr>
          <w:rFonts w:ascii="Arial" w:eastAsia="宋体" w:hAnsi="Arial" w:cs="Arial"/>
          <w:color w:val="000000"/>
          <w:sz w:val="17"/>
          <w:szCs w:val="17"/>
        </w:rPr>
        <w:t xml:space="preserve">idered when assessing our underlying business performance and trends. However, references to wholesale equivalent revenues, currency-neutral revenues and EBIT should not be considered in isolation or as a substitute for other financial measures calculated </w:t>
      </w:r>
      <w:r>
        <w:rPr>
          <w:rFonts w:ascii="Arial" w:eastAsia="宋体" w:hAnsi="Arial" w:cs="Arial"/>
          <w:color w:val="000000"/>
          <w:sz w:val="17"/>
          <w:szCs w:val="17"/>
        </w:rPr>
        <w:t>and presented in accordance with U.S. GAAP and may not be comparable to similarly titled non-GAAP measures used by other companies.</w:t>
      </w:r>
    </w:p>
    <w:p w14:paraId="669C71BE" w14:textId="77777777" w:rsidR="00066C63" w:rsidRDefault="009656F6">
      <w:pPr>
        <w:spacing w:before="120" w:after="120"/>
      </w:pPr>
      <w:r>
        <w:rPr>
          <w:rFonts w:ascii="Arial" w:eastAsia="宋体" w:hAnsi="Arial" w:cs="Arial"/>
          <w:color w:val="E87722"/>
          <w:sz w:val="17"/>
          <w:szCs w:val="17"/>
        </w:rPr>
        <w:t>26</w:t>
      </w:r>
      <w:r>
        <w:rPr>
          <w:rFonts w:ascii="sans-serif" w:eastAsia="sans-serif" w:hAnsi="sans-serif" w:cs="sans-serif"/>
          <w:color w:val="000000"/>
          <w:sz w:val="17"/>
          <w:szCs w:val="17"/>
        </w:rPr>
        <w:t xml:space="preserve"> </w:t>
      </w:r>
    </w:p>
    <w:p w14:paraId="669C71BF" w14:textId="77777777" w:rsidR="00066C63" w:rsidRDefault="009656F6">
      <w:r>
        <w:pict w14:anchorId="669C7E4A">
          <v:rect id="_x0000_i1052" style="width:415.3pt;height:1.5pt" o:hralign="center" o:hrstd="t" o:hr="t" fillcolor="#a0a0a0" stroked="f"/>
        </w:pict>
      </w:r>
    </w:p>
    <w:p w14:paraId="669C71C0" w14:textId="77777777" w:rsidR="00066C63" w:rsidRDefault="00066C63"/>
    <w:p w14:paraId="669C71C1" w14:textId="77777777" w:rsidR="00066C63" w:rsidRDefault="009656F6">
      <w:hyperlink r:id="rId97" w:anchor="i1e99cb26debe49fe8b698d0f0eb1273a_7" w:history="1">
        <w:r>
          <w:rPr>
            <w:rStyle w:val="a5"/>
            <w:rFonts w:ascii="sans-serif" w:eastAsia="sans-serif" w:hAnsi="sans-serif" w:cs="sans-serif"/>
            <w:sz w:val="17"/>
            <w:szCs w:val="17"/>
          </w:rPr>
          <w:t>Table of Contents</w:t>
        </w:r>
      </w:hyperlink>
    </w:p>
    <w:p w14:paraId="669C71C2" w14:textId="77777777" w:rsidR="00066C63" w:rsidRDefault="00066C63"/>
    <w:p w14:paraId="669C71C3" w14:textId="77777777" w:rsidR="00066C63" w:rsidRDefault="009656F6">
      <w:pPr>
        <w:spacing w:before="300" w:after="120"/>
      </w:pPr>
      <w:r>
        <w:rPr>
          <w:rFonts w:ascii="sans-serif" w:eastAsia="sans-serif" w:hAnsi="sans-serif" w:cs="sans-serif"/>
          <w:b/>
          <w:bCs/>
          <w:color w:val="E87722"/>
          <w:sz w:val="36"/>
          <w:szCs w:val="36"/>
        </w:rPr>
        <w:t>RESULTS OF OPERATIONS</w:t>
      </w:r>
    </w:p>
    <w:tbl>
      <w:tblPr>
        <w:tblW w:w="5000" w:type="pct"/>
        <w:tblCellMar>
          <w:top w:w="15" w:type="dxa"/>
          <w:left w:w="15" w:type="dxa"/>
          <w:bottom w:w="15" w:type="dxa"/>
          <w:right w:w="15" w:type="dxa"/>
        </w:tblCellMar>
        <w:tblLook w:val="04A0" w:firstRow="1" w:lastRow="0" w:firstColumn="1" w:lastColumn="0" w:noHBand="0" w:noVBand="1"/>
      </w:tblPr>
      <w:tblGrid>
        <w:gridCol w:w="39"/>
        <w:gridCol w:w="3115"/>
        <w:gridCol w:w="38"/>
        <w:gridCol w:w="115"/>
        <w:gridCol w:w="568"/>
        <w:gridCol w:w="172"/>
        <w:gridCol w:w="115"/>
        <w:gridCol w:w="568"/>
        <w:gridCol w:w="172"/>
        <w:gridCol w:w="82"/>
        <w:gridCol w:w="554"/>
        <w:gridCol w:w="172"/>
        <w:gridCol w:w="36"/>
        <w:gridCol w:w="36"/>
        <w:gridCol w:w="36"/>
        <w:gridCol w:w="115"/>
        <w:gridCol w:w="568"/>
        <w:gridCol w:w="172"/>
        <w:gridCol w:w="115"/>
        <w:gridCol w:w="568"/>
        <w:gridCol w:w="172"/>
        <w:gridCol w:w="82"/>
        <w:gridCol w:w="554"/>
        <w:gridCol w:w="172"/>
      </w:tblGrid>
      <w:tr w:rsidR="00066C63" w14:paraId="669C71DC" w14:textId="77777777">
        <w:tc>
          <w:tcPr>
            <w:tcW w:w="50" w:type="pct"/>
            <w:shd w:val="clear" w:color="auto" w:fill="auto"/>
          </w:tcPr>
          <w:p w14:paraId="669C71C4" w14:textId="77777777" w:rsidR="00066C63" w:rsidRDefault="00066C63">
            <w:pPr>
              <w:rPr>
                <w:rFonts w:ascii="宋体"/>
              </w:rPr>
            </w:pPr>
          </w:p>
        </w:tc>
        <w:tc>
          <w:tcPr>
            <w:tcW w:w="2113" w:type="pct"/>
            <w:shd w:val="clear" w:color="auto" w:fill="auto"/>
          </w:tcPr>
          <w:p w14:paraId="669C71C5" w14:textId="77777777" w:rsidR="00066C63" w:rsidRDefault="00066C63">
            <w:pPr>
              <w:rPr>
                <w:rFonts w:ascii="宋体"/>
              </w:rPr>
            </w:pPr>
          </w:p>
        </w:tc>
        <w:tc>
          <w:tcPr>
            <w:tcW w:w="5" w:type="pct"/>
            <w:shd w:val="clear" w:color="auto" w:fill="auto"/>
          </w:tcPr>
          <w:p w14:paraId="669C71C6" w14:textId="77777777" w:rsidR="00066C63" w:rsidRDefault="00066C63">
            <w:pPr>
              <w:rPr>
                <w:rFonts w:ascii="宋体"/>
              </w:rPr>
            </w:pPr>
          </w:p>
        </w:tc>
        <w:tc>
          <w:tcPr>
            <w:tcW w:w="50" w:type="pct"/>
            <w:shd w:val="clear" w:color="auto" w:fill="auto"/>
          </w:tcPr>
          <w:p w14:paraId="669C71C7" w14:textId="77777777" w:rsidR="00066C63" w:rsidRDefault="00066C63">
            <w:pPr>
              <w:rPr>
                <w:rFonts w:ascii="宋体"/>
              </w:rPr>
            </w:pPr>
          </w:p>
        </w:tc>
        <w:tc>
          <w:tcPr>
            <w:tcW w:w="446" w:type="pct"/>
            <w:shd w:val="clear" w:color="auto" w:fill="auto"/>
          </w:tcPr>
          <w:p w14:paraId="669C71C8" w14:textId="77777777" w:rsidR="00066C63" w:rsidRDefault="00066C63">
            <w:pPr>
              <w:rPr>
                <w:rFonts w:ascii="宋体"/>
              </w:rPr>
            </w:pPr>
          </w:p>
        </w:tc>
        <w:tc>
          <w:tcPr>
            <w:tcW w:w="5" w:type="pct"/>
            <w:shd w:val="clear" w:color="auto" w:fill="auto"/>
          </w:tcPr>
          <w:p w14:paraId="669C71C9" w14:textId="77777777" w:rsidR="00066C63" w:rsidRDefault="00066C63">
            <w:pPr>
              <w:rPr>
                <w:rFonts w:ascii="宋体"/>
              </w:rPr>
            </w:pPr>
          </w:p>
        </w:tc>
        <w:tc>
          <w:tcPr>
            <w:tcW w:w="50" w:type="pct"/>
            <w:shd w:val="clear" w:color="auto" w:fill="auto"/>
          </w:tcPr>
          <w:p w14:paraId="669C71CA" w14:textId="77777777" w:rsidR="00066C63" w:rsidRDefault="00066C63">
            <w:pPr>
              <w:rPr>
                <w:rFonts w:ascii="宋体"/>
              </w:rPr>
            </w:pPr>
          </w:p>
        </w:tc>
        <w:tc>
          <w:tcPr>
            <w:tcW w:w="446" w:type="pct"/>
            <w:shd w:val="clear" w:color="auto" w:fill="auto"/>
          </w:tcPr>
          <w:p w14:paraId="669C71CB" w14:textId="77777777" w:rsidR="00066C63" w:rsidRDefault="00066C63">
            <w:pPr>
              <w:rPr>
                <w:rFonts w:ascii="宋体"/>
              </w:rPr>
            </w:pPr>
          </w:p>
        </w:tc>
        <w:tc>
          <w:tcPr>
            <w:tcW w:w="5" w:type="pct"/>
            <w:shd w:val="clear" w:color="auto" w:fill="auto"/>
          </w:tcPr>
          <w:p w14:paraId="669C71CC" w14:textId="77777777" w:rsidR="00066C63" w:rsidRDefault="00066C63">
            <w:pPr>
              <w:rPr>
                <w:rFonts w:ascii="宋体"/>
              </w:rPr>
            </w:pPr>
          </w:p>
        </w:tc>
        <w:tc>
          <w:tcPr>
            <w:tcW w:w="50" w:type="pct"/>
            <w:shd w:val="clear" w:color="auto" w:fill="auto"/>
          </w:tcPr>
          <w:p w14:paraId="669C71CD" w14:textId="77777777" w:rsidR="00066C63" w:rsidRDefault="00066C63">
            <w:pPr>
              <w:rPr>
                <w:rFonts w:ascii="宋体"/>
              </w:rPr>
            </w:pPr>
          </w:p>
        </w:tc>
        <w:tc>
          <w:tcPr>
            <w:tcW w:w="338" w:type="pct"/>
            <w:shd w:val="clear" w:color="auto" w:fill="auto"/>
          </w:tcPr>
          <w:p w14:paraId="669C71CE" w14:textId="77777777" w:rsidR="00066C63" w:rsidRDefault="00066C63">
            <w:pPr>
              <w:rPr>
                <w:rFonts w:ascii="宋体"/>
              </w:rPr>
            </w:pPr>
          </w:p>
        </w:tc>
        <w:tc>
          <w:tcPr>
            <w:tcW w:w="5" w:type="pct"/>
            <w:shd w:val="clear" w:color="auto" w:fill="auto"/>
          </w:tcPr>
          <w:p w14:paraId="669C71CF" w14:textId="77777777" w:rsidR="00066C63" w:rsidRDefault="00066C63">
            <w:pPr>
              <w:rPr>
                <w:rFonts w:ascii="宋体"/>
              </w:rPr>
            </w:pPr>
          </w:p>
        </w:tc>
        <w:tc>
          <w:tcPr>
            <w:tcW w:w="5" w:type="pct"/>
            <w:shd w:val="clear" w:color="auto" w:fill="auto"/>
          </w:tcPr>
          <w:p w14:paraId="669C71D0" w14:textId="77777777" w:rsidR="00066C63" w:rsidRDefault="00066C63">
            <w:pPr>
              <w:rPr>
                <w:rFonts w:ascii="宋体"/>
              </w:rPr>
            </w:pPr>
          </w:p>
        </w:tc>
        <w:tc>
          <w:tcPr>
            <w:tcW w:w="28" w:type="pct"/>
            <w:shd w:val="clear" w:color="auto" w:fill="auto"/>
          </w:tcPr>
          <w:p w14:paraId="669C71D1" w14:textId="77777777" w:rsidR="00066C63" w:rsidRDefault="00066C63">
            <w:pPr>
              <w:rPr>
                <w:rFonts w:ascii="宋体"/>
              </w:rPr>
            </w:pPr>
          </w:p>
        </w:tc>
        <w:tc>
          <w:tcPr>
            <w:tcW w:w="5" w:type="pct"/>
            <w:shd w:val="clear" w:color="auto" w:fill="auto"/>
          </w:tcPr>
          <w:p w14:paraId="669C71D2" w14:textId="77777777" w:rsidR="00066C63" w:rsidRDefault="00066C63">
            <w:pPr>
              <w:rPr>
                <w:rFonts w:ascii="宋体"/>
              </w:rPr>
            </w:pPr>
          </w:p>
        </w:tc>
        <w:tc>
          <w:tcPr>
            <w:tcW w:w="50" w:type="pct"/>
            <w:shd w:val="clear" w:color="auto" w:fill="auto"/>
          </w:tcPr>
          <w:p w14:paraId="669C71D3" w14:textId="77777777" w:rsidR="00066C63" w:rsidRDefault="00066C63">
            <w:pPr>
              <w:rPr>
                <w:rFonts w:ascii="宋体"/>
              </w:rPr>
            </w:pPr>
          </w:p>
        </w:tc>
        <w:tc>
          <w:tcPr>
            <w:tcW w:w="446" w:type="pct"/>
            <w:shd w:val="clear" w:color="auto" w:fill="auto"/>
          </w:tcPr>
          <w:p w14:paraId="669C71D4" w14:textId="77777777" w:rsidR="00066C63" w:rsidRDefault="00066C63">
            <w:pPr>
              <w:rPr>
                <w:rFonts w:ascii="宋体"/>
              </w:rPr>
            </w:pPr>
          </w:p>
        </w:tc>
        <w:tc>
          <w:tcPr>
            <w:tcW w:w="5" w:type="pct"/>
            <w:shd w:val="clear" w:color="auto" w:fill="auto"/>
          </w:tcPr>
          <w:p w14:paraId="669C71D5" w14:textId="77777777" w:rsidR="00066C63" w:rsidRDefault="00066C63">
            <w:pPr>
              <w:rPr>
                <w:rFonts w:ascii="宋体"/>
              </w:rPr>
            </w:pPr>
          </w:p>
        </w:tc>
        <w:tc>
          <w:tcPr>
            <w:tcW w:w="50" w:type="pct"/>
            <w:shd w:val="clear" w:color="auto" w:fill="auto"/>
          </w:tcPr>
          <w:p w14:paraId="669C71D6" w14:textId="77777777" w:rsidR="00066C63" w:rsidRDefault="00066C63">
            <w:pPr>
              <w:rPr>
                <w:rFonts w:ascii="宋体"/>
              </w:rPr>
            </w:pPr>
          </w:p>
        </w:tc>
        <w:tc>
          <w:tcPr>
            <w:tcW w:w="446" w:type="pct"/>
            <w:shd w:val="clear" w:color="auto" w:fill="auto"/>
          </w:tcPr>
          <w:p w14:paraId="669C71D7" w14:textId="77777777" w:rsidR="00066C63" w:rsidRDefault="00066C63">
            <w:pPr>
              <w:rPr>
                <w:rFonts w:ascii="宋体"/>
              </w:rPr>
            </w:pPr>
          </w:p>
        </w:tc>
        <w:tc>
          <w:tcPr>
            <w:tcW w:w="5" w:type="pct"/>
            <w:shd w:val="clear" w:color="auto" w:fill="auto"/>
          </w:tcPr>
          <w:p w14:paraId="669C71D8" w14:textId="77777777" w:rsidR="00066C63" w:rsidRDefault="00066C63">
            <w:pPr>
              <w:rPr>
                <w:rFonts w:ascii="宋体"/>
              </w:rPr>
            </w:pPr>
          </w:p>
        </w:tc>
        <w:tc>
          <w:tcPr>
            <w:tcW w:w="50" w:type="pct"/>
            <w:shd w:val="clear" w:color="auto" w:fill="auto"/>
          </w:tcPr>
          <w:p w14:paraId="669C71D9" w14:textId="77777777" w:rsidR="00066C63" w:rsidRDefault="00066C63">
            <w:pPr>
              <w:rPr>
                <w:rFonts w:ascii="宋体"/>
              </w:rPr>
            </w:pPr>
          </w:p>
        </w:tc>
        <w:tc>
          <w:tcPr>
            <w:tcW w:w="338" w:type="pct"/>
            <w:shd w:val="clear" w:color="auto" w:fill="auto"/>
          </w:tcPr>
          <w:p w14:paraId="669C71DA" w14:textId="77777777" w:rsidR="00066C63" w:rsidRDefault="00066C63">
            <w:pPr>
              <w:rPr>
                <w:rFonts w:ascii="宋体"/>
              </w:rPr>
            </w:pPr>
          </w:p>
        </w:tc>
        <w:tc>
          <w:tcPr>
            <w:tcW w:w="5" w:type="pct"/>
            <w:shd w:val="clear" w:color="auto" w:fill="auto"/>
          </w:tcPr>
          <w:p w14:paraId="669C71DB" w14:textId="77777777" w:rsidR="00066C63" w:rsidRDefault="00066C63">
            <w:pPr>
              <w:rPr>
                <w:rFonts w:ascii="宋体"/>
              </w:rPr>
            </w:pPr>
          </w:p>
        </w:tc>
      </w:tr>
      <w:tr w:rsidR="00066C63" w14:paraId="669C71E1" w14:textId="77777777">
        <w:tc>
          <w:tcPr>
            <w:tcW w:w="0" w:type="auto"/>
            <w:gridSpan w:val="3"/>
            <w:shd w:val="clear" w:color="auto" w:fill="auto"/>
            <w:tcMar>
              <w:top w:w="0" w:type="dxa"/>
              <w:left w:w="20" w:type="dxa"/>
              <w:bottom w:w="0" w:type="dxa"/>
              <w:right w:w="20" w:type="dxa"/>
            </w:tcMar>
          </w:tcPr>
          <w:p w14:paraId="669C71DD" w14:textId="77777777" w:rsidR="00066C63" w:rsidRDefault="00066C63">
            <w:pPr>
              <w:rPr>
                <w:rFonts w:ascii="宋体"/>
              </w:rPr>
            </w:pPr>
          </w:p>
        </w:tc>
        <w:tc>
          <w:tcPr>
            <w:tcW w:w="0" w:type="auto"/>
            <w:gridSpan w:val="9"/>
            <w:shd w:val="clear" w:color="auto" w:fill="auto"/>
            <w:tcMar>
              <w:top w:w="40" w:type="dxa"/>
              <w:left w:w="20" w:type="dxa"/>
              <w:bottom w:w="40" w:type="dxa"/>
              <w:right w:w="20" w:type="dxa"/>
            </w:tcMar>
            <w:vAlign w:val="bottom"/>
          </w:tcPr>
          <w:p w14:paraId="669C71DE" w14:textId="77777777" w:rsidR="00066C63" w:rsidRDefault="009656F6">
            <w:pPr>
              <w:jc w:val="center"/>
              <w:textAlignment w:val="bottom"/>
            </w:pPr>
            <w:r>
              <w:rPr>
                <w:rFonts w:ascii="sans-serif" w:eastAsia="sans-serif" w:hAnsi="sans-serif" w:cs="sans-serif"/>
                <w:b/>
                <w:bCs/>
                <w:color w:val="000000"/>
                <w:sz w:val="17"/>
                <w:szCs w:val="17"/>
              </w:rPr>
              <w:t xml:space="preserve">THREE MONTHS ENDED </w:t>
            </w:r>
          </w:p>
        </w:tc>
        <w:tc>
          <w:tcPr>
            <w:tcW w:w="0" w:type="auto"/>
            <w:gridSpan w:val="3"/>
            <w:shd w:val="clear" w:color="auto" w:fill="auto"/>
            <w:tcMar>
              <w:top w:w="0" w:type="dxa"/>
              <w:left w:w="20" w:type="dxa"/>
              <w:bottom w:w="0" w:type="dxa"/>
              <w:right w:w="20" w:type="dxa"/>
            </w:tcMar>
          </w:tcPr>
          <w:p w14:paraId="669C71DF" w14:textId="77777777" w:rsidR="00066C63" w:rsidRDefault="00066C63">
            <w:pPr>
              <w:rPr>
                <w:rFonts w:ascii="宋体"/>
              </w:rPr>
            </w:pPr>
          </w:p>
        </w:tc>
        <w:tc>
          <w:tcPr>
            <w:tcW w:w="0" w:type="auto"/>
            <w:gridSpan w:val="9"/>
            <w:shd w:val="clear" w:color="auto" w:fill="auto"/>
            <w:tcMar>
              <w:top w:w="40" w:type="dxa"/>
              <w:left w:w="20" w:type="dxa"/>
              <w:bottom w:w="40" w:type="dxa"/>
              <w:right w:w="20" w:type="dxa"/>
            </w:tcMar>
            <w:vAlign w:val="bottom"/>
          </w:tcPr>
          <w:p w14:paraId="669C71E0" w14:textId="77777777" w:rsidR="00066C63" w:rsidRDefault="009656F6">
            <w:pPr>
              <w:jc w:val="center"/>
              <w:textAlignment w:val="bottom"/>
            </w:pPr>
            <w:r>
              <w:rPr>
                <w:rFonts w:ascii="sans-serif" w:eastAsia="sans-serif" w:hAnsi="sans-serif" w:cs="sans-serif"/>
                <w:b/>
                <w:bCs/>
                <w:color w:val="000000"/>
                <w:sz w:val="17"/>
                <w:szCs w:val="17"/>
              </w:rPr>
              <w:t xml:space="preserve">NINE MONTHS ENDED </w:t>
            </w:r>
          </w:p>
        </w:tc>
      </w:tr>
      <w:tr w:rsidR="00066C63" w14:paraId="669C71EA" w14:textId="77777777">
        <w:tc>
          <w:tcPr>
            <w:tcW w:w="0" w:type="auto"/>
            <w:gridSpan w:val="3"/>
            <w:shd w:val="clear" w:color="auto" w:fill="auto"/>
            <w:tcMar>
              <w:top w:w="40" w:type="dxa"/>
              <w:left w:w="20" w:type="dxa"/>
              <w:bottom w:w="40" w:type="dxa"/>
              <w:right w:w="20" w:type="dxa"/>
            </w:tcMar>
            <w:vAlign w:val="bottom"/>
          </w:tcPr>
          <w:p w14:paraId="669C71E2" w14:textId="77777777" w:rsidR="00066C63" w:rsidRDefault="009656F6">
            <w:pPr>
              <w:textAlignment w:val="bottom"/>
            </w:pPr>
            <w:r>
              <w:rPr>
                <w:rFonts w:ascii="Arial Narrow" w:eastAsia="Arial Narrow" w:hAnsi="Arial Narrow" w:cs="Arial Narrow"/>
                <w:i/>
                <w:iCs/>
                <w:color w:val="000000"/>
                <w:sz w:val="17"/>
                <w:szCs w:val="17"/>
              </w:rPr>
              <w:t>(Dollars in millions, except per share data)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1E3" w14:textId="77777777" w:rsidR="00066C63" w:rsidRDefault="009656F6">
            <w:pPr>
              <w:jc w:val="center"/>
              <w:textAlignment w:val="bottom"/>
            </w:pPr>
            <w:r>
              <w:rPr>
                <w:rFonts w:ascii="sans-serif" w:eastAsia="sans-serif" w:hAnsi="sans-serif" w:cs="sans-serif"/>
                <w:b/>
                <w:bCs/>
                <w:color w:val="000000"/>
                <w:sz w:val="17"/>
                <w:szCs w:val="17"/>
              </w:rPr>
              <w:t>FEBRUARY 28, 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1E4" w14:textId="77777777" w:rsidR="00066C63" w:rsidRDefault="009656F6">
            <w:pPr>
              <w:jc w:val="center"/>
              <w:textAlignment w:val="bottom"/>
            </w:pPr>
            <w:r>
              <w:rPr>
                <w:rFonts w:ascii="sans-serif" w:eastAsia="sans-serif" w:hAnsi="sans-serif" w:cs="sans-serif"/>
                <w:b/>
                <w:bCs/>
                <w:color w:val="000000"/>
                <w:sz w:val="17"/>
                <w:szCs w:val="17"/>
              </w:rPr>
              <w:t>FEBRUARY 29, 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1E5" w14:textId="77777777" w:rsidR="00066C63" w:rsidRDefault="009656F6">
            <w:pPr>
              <w:jc w:val="right"/>
              <w:textAlignment w:val="bottom"/>
            </w:pPr>
            <w:r>
              <w:rPr>
                <w:rFonts w:ascii="sans-serif" w:eastAsia="sans-serif" w:hAnsi="sans-serif" w:cs="sans-serif"/>
                <w:b/>
                <w:bCs/>
                <w:color w:val="000000"/>
                <w:sz w:val="17"/>
                <w:szCs w:val="17"/>
              </w:rPr>
              <w:t>% CHANGE</w:t>
            </w:r>
          </w:p>
        </w:tc>
        <w:tc>
          <w:tcPr>
            <w:tcW w:w="0" w:type="auto"/>
            <w:gridSpan w:val="3"/>
            <w:shd w:val="clear" w:color="auto" w:fill="auto"/>
            <w:tcMar>
              <w:top w:w="0" w:type="dxa"/>
              <w:left w:w="20" w:type="dxa"/>
              <w:bottom w:w="0" w:type="dxa"/>
              <w:right w:w="20" w:type="dxa"/>
            </w:tcMar>
          </w:tcPr>
          <w:p w14:paraId="669C71E6" w14:textId="77777777" w:rsidR="00066C63" w:rsidRDefault="00066C63">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1E7" w14:textId="77777777" w:rsidR="00066C63" w:rsidRDefault="009656F6">
            <w:pPr>
              <w:jc w:val="center"/>
              <w:textAlignment w:val="bottom"/>
            </w:pPr>
            <w:r>
              <w:rPr>
                <w:rFonts w:ascii="sans-serif" w:eastAsia="sans-serif" w:hAnsi="sans-serif" w:cs="sans-serif"/>
                <w:b/>
                <w:bCs/>
                <w:color w:val="000000"/>
                <w:sz w:val="17"/>
                <w:szCs w:val="17"/>
              </w:rPr>
              <w:t>FEBRUARY 28, 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1E8" w14:textId="77777777" w:rsidR="00066C63" w:rsidRDefault="009656F6">
            <w:pPr>
              <w:jc w:val="center"/>
              <w:textAlignment w:val="bottom"/>
            </w:pPr>
            <w:r>
              <w:rPr>
                <w:rFonts w:ascii="sans-serif" w:eastAsia="sans-serif" w:hAnsi="sans-serif" w:cs="sans-serif"/>
                <w:b/>
                <w:bCs/>
                <w:color w:val="000000"/>
                <w:sz w:val="17"/>
                <w:szCs w:val="17"/>
              </w:rPr>
              <w:t>FEBRUARY 29, 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1E9" w14:textId="77777777" w:rsidR="00066C63" w:rsidRDefault="009656F6">
            <w:pPr>
              <w:jc w:val="right"/>
              <w:textAlignment w:val="bottom"/>
            </w:pPr>
            <w:r>
              <w:rPr>
                <w:rFonts w:ascii="sans-serif" w:eastAsia="sans-serif" w:hAnsi="sans-serif" w:cs="sans-serif"/>
                <w:b/>
                <w:bCs/>
                <w:color w:val="000000"/>
                <w:sz w:val="17"/>
                <w:szCs w:val="17"/>
              </w:rPr>
              <w:t>% CHANGE</w:t>
            </w:r>
          </w:p>
        </w:tc>
      </w:tr>
      <w:tr w:rsidR="00066C63" w14:paraId="669C71FD"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1EB" w14:textId="77777777" w:rsidR="00066C63" w:rsidRDefault="009656F6">
            <w:pPr>
              <w:textAlignment w:val="bottom"/>
            </w:pPr>
            <w:r>
              <w:rPr>
                <w:rFonts w:ascii="Arial" w:eastAsia="宋体" w:hAnsi="Arial" w:cs="Arial"/>
                <w:color w:val="000000"/>
                <w:sz w:val="17"/>
                <w:szCs w:val="17"/>
              </w:rPr>
              <w:t>Revenues</w:t>
            </w:r>
          </w:p>
        </w:tc>
        <w:tc>
          <w:tcPr>
            <w:tcW w:w="0" w:type="auto"/>
            <w:tcBorders>
              <w:top w:val="single" w:sz="8" w:space="0" w:color="E87722"/>
            </w:tcBorders>
            <w:shd w:val="clear" w:color="auto" w:fill="FFF1E7"/>
            <w:tcMar>
              <w:top w:w="40" w:type="dxa"/>
              <w:left w:w="20" w:type="dxa"/>
              <w:bottom w:w="40" w:type="dxa"/>
              <w:right w:w="0" w:type="dxa"/>
            </w:tcMar>
            <w:vAlign w:val="center"/>
          </w:tcPr>
          <w:p w14:paraId="669C71EC" w14:textId="77777777" w:rsidR="00066C63" w:rsidRDefault="009656F6">
            <w:pPr>
              <w:textAlignment w:val="center"/>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center"/>
          </w:tcPr>
          <w:p w14:paraId="669C71ED" w14:textId="77777777" w:rsidR="00066C63" w:rsidRDefault="009656F6">
            <w:pPr>
              <w:jc w:val="right"/>
              <w:textAlignment w:val="center"/>
            </w:pPr>
            <w:r>
              <w:rPr>
                <w:rFonts w:ascii="Arial" w:eastAsia="宋体" w:hAnsi="Arial" w:cs="Arial"/>
                <w:color w:val="000000"/>
                <w:sz w:val="17"/>
                <w:szCs w:val="17"/>
              </w:rPr>
              <w:t>10,357 </w:t>
            </w:r>
          </w:p>
        </w:tc>
        <w:tc>
          <w:tcPr>
            <w:tcW w:w="0" w:type="auto"/>
            <w:tcBorders>
              <w:top w:val="single" w:sz="8" w:space="0" w:color="E87722"/>
            </w:tcBorders>
            <w:shd w:val="clear" w:color="auto" w:fill="FFF1E7"/>
            <w:tcMar>
              <w:top w:w="40" w:type="dxa"/>
              <w:left w:w="0" w:type="dxa"/>
              <w:bottom w:w="40" w:type="dxa"/>
              <w:right w:w="20" w:type="dxa"/>
            </w:tcMar>
            <w:vAlign w:val="center"/>
          </w:tcPr>
          <w:p w14:paraId="669C71EE" w14:textId="77777777" w:rsidR="00066C63" w:rsidRDefault="00066C63">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center"/>
          </w:tcPr>
          <w:p w14:paraId="669C71EF" w14:textId="77777777" w:rsidR="00066C63" w:rsidRDefault="009656F6">
            <w:pPr>
              <w:textAlignment w:val="center"/>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center"/>
          </w:tcPr>
          <w:p w14:paraId="669C71F0" w14:textId="77777777" w:rsidR="00066C63" w:rsidRDefault="009656F6">
            <w:pPr>
              <w:jc w:val="right"/>
              <w:textAlignment w:val="center"/>
            </w:pPr>
            <w:r>
              <w:rPr>
                <w:rFonts w:ascii="Arial" w:eastAsia="宋体" w:hAnsi="Arial" w:cs="Arial"/>
                <w:color w:val="000000"/>
                <w:sz w:val="17"/>
                <w:szCs w:val="17"/>
              </w:rPr>
              <w:t>10,104 </w:t>
            </w:r>
          </w:p>
        </w:tc>
        <w:tc>
          <w:tcPr>
            <w:tcW w:w="0" w:type="auto"/>
            <w:tcBorders>
              <w:top w:val="single" w:sz="8" w:space="0" w:color="E87722"/>
            </w:tcBorders>
            <w:shd w:val="clear" w:color="auto" w:fill="auto"/>
            <w:tcMar>
              <w:top w:w="40" w:type="dxa"/>
              <w:left w:w="0" w:type="dxa"/>
              <w:bottom w:w="40" w:type="dxa"/>
              <w:right w:w="20" w:type="dxa"/>
            </w:tcMar>
            <w:vAlign w:val="center"/>
          </w:tcPr>
          <w:p w14:paraId="669C71F1" w14:textId="77777777" w:rsidR="00066C63" w:rsidRDefault="00066C63">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center"/>
          </w:tcPr>
          <w:p w14:paraId="669C71F2" w14:textId="77777777" w:rsidR="00066C63" w:rsidRDefault="009656F6">
            <w:pPr>
              <w:jc w:val="right"/>
              <w:textAlignment w:val="center"/>
            </w:pPr>
            <w:r>
              <w:rPr>
                <w:rFonts w:ascii="Arial" w:eastAsia="宋体" w:hAnsi="Arial" w:cs="Arial"/>
                <w:color w:val="000000"/>
                <w:sz w:val="17"/>
                <w:szCs w:val="17"/>
              </w:rPr>
              <w:t>3 </w:t>
            </w:r>
          </w:p>
        </w:tc>
        <w:tc>
          <w:tcPr>
            <w:tcW w:w="0" w:type="auto"/>
            <w:tcBorders>
              <w:top w:val="single" w:sz="8" w:space="0" w:color="E87722"/>
            </w:tcBorders>
            <w:shd w:val="clear" w:color="auto" w:fill="auto"/>
            <w:tcMar>
              <w:top w:w="40" w:type="dxa"/>
              <w:left w:w="0" w:type="dxa"/>
              <w:bottom w:w="40" w:type="dxa"/>
              <w:right w:w="20" w:type="dxa"/>
            </w:tcMar>
            <w:vAlign w:val="center"/>
          </w:tcPr>
          <w:p w14:paraId="669C71F3" w14:textId="77777777" w:rsidR="00066C63" w:rsidRDefault="009656F6">
            <w:pPr>
              <w:jc w:val="right"/>
              <w:textAlignment w:val="center"/>
            </w:pPr>
            <w:r>
              <w:rPr>
                <w:rFonts w:ascii="Arial" w:eastAsia="宋体" w:hAnsi="Arial" w:cs="Arial"/>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tcPr>
          <w:p w14:paraId="669C71F4" w14:textId="77777777" w:rsidR="00066C63" w:rsidRDefault="00066C63">
            <w:pPr>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center"/>
          </w:tcPr>
          <w:p w14:paraId="669C71F5" w14:textId="77777777" w:rsidR="00066C63" w:rsidRDefault="009656F6">
            <w:pPr>
              <w:textAlignment w:val="center"/>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center"/>
          </w:tcPr>
          <w:p w14:paraId="669C71F6" w14:textId="77777777" w:rsidR="00066C63" w:rsidRDefault="009656F6">
            <w:pPr>
              <w:jc w:val="right"/>
              <w:textAlignment w:val="center"/>
            </w:pPr>
            <w:r>
              <w:rPr>
                <w:rFonts w:ascii="Arial" w:eastAsia="宋体" w:hAnsi="Arial" w:cs="Arial"/>
                <w:color w:val="000000"/>
                <w:sz w:val="17"/>
                <w:szCs w:val="17"/>
              </w:rPr>
              <w:t>32,194 </w:t>
            </w:r>
          </w:p>
        </w:tc>
        <w:tc>
          <w:tcPr>
            <w:tcW w:w="0" w:type="auto"/>
            <w:tcBorders>
              <w:top w:val="single" w:sz="8" w:space="0" w:color="E87722"/>
            </w:tcBorders>
            <w:shd w:val="clear" w:color="auto" w:fill="FFF1E7"/>
            <w:tcMar>
              <w:top w:w="40" w:type="dxa"/>
              <w:left w:w="0" w:type="dxa"/>
              <w:bottom w:w="40" w:type="dxa"/>
              <w:right w:w="20" w:type="dxa"/>
            </w:tcMar>
            <w:vAlign w:val="center"/>
          </w:tcPr>
          <w:p w14:paraId="669C71F7" w14:textId="77777777" w:rsidR="00066C63" w:rsidRDefault="00066C63">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center"/>
          </w:tcPr>
          <w:p w14:paraId="669C71F8" w14:textId="77777777" w:rsidR="00066C63" w:rsidRDefault="009656F6">
            <w:pPr>
              <w:textAlignment w:val="center"/>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center"/>
          </w:tcPr>
          <w:p w14:paraId="669C71F9" w14:textId="77777777" w:rsidR="00066C63" w:rsidRDefault="009656F6">
            <w:pPr>
              <w:jc w:val="right"/>
              <w:textAlignment w:val="center"/>
            </w:pPr>
            <w:r>
              <w:rPr>
                <w:rFonts w:ascii="Arial" w:eastAsia="宋体" w:hAnsi="Arial" w:cs="Arial"/>
                <w:color w:val="000000"/>
                <w:sz w:val="17"/>
                <w:szCs w:val="17"/>
              </w:rPr>
              <w:t>31,090 </w:t>
            </w:r>
          </w:p>
        </w:tc>
        <w:tc>
          <w:tcPr>
            <w:tcW w:w="0" w:type="auto"/>
            <w:tcBorders>
              <w:top w:val="single" w:sz="8" w:space="0" w:color="E87722"/>
            </w:tcBorders>
            <w:shd w:val="clear" w:color="auto" w:fill="auto"/>
            <w:tcMar>
              <w:top w:w="40" w:type="dxa"/>
              <w:left w:w="0" w:type="dxa"/>
              <w:bottom w:w="40" w:type="dxa"/>
              <w:right w:w="20" w:type="dxa"/>
            </w:tcMar>
            <w:vAlign w:val="center"/>
          </w:tcPr>
          <w:p w14:paraId="669C71FA" w14:textId="77777777" w:rsidR="00066C63" w:rsidRDefault="00066C63">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center"/>
          </w:tcPr>
          <w:p w14:paraId="669C71FB" w14:textId="77777777" w:rsidR="00066C63" w:rsidRDefault="009656F6">
            <w:pPr>
              <w:jc w:val="right"/>
              <w:textAlignment w:val="center"/>
            </w:pPr>
            <w:r>
              <w:rPr>
                <w:rFonts w:ascii="Arial" w:eastAsia="宋体" w:hAnsi="Arial" w:cs="Arial"/>
                <w:color w:val="000000"/>
                <w:sz w:val="17"/>
                <w:szCs w:val="17"/>
              </w:rPr>
              <w:t>4 </w:t>
            </w:r>
          </w:p>
        </w:tc>
        <w:tc>
          <w:tcPr>
            <w:tcW w:w="0" w:type="auto"/>
            <w:tcBorders>
              <w:top w:val="single" w:sz="8" w:space="0" w:color="E87722"/>
            </w:tcBorders>
            <w:shd w:val="clear" w:color="auto" w:fill="auto"/>
            <w:tcMar>
              <w:top w:w="40" w:type="dxa"/>
              <w:left w:w="0" w:type="dxa"/>
              <w:bottom w:w="40" w:type="dxa"/>
              <w:right w:w="20" w:type="dxa"/>
            </w:tcMar>
            <w:vAlign w:val="center"/>
          </w:tcPr>
          <w:p w14:paraId="669C71FC" w14:textId="77777777" w:rsidR="00066C63" w:rsidRDefault="009656F6">
            <w:pPr>
              <w:jc w:val="right"/>
              <w:textAlignment w:val="center"/>
            </w:pPr>
            <w:r>
              <w:rPr>
                <w:rFonts w:ascii="Arial" w:eastAsia="宋体" w:hAnsi="Arial" w:cs="Arial"/>
                <w:color w:val="000000"/>
                <w:sz w:val="17"/>
                <w:szCs w:val="17"/>
              </w:rPr>
              <w:t>%</w:t>
            </w:r>
          </w:p>
        </w:tc>
      </w:tr>
      <w:tr w:rsidR="00066C63" w14:paraId="669C720C"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71FE" w14:textId="77777777" w:rsidR="00066C63" w:rsidRDefault="009656F6">
            <w:pPr>
              <w:textAlignment w:val="bottom"/>
            </w:pPr>
            <w:r>
              <w:rPr>
                <w:rFonts w:ascii="Arial" w:eastAsia="宋体" w:hAnsi="Arial" w:cs="Arial"/>
                <w:color w:val="000000"/>
                <w:sz w:val="17"/>
                <w:szCs w:val="17"/>
              </w:rPr>
              <w:t>Cost of sales</w:t>
            </w:r>
          </w:p>
        </w:tc>
        <w:tc>
          <w:tcPr>
            <w:tcW w:w="0" w:type="auto"/>
            <w:gridSpan w:val="2"/>
            <w:tcBorders>
              <w:top w:val="single" w:sz="8" w:space="0" w:color="808080"/>
            </w:tcBorders>
            <w:shd w:val="clear" w:color="auto" w:fill="FFF1E7"/>
            <w:tcMar>
              <w:top w:w="40" w:type="dxa"/>
              <w:left w:w="20" w:type="dxa"/>
              <w:bottom w:w="40" w:type="dxa"/>
              <w:right w:w="0" w:type="dxa"/>
            </w:tcMar>
            <w:vAlign w:val="center"/>
          </w:tcPr>
          <w:p w14:paraId="669C71FF" w14:textId="77777777" w:rsidR="00066C63" w:rsidRDefault="009656F6">
            <w:pPr>
              <w:jc w:val="right"/>
              <w:textAlignment w:val="center"/>
            </w:pPr>
            <w:r>
              <w:rPr>
                <w:rFonts w:ascii="Arial" w:eastAsia="宋体" w:hAnsi="Arial" w:cs="Arial"/>
                <w:color w:val="000000"/>
                <w:sz w:val="17"/>
                <w:szCs w:val="17"/>
              </w:rPr>
              <w:t>5,638 </w:t>
            </w:r>
          </w:p>
        </w:tc>
        <w:tc>
          <w:tcPr>
            <w:tcW w:w="0" w:type="auto"/>
            <w:tcBorders>
              <w:top w:val="single" w:sz="8" w:space="0" w:color="808080"/>
            </w:tcBorders>
            <w:shd w:val="clear" w:color="auto" w:fill="FFF1E7"/>
            <w:tcMar>
              <w:top w:w="40" w:type="dxa"/>
              <w:left w:w="0" w:type="dxa"/>
              <w:bottom w:w="40" w:type="dxa"/>
              <w:right w:w="20" w:type="dxa"/>
            </w:tcMar>
            <w:vAlign w:val="center"/>
          </w:tcPr>
          <w:p w14:paraId="669C7200"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center"/>
          </w:tcPr>
          <w:p w14:paraId="669C7201" w14:textId="77777777" w:rsidR="00066C63" w:rsidRDefault="009656F6">
            <w:pPr>
              <w:jc w:val="right"/>
              <w:textAlignment w:val="center"/>
            </w:pPr>
            <w:r>
              <w:rPr>
                <w:rFonts w:ascii="Arial" w:eastAsia="宋体" w:hAnsi="Arial" w:cs="Arial"/>
                <w:color w:val="000000"/>
                <w:sz w:val="17"/>
                <w:szCs w:val="17"/>
              </w:rPr>
              <w:t>5,631 </w:t>
            </w:r>
          </w:p>
        </w:tc>
        <w:tc>
          <w:tcPr>
            <w:tcW w:w="0" w:type="auto"/>
            <w:tcBorders>
              <w:top w:val="single" w:sz="8" w:space="0" w:color="808080"/>
            </w:tcBorders>
            <w:shd w:val="clear" w:color="auto" w:fill="auto"/>
            <w:tcMar>
              <w:top w:w="40" w:type="dxa"/>
              <w:left w:w="0" w:type="dxa"/>
              <w:bottom w:w="40" w:type="dxa"/>
              <w:right w:w="20" w:type="dxa"/>
            </w:tcMar>
            <w:vAlign w:val="center"/>
          </w:tcPr>
          <w:p w14:paraId="669C7202"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center"/>
          </w:tcPr>
          <w:p w14:paraId="669C7203" w14:textId="77777777" w:rsidR="00066C63" w:rsidRDefault="009656F6">
            <w:pPr>
              <w:jc w:val="right"/>
              <w:textAlignment w:val="center"/>
            </w:pPr>
            <w:r>
              <w:rPr>
                <w:rFonts w:ascii="Arial" w:eastAsia="宋体" w:hAnsi="Arial" w:cs="Arial"/>
                <w:color w:val="000000"/>
                <w:sz w:val="17"/>
                <w:szCs w:val="17"/>
              </w:rPr>
              <w:t>0 </w:t>
            </w:r>
          </w:p>
        </w:tc>
        <w:tc>
          <w:tcPr>
            <w:tcW w:w="0" w:type="auto"/>
            <w:tcBorders>
              <w:top w:val="single" w:sz="8" w:space="0" w:color="808080"/>
            </w:tcBorders>
            <w:shd w:val="clear" w:color="auto" w:fill="auto"/>
            <w:tcMar>
              <w:top w:w="40" w:type="dxa"/>
              <w:left w:w="0" w:type="dxa"/>
              <w:bottom w:w="40" w:type="dxa"/>
              <w:right w:w="20" w:type="dxa"/>
            </w:tcMar>
            <w:vAlign w:val="center"/>
          </w:tcPr>
          <w:p w14:paraId="669C7204" w14:textId="77777777" w:rsidR="00066C63" w:rsidRDefault="009656F6">
            <w:pPr>
              <w:jc w:val="right"/>
              <w:textAlignment w:val="center"/>
            </w:pPr>
            <w:r>
              <w:rPr>
                <w:rFonts w:ascii="Arial" w:eastAsia="宋体" w:hAnsi="Arial" w:cs="Arial"/>
                <w:color w:val="000000"/>
                <w:sz w:val="17"/>
                <w:szCs w:val="17"/>
              </w:rPr>
              <w:t>%</w:t>
            </w:r>
          </w:p>
        </w:tc>
        <w:tc>
          <w:tcPr>
            <w:tcW w:w="0" w:type="auto"/>
            <w:gridSpan w:val="3"/>
            <w:tcBorders>
              <w:top w:val="single" w:sz="8" w:space="0" w:color="808080"/>
            </w:tcBorders>
            <w:shd w:val="clear" w:color="auto" w:fill="auto"/>
            <w:tcMar>
              <w:top w:w="0" w:type="dxa"/>
              <w:left w:w="20" w:type="dxa"/>
              <w:bottom w:w="0" w:type="dxa"/>
              <w:right w:w="20" w:type="dxa"/>
            </w:tcMar>
          </w:tcPr>
          <w:p w14:paraId="669C7205" w14:textId="77777777" w:rsidR="00066C63" w:rsidRDefault="00066C63">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center"/>
          </w:tcPr>
          <w:p w14:paraId="669C7206" w14:textId="77777777" w:rsidR="00066C63" w:rsidRDefault="009656F6">
            <w:pPr>
              <w:jc w:val="right"/>
              <w:textAlignment w:val="center"/>
            </w:pPr>
            <w:r>
              <w:rPr>
                <w:rFonts w:ascii="Arial" w:eastAsia="宋体" w:hAnsi="Arial" w:cs="Arial"/>
                <w:color w:val="000000"/>
                <w:sz w:val="17"/>
                <w:szCs w:val="17"/>
              </w:rPr>
              <w:t>17,887 </w:t>
            </w:r>
          </w:p>
        </w:tc>
        <w:tc>
          <w:tcPr>
            <w:tcW w:w="0" w:type="auto"/>
            <w:tcBorders>
              <w:top w:val="single" w:sz="8" w:space="0" w:color="808080"/>
            </w:tcBorders>
            <w:shd w:val="clear" w:color="auto" w:fill="FFF1E7"/>
            <w:tcMar>
              <w:top w:w="40" w:type="dxa"/>
              <w:left w:w="0" w:type="dxa"/>
              <w:bottom w:w="40" w:type="dxa"/>
              <w:right w:w="20" w:type="dxa"/>
            </w:tcMar>
            <w:vAlign w:val="center"/>
          </w:tcPr>
          <w:p w14:paraId="669C7207"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center"/>
          </w:tcPr>
          <w:p w14:paraId="669C7208" w14:textId="77777777" w:rsidR="00066C63" w:rsidRDefault="009656F6">
            <w:pPr>
              <w:jc w:val="right"/>
              <w:textAlignment w:val="center"/>
            </w:pPr>
            <w:r>
              <w:rPr>
                <w:rFonts w:ascii="Arial" w:eastAsia="宋体" w:hAnsi="Arial" w:cs="Arial"/>
                <w:color w:val="000000"/>
                <w:sz w:val="17"/>
                <w:szCs w:val="17"/>
              </w:rPr>
              <w:t>17,202 </w:t>
            </w:r>
          </w:p>
        </w:tc>
        <w:tc>
          <w:tcPr>
            <w:tcW w:w="0" w:type="auto"/>
            <w:tcBorders>
              <w:top w:val="single" w:sz="8" w:space="0" w:color="808080"/>
            </w:tcBorders>
            <w:shd w:val="clear" w:color="auto" w:fill="auto"/>
            <w:tcMar>
              <w:top w:w="40" w:type="dxa"/>
              <w:left w:w="0" w:type="dxa"/>
              <w:bottom w:w="40" w:type="dxa"/>
              <w:right w:w="20" w:type="dxa"/>
            </w:tcMar>
            <w:vAlign w:val="center"/>
          </w:tcPr>
          <w:p w14:paraId="669C7209"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center"/>
          </w:tcPr>
          <w:p w14:paraId="669C720A" w14:textId="77777777" w:rsidR="00066C63" w:rsidRDefault="009656F6">
            <w:pPr>
              <w:jc w:val="right"/>
              <w:textAlignment w:val="center"/>
            </w:pPr>
            <w:r>
              <w:rPr>
                <w:rFonts w:ascii="Arial" w:eastAsia="宋体" w:hAnsi="Arial" w:cs="Arial"/>
                <w:color w:val="000000"/>
                <w:sz w:val="17"/>
                <w:szCs w:val="17"/>
              </w:rPr>
              <w:t>4 </w:t>
            </w:r>
          </w:p>
        </w:tc>
        <w:tc>
          <w:tcPr>
            <w:tcW w:w="0" w:type="auto"/>
            <w:tcBorders>
              <w:top w:val="single" w:sz="8" w:space="0" w:color="808080"/>
            </w:tcBorders>
            <w:shd w:val="clear" w:color="auto" w:fill="auto"/>
            <w:tcMar>
              <w:top w:w="40" w:type="dxa"/>
              <w:left w:w="0" w:type="dxa"/>
              <w:bottom w:w="40" w:type="dxa"/>
              <w:right w:w="20" w:type="dxa"/>
            </w:tcMar>
            <w:vAlign w:val="center"/>
          </w:tcPr>
          <w:p w14:paraId="669C720B" w14:textId="77777777" w:rsidR="00066C63" w:rsidRDefault="009656F6">
            <w:pPr>
              <w:jc w:val="right"/>
              <w:textAlignment w:val="center"/>
            </w:pPr>
            <w:r>
              <w:rPr>
                <w:rFonts w:ascii="Arial" w:eastAsia="宋体" w:hAnsi="Arial" w:cs="Arial"/>
                <w:color w:val="000000"/>
                <w:sz w:val="17"/>
                <w:szCs w:val="17"/>
              </w:rPr>
              <w:t>%</w:t>
            </w:r>
          </w:p>
        </w:tc>
      </w:tr>
      <w:tr w:rsidR="00066C63" w14:paraId="669C721B" w14:textId="77777777">
        <w:tc>
          <w:tcPr>
            <w:tcW w:w="0" w:type="auto"/>
            <w:gridSpan w:val="3"/>
            <w:tcBorders>
              <w:top w:val="single" w:sz="8" w:space="0" w:color="E87722"/>
            </w:tcBorders>
            <w:shd w:val="clear" w:color="auto" w:fill="auto"/>
            <w:tcMar>
              <w:top w:w="40" w:type="dxa"/>
              <w:left w:w="155" w:type="dxa"/>
              <w:bottom w:w="40" w:type="dxa"/>
              <w:right w:w="20" w:type="dxa"/>
            </w:tcMar>
            <w:vAlign w:val="bottom"/>
          </w:tcPr>
          <w:p w14:paraId="669C720D" w14:textId="77777777" w:rsidR="00066C63" w:rsidRDefault="009656F6">
            <w:pPr>
              <w:textAlignment w:val="bottom"/>
            </w:pPr>
            <w:r>
              <w:rPr>
                <w:rFonts w:ascii="Arial" w:eastAsia="宋体" w:hAnsi="Arial" w:cs="Arial"/>
                <w:color w:val="000000"/>
                <w:sz w:val="17"/>
                <w:szCs w:val="17"/>
              </w:rPr>
              <w:t>Gross profit</w:t>
            </w:r>
          </w:p>
        </w:tc>
        <w:tc>
          <w:tcPr>
            <w:tcW w:w="0" w:type="auto"/>
            <w:gridSpan w:val="2"/>
            <w:tcBorders>
              <w:top w:val="single" w:sz="8" w:space="0" w:color="E87722"/>
            </w:tcBorders>
            <w:shd w:val="clear" w:color="auto" w:fill="FFF1E7"/>
            <w:tcMar>
              <w:top w:w="40" w:type="dxa"/>
              <w:left w:w="20" w:type="dxa"/>
              <w:bottom w:w="40" w:type="dxa"/>
              <w:right w:w="0" w:type="dxa"/>
            </w:tcMar>
            <w:vAlign w:val="center"/>
          </w:tcPr>
          <w:p w14:paraId="669C720E" w14:textId="77777777" w:rsidR="00066C63" w:rsidRDefault="009656F6">
            <w:pPr>
              <w:jc w:val="right"/>
              <w:textAlignment w:val="center"/>
            </w:pPr>
            <w:r>
              <w:rPr>
                <w:rFonts w:ascii="Arial" w:eastAsia="宋体" w:hAnsi="Arial" w:cs="Arial"/>
                <w:color w:val="000000"/>
                <w:sz w:val="17"/>
                <w:szCs w:val="17"/>
              </w:rPr>
              <w:t>4,719 </w:t>
            </w:r>
          </w:p>
        </w:tc>
        <w:tc>
          <w:tcPr>
            <w:tcW w:w="0" w:type="auto"/>
            <w:tcBorders>
              <w:top w:val="single" w:sz="8" w:space="0" w:color="E87722"/>
            </w:tcBorders>
            <w:shd w:val="clear" w:color="auto" w:fill="FFF1E7"/>
            <w:tcMar>
              <w:top w:w="40" w:type="dxa"/>
              <w:left w:w="0" w:type="dxa"/>
              <w:bottom w:w="40" w:type="dxa"/>
              <w:right w:w="20" w:type="dxa"/>
            </w:tcMar>
            <w:vAlign w:val="center"/>
          </w:tcPr>
          <w:p w14:paraId="669C720F" w14:textId="77777777" w:rsidR="00066C63" w:rsidRDefault="00066C63">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center"/>
          </w:tcPr>
          <w:p w14:paraId="669C7210" w14:textId="77777777" w:rsidR="00066C63" w:rsidRDefault="009656F6">
            <w:pPr>
              <w:jc w:val="right"/>
              <w:textAlignment w:val="center"/>
            </w:pPr>
            <w:r>
              <w:rPr>
                <w:rFonts w:ascii="Arial" w:eastAsia="宋体" w:hAnsi="Arial" w:cs="Arial"/>
                <w:color w:val="000000"/>
                <w:sz w:val="17"/>
                <w:szCs w:val="17"/>
              </w:rPr>
              <w:t>4,473 </w:t>
            </w:r>
          </w:p>
        </w:tc>
        <w:tc>
          <w:tcPr>
            <w:tcW w:w="0" w:type="auto"/>
            <w:tcBorders>
              <w:top w:val="single" w:sz="8" w:space="0" w:color="E87722"/>
            </w:tcBorders>
            <w:shd w:val="clear" w:color="auto" w:fill="auto"/>
            <w:tcMar>
              <w:top w:w="40" w:type="dxa"/>
              <w:left w:w="0" w:type="dxa"/>
              <w:bottom w:w="40" w:type="dxa"/>
              <w:right w:w="20" w:type="dxa"/>
            </w:tcMar>
            <w:vAlign w:val="center"/>
          </w:tcPr>
          <w:p w14:paraId="669C7211" w14:textId="77777777" w:rsidR="00066C63" w:rsidRDefault="00066C63">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center"/>
          </w:tcPr>
          <w:p w14:paraId="669C7212" w14:textId="77777777" w:rsidR="00066C63" w:rsidRDefault="009656F6">
            <w:pPr>
              <w:jc w:val="right"/>
              <w:textAlignment w:val="center"/>
            </w:pPr>
            <w:r>
              <w:rPr>
                <w:rFonts w:ascii="Arial" w:eastAsia="宋体" w:hAnsi="Arial" w:cs="Arial"/>
                <w:color w:val="000000"/>
                <w:sz w:val="17"/>
                <w:szCs w:val="17"/>
              </w:rPr>
              <w:t>5 </w:t>
            </w:r>
          </w:p>
        </w:tc>
        <w:tc>
          <w:tcPr>
            <w:tcW w:w="0" w:type="auto"/>
            <w:tcBorders>
              <w:top w:val="single" w:sz="8" w:space="0" w:color="E87722"/>
            </w:tcBorders>
            <w:shd w:val="clear" w:color="auto" w:fill="auto"/>
            <w:tcMar>
              <w:top w:w="40" w:type="dxa"/>
              <w:left w:w="0" w:type="dxa"/>
              <w:bottom w:w="40" w:type="dxa"/>
              <w:right w:w="20" w:type="dxa"/>
            </w:tcMar>
            <w:vAlign w:val="center"/>
          </w:tcPr>
          <w:p w14:paraId="669C7213" w14:textId="77777777" w:rsidR="00066C63" w:rsidRDefault="009656F6">
            <w:pPr>
              <w:jc w:val="right"/>
              <w:textAlignment w:val="center"/>
            </w:pPr>
            <w:r>
              <w:rPr>
                <w:rFonts w:ascii="Arial" w:eastAsia="宋体" w:hAnsi="Arial" w:cs="Arial"/>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tcPr>
          <w:p w14:paraId="669C7214" w14:textId="77777777" w:rsidR="00066C63" w:rsidRDefault="00066C63">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center"/>
          </w:tcPr>
          <w:p w14:paraId="669C7215" w14:textId="77777777" w:rsidR="00066C63" w:rsidRDefault="009656F6">
            <w:pPr>
              <w:jc w:val="right"/>
              <w:textAlignment w:val="center"/>
            </w:pPr>
            <w:r>
              <w:rPr>
                <w:rFonts w:ascii="Arial" w:eastAsia="宋体" w:hAnsi="Arial" w:cs="Arial"/>
                <w:color w:val="000000"/>
                <w:sz w:val="17"/>
                <w:szCs w:val="17"/>
              </w:rPr>
              <w:t>14,307 </w:t>
            </w:r>
          </w:p>
        </w:tc>
        <w:tc>
          <w:tcPr>
            <w:tcW w:w="0" w:type="auto"/>
            <w:tcBorders>
              <w:top w:val="single" w:sz="8" w:space="0" w:color="E87722"/>
            </w:tcBorders>
            <w:shd w:val="clear" w:color="auto" w:fill="FFF1E7"/>
            <w:tcMar>
              <w:top w:w="40" w:type="dxa"/>
              <w:left w:w="0" w:type="dxa"/>
              <w:bottom w:w="40" w:type="dxa"/>
              <w:right w:w="20" w:type="dxa"/>
            </w:tcMar>
            <w:vAlign w:val="center"/>
          </w:tcPr>
          <w:p w14:paraId="669C7216" w14:textId="77777777" w:rsidR="00066C63" w:rsidRDefault="00066C63">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center"/>
          </w:tcPr>
          <w:p w14:paraId="669C7217" w14:textId="77777777" w:rsidR="00066C63" w:rsidRDefault="009656F6">
            <w:pPr>
              <w:jc w:val="right"/>
              <w:textAlignment w:val="center"/>
            </w:pPr>
            <w:r>
              <w:rPr>
                <w:rFonts w:ascii="Arial" w:eastAsia="宋体" w:hAnsi="Arial" w:cs="Arial"/>
                <w:color w:val="000000"/>
                <w:sz w:val="17"/>
                <w:szCs w:val="17"/>
              </w:rPr>
              <w:t>13,888 </w:t>
            </w:r>
          </w:p>
        </w:tc>
        <w:tc>
          <w:tcPr>
            <w:tcW w:w="0" w:type="auto"/>
            <w:tcBorders>
              <w:top w:val="single" w:sz="8" w:space="0" w:color="E87722"/>
            </w:tcBorders>
            <w:shd w:val="clear" w:color="auto" w:fill="auto"/>
            <w:tcMar>
              <w:top w:w="40" w:type="dxa"/>
              <w:left w:w="0" w:type="dxa"/>
              <w:bottom w:w="40" w:type="dxa"/>
              <w:right w:w="20" w:type="dxa"/>
            </w:tcMar>
            <w:vAlign w:val="center"/>
          </w:tcPr>
          <w:p w14:paraId="669C7218" w14:textId="77777777" w:rsidR="00066C63" w:rsidRDefault="00066C63">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center"/>
          </w:tcPr>
          <w:p w14:paraId="669C7219" w14:textId="77777777" w:rsidR="00066C63" w:rsidRDefault="009656F6">
            <w:pPr>
              <w:jc w:val="right"/>
              <w:textAlignment w:val="center"/>
            </w:pPr>
            <w:r>
              <w:rPr>
                <w:rFonts w:ascii="Arial" w:eastAsia="宋体" w:hAnsi="Arial" w:cs="Arial"/>
                <w:color w:val="000000"/>
                <w:sz w:val="17"/>
                <w:szCs w:val="17"/>
              </w:rPr>
              <w:t>3 </w:t>
            </w:r>
          </w:p>
        </w:tc>
        <w:tc>
          <w:tcPr>
            <w:tcW w:w="0" w:type="auto"/>
            <w:tcBorders>
              <w:top w:val="single" w:sz="8" w:space="0" w:color="E87722"/>
            </w:tcBorders>
            <w:shd w:val="clear" w:color="auto" w:fill="auto"/>
            <w:tcMar>
              <w:top w:w="40" w:type="dxa"/>
              <w:left w:w="0" w:type="dxa"/>
              <w:bottom w:w="40" w:type="dxa"/>
              <w:right w:w="20" w:type="dxa"/>
            </w:tcMar>
            <w:vAlign w:val="center"/>
          </w:tcPr>
          <w:p w14:paraId="669C721A" w14:textId="77777777" w:rsidR="00066C63" w:rsidRDefault="009656F6">
            <w:pPr>
              <w:jc w:val="right"/>
              <w:textAlignment w:val="center"/>
            </w:pPr>
            <w:r>
              <w:rPr>
                <w:rFonts w:ascii="Arial" w:eastAsia="宋体" w:hAnsi="Arial" w:cs="Arial"/>
                <w:color w:val="000000"/>
                <w:sz w:val="17"/>
                <w:szCs w:val="17"/>
              </w:rPr>
              <w:t>%</w:t>
            </w:r>
          </w:p>
        </w:tc>
      </w:tr>
      <w:tr w:rsidR="00066C63" w14:paraId="669C7228"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721C" w14:textId="77777777" w:rsidR="00066C63" w:rsidRDefault="009656F6">
            <w:pPr>
              <w:textAlignment w:val="bottom"/>
            </w:pPr>
            <w:r>
              <w:rPr>
                <w:rFonts w:ascii="Arial" w:eastAsia="宋体" w:hAnsi="Arial" w:cs="Arial"/>
                <w:i/>
                <w:iCs/>
                <w:color w:val="000000"/>
                <w:sz w:val="17"/>
                <w:szCs w:val="17"/>
              </w:rPr>
              <w:t>Gross margin</w:t>
            </w:r>
          </w:p>
        </w:tc>
        <w:tc>
          <w:tcPr>
            <w:tcW w:w="0" w:type="auto"/>
            <w:gridSpan w:val="2"/>
            <w:tcBorders>
              <w:top w:val="single" w:sz="8" w:space="0" w:color="808080"/>
            </w:tcBorders>
            <w:shd w:val="clear" w:color="auto" w:fill="FFF1E7"/>
            <w:tcMar>
              <w:top w:w="40" w:type="dxa"/>
              <w:left w:w="20" w:type="dxa"/>
              <w:bottom w:w="40" w:type="dxa"/>
              <w:right w:w="0" w:type="dxa"/>
            </w:tcMar>
            <w:vAlign w:val="center"/>
          </w:tcPr>
          <w:p w14:paraId="669C721D" w14:textId="77777777" w:rsidR="00066C63" w:rsidRDefault="009656F6">
            <w:pPr>
              <w:jc w:val="right"/>
              <w:textAlignment w:val="center"/>
            </w:pPr>
            <w:r>
              <w:rPr>
                <w:rFonts w:ascii="Arial" w:eastAsia="宋体" w:hAnsi="Arial" w:cs="Arial"/>
                <w:i/>
                <w:iCs/>
                <w:color w:val="000000"/>
                <w:sz w:val="17"/>
                <w:szCs w:val="17"/>
              </w:rPr>
              <w:t>45.6 </w:t>
            </w:r>
          </w:p>
        </w:tc>
        <w:tc>
          <w:tcPr>
            <w:tcW w:w="0" w:type="auto"/>
            <w:tcBorders>
              <w:top w:val="single" w:sz="8" w:space="0" w:color="808080"/>
            </w:tcBorders>
            <w:shd w:val="clear" w:color="auto" w:fill="FFF1E7"/>
            <w:tcMar>
              <w:top w:w="40" w:type="dxa"/>
              <w:left w:w="0" w:type="dxa"/>
              <w:bottom w:w="40" w:type="dxa"/>
              <w:right w:w="20" w:type="dxa"/>
            </w:tcMar>
            <w:vAlign w:val="center"/>
          </w:tcPr>
          <w:p w14:paraId="669C721E" w14:textId="77777777" w:rsidR="00066C63" w:rsidRDefault="009656F6">
            <w:pPr>
              <w:jc w:val="right"/>
              <w:textAlignment w:val="center"/>
            </w:pPr>
            <w:r>
              <w:rPr>
                <w:rFonts w:ascii="Arial" w:eastAsia="宋体" w:hAnsi="Arial" w:cs="Arial"/>
                <w:i/>
                <w:iCs/>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center"/>
          </w:tcPr>
          <w:p w14:paraId="669C721F" w14:textId="77777777" w:rsidR="00066C63" w:rsidRDefault="009656F6">
            <w:pPr>
              <w:jc w:val="right"/>
              <w:textAlignment w:val="center"/>
            </w:pPr>
            <w:r>
              <w:rPr>
                <w:rFonts w:ascii="Arial" w:eastAsia="宋体" w:hAnsi="Arial" w:cs="Arial"/>
                <w:i/>
                <w:iCs/>
                <w:color w:val="000000"/>
                <w:sz w:val="17"/>
                <w:szCs w:val="17"/>
              </w:rPr>
              <w:t>44.3 </w:t>
            </w:r>
          </w:p>
        </w:tc>
        <w:tc>
          <w:tcPr>
            <w:tcW w:w="0" w:type="auto"/>
            <w:tcBorders>
              <w:top w:val="single" w:sz="8" w:space="0" w:color="808080"/>
            </w:tcBorders>
            <w:shd w:val="clear" w:color="auto" w:fill="auto"/>
            <w:tcMar>
              <w:top w:w="40" w:type="dxa"/>
              <w:left w:w="0" w:type="dxa"/>
              <w:bottom w:w="40" w:type="dxa"/>
              <w:right w:w="20" w:type="dxa"/>
            </w:tcMar>
            <w:vAlign w:val="center"/>
          </w:tcPr>
          <w:p w14:paraId="669C7220" w14:textId="77777777" w:rsidR="00066C63" w:rsidRDefault="009656F6">
            <w:pPr>
              <w:jc w:val="right"/>
              <w:textAlignment w:val="center"/>
            </w:pPr>
            <w:r>
              <w:rPr>
                <w:rFonts w:ascii="Arial" w:eastAsia="宋体" w:hAnsi="Arial" w:cs="Arial"/>
                <w:i/>
                <w:iCs/>
                <w:color w:val="000000"/>
                <w:sz w:val="17"/>
                <w:szCs w:val="17"/>
              </w:rPr>
              <w:t>%</w:t>
            </w:r>
          </w:p>
        </w:tc>
        <w:tc>
          <w:tcPr>
            <w:tcW w:w="0" w:type="auto"/>
            <w:gridSpan w:val="3"/>
            <w:tcBorders>
              <w:top w:val="single" w:sz="8" w:space="0" w:color="808080"/>
            </w:tcBorders>
            <w:shd w:val="clear" w:color="auto" w:fill="auto"/>
            <w:tcMar>
              <w:top w:w="0" w:type="dxa"/>
              <w:left w:w="20" w:type="dxa"/>
              <w:bottom w:w="0" w:type="dxa"/>
              <w:right w:w="20" w:type="dxa"/>
            </w:tcMar>
          </w:tcPr>
          <w:p w14:paraId="669C7221" w14:textId="77777777" w:rsidR="00066C63" w:rsidRDefault="00066C63">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7222" w14:textId="77777777" w:rsidR="00066C63" w:rsidRDefault="00066C63">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center"/>
          </w:tcPr>
          <w:p w14:paraId="669C7223" w14:textId="77777777" w:rsidR="00066C63" w:rsidRDefault="009656F6">
            <w:pPr>
              <w:jc w:val="right"/>
              <w:textAlignment w:val="center"/>
            </w:pPr>
            <w:r>
              <w:rPr>
                <w:rFonts w:ascii="Arial" w:eastAsia="宋体" w:hAnsi="Arial" w:cs="Arial"/>
                <w:i/>
                <w:iCs/>
                <w:color w:val="000000"/>
                <w:sz w:val="17"/>
                <w:szCs w:val="17"/>
              </w:rPr>
              <w:t>44.4 </w:t>
            </w:r>
          </w:p>
        </w:tc>
        <w:tc>
          <w:tcPr>
            <w:tcW w:w="0" w:type="auto"/>
            <w:tcBorders>
              <w:top w:val="single" w:sz="8" w:space="0" w:color="808080"/>
            </w:tcBorders>
            <w:shd w:val="clear" w:color="auto" w:fill="FFF1E7"/>
            <w:tcMar>
              <w:top w:w="40" w:type="dxa"/>
              <w:left w:w="0" w:type="dxa"/>
              <w:bottom w:w="40" w:type="dxa"/>
              <w:right w:w="20" w:type="dxa"/>
            </w:tcMar>
            <w:vAlign w:val="center"/>
          </w:tcPr>
          <w:p w14:paraId="669C7224" w14:textId="77777777" w:rsidR="00066C63" w:rsidRDefault="009656F6">
            <w:pPr>
              <w:jc w:val="right"/>
              <w:textAlignment w:val="center"/>
            </w:pPr>
            <w:r>
              <w:rPr>
                <w:rFonts w:ascii="Arial" w:eastAsia="宋体" w:hAnsi="Arial" w:cs="Arial"/>
                <w:i/>
                <w:iCs/>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center"/>
          </w:tcPr>
          <w:p w14:paraId="669C7225" w14:textId="77777777" w:rsidR="00066C63" w:rsidRDefault="009656F6">
            <w:pPr>
              <w:jc w:val="right"/>
              <w:textAlignment w:val="center"/>
            </w:pPr>
            <w:r>
              <w:rPr>
                <w:rFonts w:ascii="Arial" w:eastAsia="宋体" w:hAnsi="Arial" w:cs="Arial"/>
                <w:i/>
                <w:iCs/>
                <w:color w:val="000000"/>
                <w:sz w:val="17"/>
                <w:szCs w:val="17"/>
              </w:rPr>
              <w:t>44.7 </w:t>
            </w:r>
          </w:p>
        </w:tc>
        <w:tc>
          <w:tcPr>
            <w:tcW w:w="0" w:type="auto"/>
            <w:tcBorders>
              <w:top w:val="single" w:sz="8" w:space="0" w:color="808080"/>
            </w:tcBorders>
            <w:shd w:val="clear" w:color="auto" w:fill="auto"/>
            <w:tcMar>
              <w:top w:w="40" w:type="dxa"/>
              <w:left w:w="0" w:type="dxa"/>
              <w:bottom w:w="40" w:type="dxa"/>
              <w:right w:w="20" w:type="dxa"/>
            </w:tcMar>
            <w:vAlign w:val="center"/>
          </w:tcPr>
          <w:p w14:paraId="669C7226" w14:textId="77777777" w:rsidR="00066C63" w:rsidRDefault="009656F6">
            <w:pPr>
              <w:jc w:val="right"/>
              <w:textAlignment w:val="center"/>
            </w:pPr>
            <w:r>
              <w:rPr>
                <w:rFonts w:ascii="Arial" w:eastAsia="宋体" w:hAnsi="Arial" w:cs="Arial"/>
                <w:i/>
                <w:iCs/>
                <w:color w:val="000000"/>
                <w:sz w:val="17"/>
                <w:szCs w:val="17"/>
              </w:rPr>
              <w:t>%</w:t>
            </w:r>
          </w:p>
        </w:tc>
        <w:tc>
          <w:tcPr>
            <w:tcW w:w="0" w:type="auto"/>
            <w:gridSpan w:val="3"/>
            <w:tcBorders>
              <w:top w:val="single" w:sz="8" w:space="0" w:color="808080"/>
            </w:tcBorders>
            <w:shd w:val="clear" w:color="auto" w:fill="auto"/>
            <w:tcMar>
              <w:top w:w="0" w:type="dxa"/>
              <w:left w:w="20" w:type="dxa"/>
              <w:bottom w:w="0" w:type="dxa"/>
              <w:right w:w="20" w:type="dxa"/>
            </w:tcMar>
          </w:tcPr>
          <w:p w14:paraId="669C7227" w14:textId="77777777" w:rsidR="00066C63" w:rsidRDefault="00066C63">
            <w:pPr>
              <w:rPr>
                <w:rFonts w:ascii="宋体"/>
              </w:rPr>
            </w:pPr>
          </w:p>
        </w:tc>
      </w:tr>
      <w:tr w:rsidR="00066C63" w14:paraId="669C7237"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7229" w14:textId="77777777" w:rsidR="00066C63" w:rsidRDefault="009656F6">
            <w:pPr>
              <w:textAlignment w:val="bottom"/>
            </w:pPr>
            <w:r>
              <w:rPr>
                <w:rFonts w:ascii="Arial" w:eastAsia="宋体" w:hAnsi="Arial" w:cs="Arial"/>
                <w:color w:val="000000"/>
                <w:sz w:val="17"/>
                <w:szCs w:val="17"/>
              </w:rPr>
              <w:t>Demand creation expense</w:t>
            </w:r>
          </w:p>
        </w:tc>
        <w:tc>
          <w:tcPr>
            <w:tcW w:w="0" w:type="auto"/>
            <w:gridSpan w:val="2"/>
            <w:tcBorders>
              <w:top w:val="single" w:sz="8" w:space="0" w:color="808080"/>
            </w:tcBorders>
            <w:shd w:val="clear" w:color="auto" w:fill="FFF1E7"/>
            <w:tcMar>
              <w:top w:w="40" w:type="dxa"/>
              <w:left w:w="20" w:type="dxa"/>
              <w:bottom w:w="40" w:type="dxa"/>
              <w:right w:w="0" w:type="dxa"/>
            </w:tcMar>
            <w:vAlign w:val="center"/>
          </w:tcPr>
          <w:p w14:paraId="669C722A" w14:textId="77777777" w:rsidR="00066C63" w:rsidRDefault="009656F6">
            <w:pPr>
              <w:jc w:val="right"/>
              <w:textAlignment w:val="center"/>
            </w:pPr>
            <w:r>
              <w:rPr>
                <w:rFonts w:ascii="Arial" w:eastAsia="宋体" w:hAnsi="Arial" w:cs="Arial"/>
                <w:color w:val="000000"/>
                <w:sz w:val="17"/>
                <w:szCs w:val="17"/>
              </w:rPr>
              <w:t>711 </w:t>
            </w:r>
          </w:p>
        </w:tc>
        <w:tc>
          <w:tcPr>
            <w:tcW w:w="0" w:type="auto"/>
            <w:tcBorders>
              <w:top w:val="single" w:sz="8" w:space="0" w:color="808080"/>
            </w:tcBorders>
            <w:shd w:val="clear" w:color="auto" w:fill="FFF1E7"/>
            <w:tcMar>
              <w:top w:w="40" w:type="dxa"/>
              <w:left w:w="0" w:type="dxa"/>
              <w:bottom w:w="40" w:type="dxa"/>
              <w:right w:w="20" w:type="dxa"/>
            </w:tcMar>
            <w:vAlign w:val="center"/>
          </w:tcPr>
          <w:p w14:paraId="669C722B"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center"/>
          </w:tcPr>
          <w:p w14:paraId="669C722C" w14:textId="77777777" w:rsidR="00066C63" w:rsidRDefault="009656F6">
            <w:pPr>
              <w:jc w:val="right"/>
              <w:textAlignment w:val="center"/>
            </w:pPr>
            <w:r>
              <w:rPr>
                <w:rFonts w:ascii="Arial" w:eastAsia="宋体" w:hAnsi="Arial" w:cs="Arial"/>
                <w:color w:val="000000"/>
                <w:sz w:val="17"/>
                <w:szCs w:val="17"/>
              </w:rPr>
              <w:t>870 </w:t>
            </w:r>
          </w:p>
        </w:tc>
        <w:tc>
          <w:tcPr>
            <w:tcW w:w="0" w:type="auto"/>
            <w:tcBorders>
              <w:top w:val="single" w:sz="8" w:space="0" w:color="808080"/>
            </w:tcBorders>
            <w:shd w:val="clear" w:color="auto" w:fill="auto"/>
            <w:tcMar>
              <w:top w:w="40" w:type="dxa"/>
              <w:left w:w="0" w:type="dxa"/>
              <w:bottom w:w="40" w:type="dxa"/>
              <w:right w:w="20" w:type="dxa"/>
            </w:tcMar>
            <w:vAlign w:val="center"/>
          </w:tcPr>
          <w:p w14:paraId="669C722D"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center"/>
          </w:tcPr>
          <w:p w14:paraId="669C722E" w14:textId="77777777" w:rsidR="00066C63" w:rsidRDefault="009656F6">
            <w:pPr>
              <w:jc w:val="right"/>
              <w:textAlignment w:val="center"/>
            </w:pPr>
            <w:r>
              <w:rPr>
                <w:rFonts w:ascii="Arial" w:eastAsia="宋体" w:hAnsi="Arial" w:cs="Arial"/>
                <w:color w:val="000000"/>
                <w:sz w:val="17"/>
                <w:szCs w:val="17"/>
              </w:rPr>
              <w:t>-18 </w:t>
            </w:r>
          </w:p>
        </w:tc>
        <w:tc>
          <w:tcPr>
            <w:tcW w:w="0" w:type="auto"/>
            <w:tcBorders>
              <w:top w:val="single" w:sz="8" w:space="0" w:color="808080"/>
            </w:tcBorders>
            <w:shd w:val="clear" w:color="auto" w:fill="auto"/>
            <w:tcMar>
              <w:top w:w="40" w:type="dxa"/>
              <w:left w:w="0" w:type="dxa"/>
              <w:bottom w:w="40" w:type="dxa"/>
              <w:right w:w="20" w:type="dxa"/>
            </w:tcMar>
            <w:vAlign w:val="center"/>
          </w:tcPr>
          <w:p w14:paraId="669C722F" w14:textId="77777777" w:rsidR="00066C63" w:rsidRDefault="009656F6">
            <w:pPr>
              <w:jc w:val="right"/>
              <w:textAlignment w:val="center"/>
            </w:pPr>
            <w:r>
              <w:rPr>
                <w:rFonts w:ascii="Arial" w:eastAsia="宋体" w:hAnsi="Arial" w:cs="Arial"/>
                <w:color w:val="000000"/>
                <w:sz w:val="17"/>
                <w:szCs w:val="17"/>
              </w:rPr>
              <w:t>%</w:t>
            </w:r>
          </w:p>
        </w:tc>
        <w:tc>
          <w:tcPr>
            <w:tcW w:w="0" w:type="auto"/>
            <w:gridSpan w:val="3"/>
            <w:tcBorders>
              <w:top w:val="single" w:sz="8" w:space="0" w:color="808080"/>
            </w:tcBorders>
            <w:shd w:val="clear" w:color="auto" w:fill="auto"/>
            <w:tcMar>
              <w:top w:w="0" w:type="dxa"/>
              <w:left w:w="20" w:type="dxa"/>
              <w:bottom w:w="0" w:type="dxa"/>
              <w:right w:w="20" w:type="dxa"/>
            </w:tcMar>
          </w:tcPr>
          <w:p w14:paraId="669C7230" w14:textId="77777777" w:rsidR="00066C63" w:rsidRDefault="00066C63">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center"/>
          </w:tcPr>
          <w:p w14:paraId="669C7231" w14:textId="77777777" w:rsidR="00066C63" w:rsidRDefault="009656F6">
            <w:pPr>
              <w:jc w:val="right"/>
              <w:textAlignment w:val="center"/>
            </w:pPr>
            <w:r>
              <w:rPr>
                <w:rFonts w:ascii="Arial" w:eastAsia="宋体" w:hAnsi="Arial" w:cs="Arial"/>
                <w:color w:val="000000"/>
                <w:sz w:val="17"/>
                <w:szCs w:val="17"/>
              </w:rPr>
              <w:t>2,117 </w:t>
            </w:r>
          </w:p>
        </w:tc>
        <w:tc>
          <w:tcPr>
            <w:tcW w:w="0" w:type="auto"/>
            <w:tcBorders>
              <w:top w:val="single" w:sz="8" w:space="0" w:color="808080"/>
            </w:tcBorders>
            <w:shd w:val="clear" w:color="auto" w:fill="FFF1E7"/>
            <w:tcMar>
              <w:top w:w="40" w:type="dxa"/>
              <w:left w:w="0" w:type="dxa"/>
              <w:bottom w:w="40" w:type="dxa"/>
              <w:right w:w="20" w:type="dxa"/>
            </w:tcMar>
            <w:vAlign w:val="center"/>
          </w:tcPr>
          <w:p w14:paraId="669C7232"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center"/>
          </w:tcPr>
          <w:p w14:paraId="669C7233" w14:textId="77777777" w:rsidR="00066C63" w:rsidRDefault="009656F6">
            <w:pPr>
              <w:jc w:val="right"/>
              <w:textAlignment w:val="center"/>
            </w:pPr>
            <w:r>
              <w:rPr>
                <w:rFonts w:ascii="Arial" w:eastAsia="宋体" w:hAnsi="Arial" w:cs="Arial"/>
                <w:color w:val="000000"/>
                <w:sz w:val="17"/>
                <w:szCs w:val="17"/>
              </w:rPr>
              <w:t>2,769 </w:t>
            </w:r>
          </w:p>
        </w:tc>
        <w:tc>
          <w:tcPr>
            <w:tcW w:w="0" w:type="auto"/>
            <w:tcBorders>
              <w:top w:val="single" w:sz="8" w:space="0" w:color="808080"/>
            </w:tcBorders>
            <w:shd w:val="clear" w:color="auto" w:fill="auto"/>
            <w:tcMar>
              <w:top w:w="40" w:type="dxa"/>
              <w:left w:w="0" w:type="dxa"/>
              <w:bottom w:w="40" w:type="dxa"/>
              <w:right w:w="20" w:type="dxa"/>
            </w:tcMar>
            <w:vAlign w:val="center"/>
          </w:tcPr>
          <w:p w14:paraId="669C7234"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center"/>
          </w:tcPr>
          <w:p w14:paraId="669C7235" w14:textId="77777777" w:rsidR="00066C63" w:rsidRDefault="009656F6">
            <w:pPr>
              <w:jc w:val="right"/>
              <w:textAlignment w:val="center"/>
            </w:pPr>
            <w:r>
              <w:rPr>
                <w:rFonts w:ascii="Arial" w:eastAsia="宋体" w:hAnsi="Arial" w:cs="Arial"/>
                <w:color w:val="000000"/>
                <w:sz w:val="17"/>
                <w:szCs w:val="17"/>
              </w:rPr>
              <w:t>-24 </w:t>
            </w:r>
          </w:p>
        </w:tc>
        <w:tc>
          <w:tcPr>
            <w:tcW w:w="0" w:type="auto"/>
            <w:tcBorders>
              <w:top w:val="single" w:sz="8" w:space="0" w:color="808080"/>
            </w:tcBorders>
            <w:shd w:val="clear" w:color="auto" w:fill="auto"/>
            <w:tcMar>
              <w:top w:w="40" w:type="dxa"/>
              <w:left w:w="0" w:type="dxa"/>
              <w:bottom w:w="40" w:type="dxa"/>
              <w:right w:w="20" w:type="dxa"/>
            </w:tcMar>
            <w:vAlign w:val="center"/>
          </w:tcPr>
          <w:p w14:paraId="669C7236" w14:textId="77777777" w:rsidR="00066C63" w:rsidRDefault="009656F6">
            <w:pPr>
              <w:jc w:val="right"/>
              <w:textAlignment w:val="center"/>
            </w:pPr>
            <w:r>
              <w:rPr>
                <w:rFonts w:ascii="Arial" w:eastAsia="宋体" w:hAnsi="Arial" w:cs="Arial"/>
                <w:color w:val="000000"/>
                <w:sz w:val="17"/>
                <w:szCs w:val="17"/>
              </w:rPr>
              <w:t>%</w:t>
            </w:r>
          </w:p>
        </w:tc>
      </w:tr>
      <w:tr w:rsidR="00066C63" w14:paraId="669C7246"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7238" w14:textId="77777777" w:rsidR="00066C63" w:rsidRDefault="009656F6">
            <w:pPr>
              <w:textAlignment w:val="bottom"/>
            </w:pPr>
            <w:r>
              <w:rPr>
                <w:rFonts w:ascii="Arial" w:eastAsia="宋体" w:hAnsi="Arial" w:cs="Arial"/>
                <w:color w:val="000000"/>
                <w:sz w:val="17"/>
                <w:szCs w:val="17"/>
              </w:rPr>
              <w:t>Operating overhead expense</w:t>
            </w:r>
          </w:p>
        </w:tc>
        <w:tc>
          <w:tcPr>
            <w:tcW w:w="0" w:type="auto"/>
            <w:gridSpan w:val="2"/>
            <w:tcBorders>
              <w:top w:val="single" w:sz="8" w:space="0" w:color="808080"/>
            </w:tcBorders>
            <w:shd w:val="clear" w:color="auto" w:fill="FFF1E7"/>
            <w:tcMar>
              <w:top w:w="40" w:type="dxa"/>
              <w:left w:w="20" w:type="dxa"/>
              <w:bottom w:w="40" w:type="dxa"/>
              <w:right w:w="0" w:type="dxa"/>
            </w:tcMar>
            <w:vAlign w:val="center"/>
          </w:tcPr>
          <w:p w14:paraId="669C7239" w14:textId="77777777" w:rsidR="00066C63" w:rsidRDefault="009656F6">
            <w:pPr>
              <w:jc w:val="right"/>
              <w:textAlignment w:val="center"/>
            </w:pPr>
            <w:r>
              <w:rPr>
                <w:rFonts w:ascii="Arial" w:eastAsia="宋体" w:hAnsi="Arial" w:cs="Arial"/>
                <w:color w:val="000000"/>
                <w:sz w:val="17"/>
                <w:szCs w:val="17"/>
              </w:rPr>
              <w:t>2,330 </w:t>
            </w:r>
          </w:p>
        </w:tc>
        <w:tc>
          <w:tcPr>
            <w:tcW w:w="0" w:type="auto"/>
            <w:tcBorders>
              <w:top w:val="single" w:sz="8" w:space="0" w:color="808080"/>
            </w:tcBorders>
            <w:shd w:val="clear" w:color="auto" w:fill="FFF1E7"/>
            <w:tcMar>
              <w:top w:w="40" w:type="dxa"/>
              <w:left w:w="0" w:type="dxa"/>
              <w:bottom w:w="40" w:type="dxa"/>
              <w:right w:w="20" w:type="dxa"/>
            </w:tcMar>
            <w:vAlign w:val="center"/>
          </w:tcPr>
          <w:p w14:paraId="669C723A"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center"/>
          </w:tcPr>
          <w:p w14:paraId="669C723B" w14:textId="77777777" w:rsidR="00066C63" w:rsidRDefault="009656F6">
            <w:pPr>
              <w:jc w:val="right"/>
              <w:textAlignment w:val="center"/>
            </w:pPr>
            <w:r>
              <w:rPr>
                <w:rFonts w:ascii="Arial" w:eastAsia="宋体" w:hAnsi="Arial" w:cs="Arial"/>
                <w:color w:val="000000"/>
                <w:sz w:val="17"/>
                <w:szCs w:val="17"/>
              </w:rPr>
              <w:t>2,413 </w:t>
            </w:r>
          </w:p>
        </w:tc>
        <w:tc>
          <w:tcPr>
            <w:tcW w:w="0" w:type="auto"/>
            <w:tcBorders>
              <w:top w:val="single" w:sz="8" w:space="0" w:color="808080"/>
            </w:tcBorders>
            <w:shd w:val="clear" w:color="auto" w:fill="auto"/>
            <w:tcMar>
              <w:top w:w="40" w:type="dxa"/>
              <w:left w:w="0" w:type="dxa"/>
              <w:bottom w:w="40" w:type="dxa"/>
              <w:right w:w="20" w:type="dxa"/>
            </w:tcMar>
            <w:vAlign w:val="center"/>
          </w:tcPr>
          <w:p w14:paraId="669C723C"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center"/>
          </w:tcPr>
          <w:p w14:paraId="669C723D" w14:textId="77777777" w:rsidR="00066C63" w:rsidRDefault="009656F6">
            <w:pPr>
              <w:jc w:val="right"/>
              <w:textAlignment w:val="center"/>
            </w:pPr>
            <w:r>
              <w:rPr>
                <w:rFonts w:ascii="Arial" w:eastAsia="宋体" w:hAnsi="Arial" w:cs="Arial"/>
                <w:color w:val="000000"/>
                <w:sz w:val="17"/>
                <w:szCs w:val="17"/>
              </w:rPr>
              <w:t>-3 </w:t>
            </w:r>
          </w:p>
        </w:tc>
        <w:tc>
          <w:tcPr>
            <w:tcW w:w="0" w:type="auto"/>
            <w:tcBorders>
              <w:top w:val="single" w:sz="8" w:space="0" w:color="808080"/>
            </w:tcBorders>
            <w:shd w:val="clear" w:color="auto" w:fill="auto"/>
            <w:tcMar>
              <w:top w:w="40" w:type="dxa"/>
              <w:left w:w="0" w:type="dxa"/>
              <w:bottom w:w="40" w:type="dxa"/>
              <w:right w:w="20" w:type="dxa"/>
            </w:tcMar>
            <w:vAlign w:val="center"/>
          </w:tcPr>
          <w:p w14:paraId="669C723E" w14:textId="77777777" w:rsidR="00066C63" w:rsidRDefault="009656F6">
            <w:pPr>
              <w:jc w:val="right"/>
              <w:textAlignment w:val="center"/>
            </w:pPr>
            <w:r>
              <w:rPr>
                <w:rFonts w:ascii="Arial" w:eastAsia="宋体" w:hAnsi="Arial" w:cs="Arial"/>
                <w:color w:val="000000"/>
                <w:sz w:val="17"/>
                <w:szCs w:val="17"/>
              </w:rPr>
              <w:t>%</w:t>
            </w:r>
          </w:p>
        </w:tc>
        <w:tc>
          <w:tcPr>
            <w:tcW w:w="0" w:type="auto"/>
            <w:gridSpan w:val="3"/>
            <w:tcBorders>
              <w:top w:val="single" w:sz="8" w:space="0" w:color="808080"/>
            </w:tcBorders>
            <w:shd w:val="clear" w:color="auto" w:fill="auto"/>
            <w:tcMar>
              <w:top w:w="0" w:type="dxa"/>
              <w:left w:w="20" w:type="dxa"/>
              <w:bottom w:w="0" w:type="dxa"/>
              <w:right w:w="20" w:type="dxa"/>
            </w:tcMar>
          </w:tcPr>
          <w:p w14:paraId="669C723F" w14:textId="77777777" w:rsidR="00066C63" w:rsidRDefault="00066C63">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center"/>
          </w:tcPr>
          <w:p w14:paraId="669C7240" w14:textId="77777777" w:rsidR="00066C63" w:rsidRDefault="009656F6">
            <w:pPr>
              <w:jc w:val="right"/>
              <w:textAlignment w:val="center"/>
            </w:pPr>
            <w:r>
              <w:rPr>
                <w:rFonts w:ascii="Arial" w:eastAsia="宋体" w:hAnsi="Arial" w:cs="Arial"/>
                <w:color w:val="000000"/>
                <w:sz w:val="17"/>
                <w:szCs w:val="17"/>
              </w:rPr>
              <w:t>7,166 </w:t>
            </w:r>
          </w:p>
        </w:tc>
        <w:tc>
          <w:tcPr>
            <w:tcW w:w="0" w:type="auto"/>
            <w:tcBorders>
              <w:top w:val="single" w:sz="8" w:space="0" w:color="808080"/>
            </w:tcBorders>
            <w:shd w:val="clear" w:color="auto" w:fill="FFF1E7"/>
            <w:tcMar>
              <w:top w:w="40" w:type="dxa"/>
              <w:left w:w="0" w:type="dxa"/>
              <w:bottom w:w="40" w:type="dxa"/>
              <w:right w:w="20" w:type="dxa"/>
            </w:tcMar>
            <w:vAlign w:val="center"/>
          </w:tcPr>
          <w:p w14:paraId="669C7241"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center"/>
          </w:tcPr>
          <w:p w14:paraId="669C7242" w14:textId="77777777" w:rsidR="00066C63" w:rsidRDefault="009656F6">
            <w:pPr>
              <w:jc w:val="right"/>
              <w:textAlignment w:val="center"/>
            </w:pPr>
            <w:r>
              <w:rPr>
                <w:rFonts w:ascii="Arial" w:eastAsia="宋体" w:hAnsi="Arial" w:cs="Arial"/>
                <w:color w:val="000000"/>
                <w:sz w:val="17"/>
                <w:szCs w:val="17"/>
              </w:rPr>
              <w:t>7,166 </w:t>
            </w:r>
          </w:p>
        </w:tc>
        <w:tc>
          <w:tcPr>
            <w:tcW w:w="0" w:type="auto"/>
            <w:tcBorders>
              <w:top w:val="single" w:sz="8" w:space="0" w:color="808080"/>
            </w:tcBorders>
            <w:shd w:val="clear" w:color="auto" w:fill="auto"/>
            <w:tcMar>
              <w:top w:w="40" w:type="dxa"/>
              <w:left w:w="0" w:type="dxa"/>
              <w:bottom w:w="40" w:type="dxa"/>
              <w:right w:w="20" w:type="dxa"/>
            </w:tcMar>
            <w:vAlign w:val="center"/>
          </w:tcPr>
          <w:p w14:paraId="669C7243"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center"/>
          </w:tcPr>
          <w:p w14:paraId="669C7244" w14:textId="77777777" w:rsidR="00066C63" w:rsidRDefault="009656F6">
            <w:pPr>
              <w:jc w:val="right"/>
              <w:textAlignment w:val="center"/>
            </w:pPr>
            <w:r>
              <w:rPr>
                <w:rFonts w:ascii="Arial" w:eastAsia="宋体" w:hAnsi="Arial" w:cs="Arial"/>
                <w:color w:val="000000"/>
                <w:sz w:val="17"/>
                <w:szCs w:val="17"/>
              </w:rPr>
              <w:t>0 </w:t>
            </w:r>
          </w:p>
        </w:tc>
        <w:tc>
          <w:tcPr>
            <w:tcW w:w="0" w:type="auto"/>
            <w:tcBorders>
              <w:top w:val="single" w:sz="8" w:space="0" w:color="808080"/>
            </w:tcBorders>
            <w:shd w:val="clear" w:color="auto" w:fill="auto"/>
            <w:tcMar>
              <w:top w:w="40" w:type="dxa"/>
              <w:left w:w="0" w:type="dxa"/>
              <w:bottom w:w="40" w:type="dxa"/>
              <w:right w:w="20" w:type="dxa"/>
            </w:tcMar>
            <w:vAlign w:val="center"/>
          </w:tcPr>
          <w:p w14:paraId="669C7245" w14:textId="77777777" w:rsidR="00066C63" w:rsidRDefault="009656F6">
            <w:pPr>
              <w:jc w:val="right"/>
              <w:textAlignment w:val="center"/>
            </w:pPr>
            <w:r>
              <w:rPr>
                <w:rFonts w:ascii="Arial" w:eastAsia="宋体" w:hAnsi="Arial" w:cs="Arial"/>
                <w:color w:val="000000"/>
                <w:sz w:val="17"/>
                <w:szCs w:val="17"/>
              </w:rPr>
              <w:t>%</w:t>
            </w:r>
          </w:p>
        </w:tc>
      </w:tr>
      <w:tr w:rsidR="00066C63" w14:paraId="669C7255" w14:textId="77777777">
        <w:tc>
          <w:tcPr>
            <w:tcW w:w="0" w:type="auto"/>
            <w:gridSpan w:val="3"/>
            <w:tcBorders>
              <w:top w:val="single" w:sz="8" w:space="0" w:color="E87722"/>
            </w:tcBorders>
            <w:shd w:val="clear" w:color="auto" w:fill="auto"/>
            <w:tcMar>
              <w:top w:w="40" w:type="dxa"/>
              <w:left w:w="155" w:type="dxa"/>
              <w:bottom w:w="40" w:type="dxa"/>
              <w:right w:w="20" w:type="dxa"/>
            </w:tcMar>
            <w:vAlign w:val="bottom"/>
          </w:tcPr>
          <w:p w14:paraId="669C7247" w14:textId="77777777" w:rsidR="00066C63" w:rsidRDefault="009656F6">
            <w:pPr>
              <w:textAlignment w:val="bottom"/>
            </w:pPr>
            <w:r>
              <w:rPr>
                <w:rFonts w:ascii="Arial" w:eastAsia="宋体" w:hAnsi="Arial" w:cs="Arial"/>
                <w:color w:val="000000"/>
                <w:sz w:val="17"/>
                <w:szCs w:val="17"/>
              </w:rPr>
              <w:t>Total selling and administrative expense</w:t>
            </w:r>
          </w:p>
        </w:tc>
        <w:tc>
          <w:tcPr>
            <w:tcW w:w="0" w:type="auto"/>
            <w:gridSpan w:val="2"/>
            <w:tcBorders>
              <w:top w:val="single" w:sz="8" w:space="0" w:color="E87722"/>
            </w:tcBorders>
            <w:shd w:val="clear" w:color="auto" w:fill="FFF1E7"/>
            <w:tcMar>
              <w:top w:w="40" w:type="dxa"/>
              <w:left w:w="20" w:type="dxa"/>
              <w:bottom w:w="40" w:type="dxa"/>
              <w:right w:w="0" w:type="dxa"/>
            </w:tcMar>
            <w:vAlign w:val="center"/>
          </w:tcPr>
          <w:p w14:paraId="669C7248" w14:textId="77777777" w:rsidR="00066C63" w:rsidRDefault="009656F6">
            <w:pPr>
              <w:jc w:val="right"/>
              <w:textAlignment w:val="center"/>
            </w:pPr>
            <w:r>
              <w:rPr>
                <w:rFonts w:ascii="Arial" w:eastAsia="宋体" w:hAnsi="Arial" w:cs="Arial"/>
                <w:color w:val="000000"/>
                <w:sz w:val="17"/>
                <w:szCs w:val="17"/>
              </w:rPr>
              <w:t>3,041 </w:t>
            </w:r>
          </w:p>
        </w:tc>
        <w:tc>
          <w:tcPr>
            <w:tcW w:w="0" w:type="auto"/>
            <w:tcBorders>
              <w:top w:val="single" w:sz="8" w:space="0" w:color="E87722"/>
            </w:tcBorders>
            <w:shd w:val="clear" w:color="auto" w:fill="FFF1E7"/>
            <w:tcMar>
              <w:top w:w="40" w:type="dxa"/>
              <w:left w:w="0" w:type="dxa"/>
              <w:bottom w:w="40" w:type="dxa"/>
              <w:right w:w="20" w:type="dxa"/>
            </w:tcMar>
            <w:vAlign w:val="center"/>
          </w:tcPr>
          <w:p w14:paraId="669C7249" w14:textId="77777777" w:rsidR="00066C63" w:rsidRDefault="00066C63">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center"/>
          </w:tcPr>
          <w:p w14:paraId="669C724A" w14:textId="77777777" w:rsidR="00066C63" w:rsidRDefault="009656F6">
            <w:pPr>
              <w:jc w:val="right"/>
              <w:textAlignment w:val="center"/>
            </w:pPr>
            <w:r>
              <w:rPr>
                <w:rFonts w:ascii="Arial" w:eastAsia="宋体" w:hAnsi="Arial" w:cs="Arial"/>
                <w:color w:val="000000"/>
                <w:sz w:val="17"/>
                <w:szCs w:val="17"/>
              </w:rPr>
              <w:t>3,283 </w:t>
            </w:r>
          </w:p>
        </w:tc>
        <w:tc>
          <w:tcPr>
            <w:tcW w:w="0" w:type="auto"/>
            <w:tcBorders>
              <w:top w:val="single" w:sz="8" w:space="0" w:color="E87722"/>
            </w:tcBorders>
            <w:shd w:val="clear" w:color="auto" w:fill="auto"/>
            <w:tcMar>
              <w:top w:w="40" w:type="dxa"/>
              <w:left w:w="0" w:type="dxa"/>
              <w:bottom w:w="40" w:type="dxa"/>
              <w:right w:w="20" w:type="dxa"/>
            </w:tcMar>
            <w:vAlign w:val="center"/>
          </w:tcPr>
          <w:p w14:paraId="669C724B" w14:textId="77777777" w:rsidR="00066C63" w:rsidRDefault="00066C63">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center"/>
          </w:tcPr>
          <w:p w14:paraId="669C724C" w14:textId="77777777" w:rsidR="00066C63" w:rsidRDefault="009656F6">
            <w:pPr>
              <w:jc w:val="right"/>
              <w:textAlignment w:val="center"/>
            </w:pPr>
            <w:r>
              <w:rPr>
                <w:rFonts w:ascii="Arial" w:eastAsia="宋体" w:hAnsi="Arial" w:cs="Arial"/>
                <w:color w:val="000000"/>
                <w:sz w:val="17"/>
                <w:szCs w:val="17"/>
              </w:rPr>
              <w:t>-7 </w:t>
            </w:r>
          </w:p>
        </w:tc>
        <w:tc>
          <w:tcPr>
            <w:tcW w:w="0" w:type="auto"/>
            <w:tcBorders>
              <w:top w:val="single" w:sz="8" w:space="0" w:color="E87722"/>
            </w:tcBorders>
            <w:shd w:val="clear" w:color="auto" w:fill="auto"/>
            <w:tcMar>
              <w:top w:w="40" w:type="dxa"/>
              <w:left w:w="0" w:type="dxa"/>
              <w:bottom w:w="40" w:type="dxa"/>
              <w:right w:w="20" w:type="dxa"/>
            </w:tcMar>
            <w:vAlign w:val="center"/>
          </w:tcPr>
          <w:p w14:paraId="669C724D" w14:textId="77777777" w:rsidR="00066C63" w:rsidRDefault="009656F6">
            <w:pPr>
              <w:jc w:val="right"/>
              <w:textAlignment w:val="center"/>
            </w:pPr>
            <w:r>
              <w:rPr>
                <w:rFonts w:ascii="Arial" w:eastAsia="宋体" w:hAnsi="Arial" w:cs="Arial"/>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tcPr>
          <w:p w14:paraId="669C724E" w14:textId="77777777" w:rsidR="00066C63" w:rsidRDefault="00066C63">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center"/>
          </w:tcPr>
          <w:p w14:paraId="669C724F" w14:textId="77777777" w:rsidR="00066C63" w:rsidRDefault="009656F6">
            <w:pPr>
              <w:jc w:val="right"/>
              <w:textAlignment w:val="center"/>
            </w:pPr>
            <w:r>
              <w:rPr>
                <w:rFonts w:ascii="Arial" w:eastAsia="宋体" w:hAnsi="Arial" w:cs="Arial"/>
                <w:color w:val="000000"/>
                <w:sz w:val="17"/>
                <w:szCs w:val="17"/>
              </w:rPr>
              <w:t>9,283 </w:t>
            </w:r>
          </w:p>
        </w:tc>
        <w:tc>
          <w:tcPr>
            <w:tcW w:w="0" w:type="auto"/>
            <w:tcBorders>
              <w:top w:val="single" w:sz="8" w:space="0" w:color="E87722"/>
            </w:tcBorders>
            <w:shd w:val="clear" w:color="auto" w:fill="FFF1E7"/>
            <w:tcMar>
              <w:top w:w="40" w:type="dxa"/>
              <w:left w:w="0" w:type="dxa"/>
              <w:bottom w:w="40" w:type="dxa"/>
              <w:right w:w="20" w:type="dxa"/>
            </w:tcMar>
            <w:vAlign w:val="center"/>
          </w:tcPr>
          <w:p w14:paraId="669C7250" w14:textId="77777777" w:rsidR="00066C63" w:rsidRDefault="00066C63">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center"/>
          </w:tcPr>
          <w:p w14:paraId="669C7251" w14:textId="77777777" w:rsidR="00066C63" w:rsidRDefault="009656F6">
            <w:pPr>
              <w:jc w:val="right"/>
              <w:textAlignment w:val="center"/>
            </w:pPr>
            <w:r>
              <w:rPr>
                <w:rFonts w:ascii="Arial" w:eastAsia="宋体" w:hAnsi="Arial" w:cs="Arial"/>
                <w:color w:val="000000"/>
                <w:sz w:val="17"/>
                <w:szCs w:val="17"/>
              </w:rPr>
              <w:t>9,935 </w:t>
            </w:r>
          </w:p>
        </w:tc>
        <w:tc>
          <w:tcPr>
            <w:tcW w:w="0" w:type="auto"/>
            <w:tcBorders>
              <w:top w:val="single" w:sz="8" w:space="0" w:color="E87722"/>
            </w:tcBorders>
            <w:shd w:val="clear" w:color="auto" w:fill="auto"/>
            <w:tcMar>
              <w:top w:w="40" w:type="dxa"/>
              <w:left w:w="0" w:type="dxa"/>
              <w:bottom w:w="40" w:type="dxa"/>
              <w:right w:w="20" w:type="dxa"/>
            </w:tcMar>
            <w:vAlign w:val="center"/>
          </w:tcPr>
          <w:p w14:paraId="669C7252" w14:textId="77777777" w:rsidR="00066C63" w:rsidRDefault="00066C63">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center"/>
          </w:tcPr>
          <w:p w14:paraId="669C7253" w14:textId="77777777" w:rsidR="00066C63" w:rsidRDefault="009656F6">
            <w:pPr>
              <w:jc w:val="right"/>
              <w:textAlignment w:val="center"/>
            </w:pPr>
            <w:r>
              <w:rPr>
                <w:rFonts w:ascii="Arial" w:eastAsia="宋体" w:hAnsi="Arial" w:cs="Arial"/>
                <w:color w:val="000000"/>
                <w:sz w:val="17"/>
                <w:szCs w:val="17"/>
              </w:rPr>
              <w:t>-7 </w:t>
            </w:r>
          </w:p>
        </w:tc>
        <w:tc>
          <w:tcPr>
            <w:tcW w:w="0" w:type="auto"/>
            <w:tcBorders>
              <w:top w:val="single" w:sz="8" w:space="0" w:color="E87722"/>
            </w:tcBorders>
            <w:shd w:val="clear" w:color="auto" w:fill="auto"/>
            <w:tcMar>
              <w:top w:w="40" w:type="dxa"/>
              <w:left w:w="0" w:type="dxa"/>
              <w:bottom w:w="40" w:type="dxa"/>
              <w:right w:w="20" w:type="dxa"/>
            </w:tcMar>
            <w:vAlign w:val="center"/>
          </w:tcPr>
          <w:p w14:paraId="669C7254" w14:textId="77777777" w:rsidR="00066C63" w:rsidRDefault="009656F6">
            <w:pPr>
              <w:jc w:val="right"/>
              <w:textAlignment w:val="center"/>
            </w:pPr>
            <w:r>
              <w:rPr>
                <w:rFonts w:ascii="Arial" w:eastAsia="宋体" w:hAnsi="Arial" w:cs="Arial"/>
                <w:color w:val="000000"/>
                <w:sz w:val="17"/>
                <w:szCs w:val="17"/>
              </w:rPr>
              <w:t>%</w:t>
            </w:r>
          </w:p>
        </w:tc>
      </w:tr>
      <w:tr w:rsidR="00066C63" w14:paraId="669C7262"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7256" w14:textId="77777777" w:rsidR="00066C63" w:rsidRDefault="009656F6">
            <w:pPr>
              <w:textAlignment w:val="bottom"/>
            </w:pPr>
            <w:r>
              <w:rPr>
                <w:rFonts w:ascii="Arial" w:eastAsia="宋体" w:hAnsi="Arial" w:cs="Arial"/>
                <w:i/>
                <w:iCs/>
                <w:color w:val="000000"/>
                <w:sz w:val="17"/>
                <w:szCs w:val="17"/>
              </w:rPr>
              <w:t>% of revenues</w:t>
            </w:r>
          </w:p>
        </w:tc>
        <w:tc>
          <w:tcPr>
            <w:tcW w:w="0" w:type="auto"/>
            <w:gridSpan w:val="2"/>
            <w:tcBorders>
              <w:top w:val="single" w:sz="8" w:space="0" w:color="808080"/>
            </w:tcBorders>
            <w:shd w:val="clear" w:color="auto" w:fill="FFF1E7"/>
            <w:tcMar>
              <w:top w:w="40" w:type="dxa"/>
              <w:left w:w="20" w:type="dxa"/>
              <w:bottom w:w="40" w:type="dxa"/>
              <w:right w:w="0" w:type="dxa"/>
            </w:tcMar>
            <w:vAlign w:val="center"/>
          </w:tcPr>
          <w:p w14:paraId="669C7257" w14:textId="77777777" w:rsidR="00066C63" w:rsidRDefault="009656F6">
            <w:pPr>
              <w:jc w:val="right"/>
              <w:textAlignment w:val="center"/>
            </w:pPr>
            <w:r>
              <w:rPr>
                <w:rFonts w:ascii="Arial" w:eastAsia="宋体" w:hAnsi="Arial" w:cs="Arial"/>
                <w:i/>
                <w:iCs/>
                <w:color w:val="000000"/>
                <w:sz w:val="17"/>
                <w:szCs w:val="17"/>
              </w:rPr>
              <w:t>29.4 </w:t>
            </w:r>
          </w:p>
        </w:tc>
        <w:tc>
          <w:tcPr>
            <w:tcW w:w="0" w:type="auto"/>
            <w:tcBorders>
              <w:top w:val="single" w:sz="8" w:space="0" w:color="808080"/>
            </w:tcBorders>
            <w:shd w:val="clear" w:color="auto" w:fill="FFF1E7"/>
            <w:tcMar>
              <w:top w:w="40" w:type="dxa"/>
              <w:left w:w="0" w:type="dxa"/>
              <w:bottom w:w="40" w:type="dxa"/>
              <w:right w:w="20" w:type="dxa"/>
            </w:tcMar>
            <w:vAlign w:val="center"/>
          </w:tcPr>
          <w:p w14:paraId="669C7258" w14:textId="77777777" w:rsidR="00066C63" w:rsidRDefault="009656F6">
            <w:pPr>
              <w:jc w:val="right"/>
              <w:textAlignment w:val="center"/>
            </w:pPr>
            <w:r>
              <w:rPr>
                <w:rFonts w:ascii="Arial" w:eastAsia="宋体" w:hAnsi="Arial" w:cs="Arial"/>
                <w:i/>
                <w:iCs/>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center"/>
          </w:tcPr>
          <w:p w14:paraId="669C7259" w14:textId="77777777" w:rsidR="00066C63" w:rsidRDefault="009656F6">
            <w:pPr>
              <w:jc w:val="right"/>
              <w:textAlignment w:val="center"/>
            </w:pPr>
            <w:r>
              <w:rPr>
                <w:rFonts w:ascii="Arial" w:eastAsia="宋体" w:hAnsi="Arial" w:cs="Arial"/>
                <w:i/>
                <w:iCs/>
                <w:color w:val="000000"/>
                <w:sz w:val="17"/>
                <w:szCs w:val="17"/>
              </w:rPr>
              <w:t>32.5 </w:t>
            </w:r>
          </w:p>
        </w:tc>
        <w:tc>
          <w:tcPr>
            <w:tcW w:w="0" w:type="auto"/>
            <w:tcBorders>
              <w:top w:val="single" w:sz="8" w:space="0" w:color="808080"/>
            </w:tcBorders>
            <w:shd w:val="clear" w:color="auto" w:fill="auto"/>
            <w:tcMar>
              <w:top w:w="40" w:type="dxa"/>
              <w:left w:w="0" w:type="dxa"/>
              <w:bottom w:w="40" w:type="dxa"/>
              <w:right w:w="20" w:type="dxa"/>
            </w:tcMar>
            <w:vAlign w:val="center"/>
          </w:tcPr>
          <w:p w14:paraId="669C725A" w14:textId="77777777" w:rsidR="00066C63" w:rsidRDefault="009656F6">
            <w:pPr>
              <w:jc w:val="right"/>
              <w:textAlignment w:val="center"/>
            </w:pPr>
            <w:r>
              <w:rPr>
                <w:rFonts w:ascii="Arial" w:eastAsia="宋体" w:hAnsi="Arial" w:cs="Arial"/>
                <w:i/>
                <w:iCs/>
                <w:color w:val="000000"/>
                <w:sz w:val="17"/>
                <w:szCs w:val="17"/>
              </w:rPr>
              <w:t>%</w:t>
            </w:r>
          </w:p>
        </w:tc>
        <w:tc>
          <w:tcPr>
            <w:tcW w:w="0" w:type="auto"/>
            <w:gridSpan w:val="3"/>
            <w:tcBorders>
              <w:top w:val="single" w:sz="8" w:space="0" w:color="808080"/>
            </w:tcBorders>
            <w:shd w:val="clear" w:color="auto" w:fill="auto"/>
            <w:tcMar>
              <w:top w:w="0" w:type="dxa"/>
              <w:left w:w="20" w:type="dxa"/>
              <w:bottom w:w="0" w:type="dxa"/>
              <w:right w:w="20" w:type="dxa"/>
            </w:tcMar>
          </w:tcPr>
          <w:p w14:paraId="669C725B" w14:textId="77777777" w:rsidR="00066C63" w:rsidRDefault="00066C63">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725C" w14:textId="77777777" w:rsidR="00066C63" w:rsidRDefault="00066C63">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center"/>
          </w:tcPr>
          <w:p w14:paraId="669C725D" w14:textId="77777777" w:rsidR="00066C63" w:rsidRDefault="009656F6">
            <w:pPr>
              <w:jc w:val="right"/>
              <w:textAlignment w:val="center"/>
            </w:pPr>
            <w:r>
              <w:rPr>
                <w:rFonts w:ascii="Arial" w:eastAsia="宋体" w:hAnsi="Arial" w:cs="Arial"/>
                <w:i/>
                <w:iCs/>
                <w:color w:val="000000"/>
                <w:sz w:val="17"/>
                <w:szCs w:val="17"/>
              </w:rPr>
              <w:t>28.8 </w:t>
            </w:r>
          </w:p>
        </w:tc>
        <w:tc>
          <w:tcPr>
            <w:tcW w:w="0" w:type="auto"/>
            <w:tcBorders>
              <w:top w:val="single" w:sz="8" w:space="0" w:color="808080"/>
            </w:tcBorders>
            <w:shd w:val="clear" w:color="auto" w:fill="FFF1E7"/>
            <w:tcMar>
              <w:top w:w="40" w:type="dxa"/>
              <w:left w:w="0" w:type="dxa"/>
              <w:bottom w:w="40" w:type="dxa"/>
              <w:right w:w="20" w:type="dxa"/>
            </w:tcMar>
            <w:vAlign w:val="center"/>
          </w:tcPr>
          <w:p w14:paraId="669C725E" w14:textId="77777777" w:rsidR="00066C63" w:rsidRDefault="009656F6">
            <w:pPr>
              <w:jc w:val="right"/>
              <w:textAlignment w:val="center"/>
            </w:pPr>
            <w:r>
              <w:rPr>
                <w:rFonts w:ascii="Arial" w:eastAsia="宋体" w:hAnsi="Arial" w:cs="Arial"/>
                <w:i/>
                <w:iCs/>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center"/>
          </w:tcPr>
          <w:p w14:paraId="669C725F" w14:textId="77777777" w:rsidR="00066C63" w:rsidRDefault="009656F6">
            <w:pPr>
              <w:jc w:val="right"/>
              <w:textAlignment w:val="center"/>
            </w:pPr>
            <w:r>
              <w:rPr>
                <w:rFonts w:ascii="Arial" w:eastAsia="宋体" w:hAnsi="Arial" w:cs="Arial"/>
                <w:i/>
                <w:iCs/>
                <w:color w:val="000000"/>
                <w:sz w:val="17"/>
                <w:szCs w:val="17"/>
              </w:rPr>
              <w:t>32.0 </w:t>
            </w:r>
          </w:p>
        </w:tc>
        <w:tc>
          <w:tcPr>
            <w:tcW w:w="0" w:type="auto"/>
            <w:tcBorders>
              <w:top w:val="single" w:sz="8" w:space="0" w:color="808080"/>
            </w:tcBorders>
            <w:shd w:val="clear" w:color="auto" w:fill="auto"/>
            <w:tcMar>
              <w:top w:w="40" w:type="dxa"/>
              <w:left w:w="0" w:type="dxa"/>
              <w:bottom w:w="40" w:type="dxa"/>
              <w:right w:w="20" w:type="dxa"/>
            </w:tcMar>
            <w:vAlign w:val="center"/>
          </w:tcPr>
          <w:p w14:paraId="669C7260" w14:textId="77777777" w:rsidR="00066C63" w:rsidRDefault="009656F6">
            <w:pPr>
              <w:jc w:val="right"/>
              <w:textAlignment w:val="center"/>
            </w:pPr>
            <w:r>
              <w:rPr>
                <w:rFonts w:ascii="Arial" w:eastAsia="宋体" w:hAnsi="Arial" w:cs="Arial"/>
                <w:i/>
                <w:iCs/>
                <w:color w:val="000000"/>
                <w:sz w:val="17"/>
                <w:szCs w:val="17"/>
              </w:rPr>
              <w:t>%</w:t>
            </w:r>
          </w:p>
        </w:tc>
        <w:tc>
          <w:tcPr>
            <w:tcW w:w="0" w:type="auto"/>
            <w:gridSpan w:val="3"/>
            <w:tcBorders>
              <w:top w:val="single" w:sz="8" w:space="0" w:color="808080"/>
            </w:tcBorders>
            <w:shd w:val="clear" w:color="auto" w:fill="auto"/>
            <w:tcMar>
              <w:top w:w="0" w:type="dxa"/>
              <w:left w:w="20" w:type="dxa"/>
              <w:bottom w:w="0" w:type="dxa"/>
              <w:right w:w="20" w:type="dxa"/>
            </w:tcMar>
          </w:tcPr>
          <w:p w14:paraId="669C7261" w14:textId="77777777" w:rsidR="00066C63" w:rsidRDefault="00066C63">
            <w:pPr>
              <w:rPr>
                <w:rFonts w:ascii="宋体"/>
              </w:rPr>
            </w:pPr>
          </w:p>
        </w:tc>
      </w:tr>
      <w:tr w:rsidR="00066C63" w14:paraId="669C7271"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7263" w14:textId="77777777" w:rsidR="00066C63" w:rsidRDefault="009656F6">
            <w:pPr>
              <w:textAlignment w:val="bottom"/>
            </w:pPr>
            <w:r>
              <w:rPr>
                <w:rFonts w:ascii="Arial" w:eastAsia="宋体" w:hAnsi="Arial" w:cs="Arial"/>
                <w:color w:val="000000"/>
                <w:sz w:val="17"/>
                <w:szCs w:val="17"/>
              </w:rPr>
              <w:t>Interest expense (income), net</w:t>
            </w:r>
          </w:p>
        </w:tc>
        <w:tc>
          <w:tcPr>
            <w:tcW w:w="0" w:type="auto"/>
            <w:gridSpan w:val="2"/>
            <w:tcBorders>
              <w:top w:val="single" w:sz="8" w:space="0" w:color="808080"/>
            </w:tcBorders>
            <w:shd w:val="clear" w:color="auto" w:fill="FFF1E7"/>
            <w:tcMar>
              <w:top w:w="40" w:type="dxa"/>
              <w:left w:w="20" w:type="dxa"/>
              <w:bottom w:w="40" w:type="dxa"/>
              <w:right w:w="0" w:type="dxa"/>
            </w:tcMar>
            <w:vAlign w:val="center"/>
          </w:tcPr>
          <w:p w14:paraId="669C7264" w14:textId="77777777" w:rsidR="00066C63" w:rsidRDefault="009656F6">
            <w:pPr>
              <w:jc w:val="right"/>
              <w:textAlignment w:val="center"/>
            </w:pPr>
            <w:r>
              <w:rPr>
                <w:rFonts w:ascii="Arial" w:eastAsia="宋体" w:hAnsi="Arial" w:cs="Arial"/>
                <w:color w:val="000000"/>
                <w:sz w:val="17"/>
                <w:szCs w:val="17"/>
              </w:rPr>
              <w:t>64 </w:t>
            </w:r>
          </w:p>
        </w:tc>
        <w:tc>
          <w:tcPr>
            <w:tcW w:w="0" w:type="auto"/>
            <w:tcBorders>
              <w:top w:val="single" w:sz="8" w:space="0" w:color="808080"/>
            </w:tcBorders>
            <w:shd w:val="clear" w:color="auto" w:fill="FFF1E7"/>
            <w:tcMar>
              <w:top w:w="40" w:type="dxa"/>
              <w:left w:w="0" w:type="dxa"/>
              <w:bottom w:w="40" w:type="dxa"/>
              <w:right w:w="20" w:type="dxa"/>
            </w:tcMar>
            <w:vAlign w:val="center"/>
          </w:tcPr>
          <w:p w14:paraId="669C7265"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center"/>
          </w:tcPr>
          <w:p w14:paraId="669C7266" w14:textId="77777777" w:rsidR="00066C63" w:rsidRDefault="009656F6">
            <w:pPr>
              <w:jc w:val="right"/>
              <w:textAlignment w:val="center"/>
            </w:pPr>
            <w:r>
              <w:rPr>
                <w:rFonts w:ascii="Arial" w:eastAsia="宋体" w:hAnsi="Arial" w:cs="Arial"/>
                <w:color w:val="000000"/>
                <w:sz w:val="17"/>
                <w:szCs w:val="17"/>
              </w:rPr>
              <w:t>12 </w:t>
            </w:r>
          </w:p>
        </w:tc>
        <w:tc>
          <w:tcPr>
            <w:tcW w:w="0" w:type="auto"/>
            <w:tcBorders>
              <w:top w:val="single" w:sz="8" w:space="0" w:color="808080"/>
            </w:tcBorders>
            <w:shd w:val="clear" w:color="auto" w:fill="auto"/>
            <w:tcMar>
              <w:top w:w="40" w:type="dxa"/>
              <w:left w:w="0" w:type="dxa"/>
              <w:bottom w:w="40" w:type="dxa"/>
              <w:right w:w="20" w:type="dxa"/>
            </w:tcMar>
            <w:vAlign w:val="center"/>
          </w:tcPr>
          <w:p w14:paraId="669C7267"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center"/>
          </w:tcPr>
          <w:p w14:paraId="669C7268" w14:textId="77777777" w:rsidR="00066C63" w:rsidRDefault="009656F6">
            <w:pPr>
              <w:jc w:val="right"/>
              <w:textAlignment w:val="center"/>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left w:w="0" w:type="dxa"/>
              <w:bottom w:w="40" w:type="dxa"/>
              <w:right w:w="20" w:type="dxa"/>
            </w:tcMar>
            <w:vAlign w:val="center"/>
          </w:tcPr>
          <w:p w14:paraId="669C7269" w14:textId="77777777" w:rsidR="00066C63" w:rsidRDefault="00066C63">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726A" w14:textId="77777777" w:rsidR="00066C63" w:rsidRDefault="00066C63">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center"/>
          </w:tcPr>
          <w:p w14:paraId="669C726B" w14:textId="77777777" w:rsidR="00066C63" w:rsidRDefault="009656F6">
            <w:pPr>
              <w:jc w:val="right"/>
              <w:textAlignment w:val="center"/>
            </w:pPr>
            <w:r>
              <w:rPr>
                <w:rFonts w:ascii="Arial" w:eastAsia="宋体" w:hAnsi="Arial" w:cs="Arial"/>
                <w:color w:val="000000"/>
                <w:sz w:val="17"/>
                <w:szCs w:val="17"/>
              </w:rPr>
              <w:t>199 </w:t>
            </w:r>
          </w:p>
        </w:tc>
        <w:tc>
          <w:tcPr>
            <w:tcW w:w="0" w:type="auto"/>
            <w:tcBorders>
              <w:top w:val="single" w:sz="8" w:space="0" w:color="808080"/>
            </w:tcBorders>
            <w:shd w:val="clear" w:color="auto" w:fill="FFF1E7"/>
            <w:tcMar>
              <w:top w:w="40" w:type="dxa"/>
              <w:left w:w="0" w:type="dxa"/>
              <w:bottom w:w="40" w:type="dxa"/>
              <w:right w:w="20" w:type="dxa"/>
            </w:tcMar>
            <w:vAlign w:val="center"/>
          </w:tcPr>
          <w:p w14:paraId="669C726C"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center"/>
          </w:tcPr>
          <w:p w14:paraId="669C726D" w14:textId="77777777" w:rsidR="00066C63" w:rsidRDefault="009656F6">
            <w:pPr>
              <w:jc w:val="right"/>
              <w:textAlignment w:val="center"/>
            </w:pPr>
            <w:r>
              <w:rPr>
                <w:rFonts w:ascii="Arial" w:eastAsia="宋体" w:hAnsi="Arial" w:cs="Arial"/>
                <w:color w:val="000000"/>
                <w:sz w:val="17"/>
                <w:szCs w:val="17"/>
              </w:rPr>
              <w:t>39 </w:t>
            </w:r>
          </w:p>
        </w:tc>
        <w:tc>
          <w:tcPr>
            <w:tcW w:w="0" w:type="auto"/>
            <w:tcBorders>
              <w:top w:val="single" w:sz="8" w:space="0" w:color="808080"/>
            </w:tcBorders>
            <w:shd w:val="clear" w:color="auto" w:fill="auto"/>
            <w:tcMar>
              <w:top w:w="40" w:type="dxa"/>
              <w:left w:w="0" w:type="dxa"/>
              <w:bottom w:w="40" w:type="dxa"/>
              <w:right w:w="20" w:type="dxa"/>
            </w:tcMar>
            <w:vAlign w:val="center"/>
          </w:tcPr>
          <w:p w14:paraId="669C726E"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center"/>
          </w:tcPr>
          <w:p w14:paraId="669C726F" w14:textId="77777777" w:rsidR="00066C63" w:rsidRDefault="009656F6">
            <w:pPr>
              <w:jc w:val="right"/>
              <w:textAlignment w:val="center"/>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left w:w="0" w:type="dxa"/>
              <w:bottom w:w="40" w:type="dxa"/>
              <w:right w:w="20" w:type="dxa"/>
            </w:tcMar>
            <w:vAlign w:val="center"/>
          </w:tcPr>
          <w:p w14:paraId="669C7270" w14:textId="77777777" w:rsidR="00066C63" w:rsidRDefault="00066C63">
            <w:pPr>
              <w:jc w:val="right"/>
              <w:rPr>
                <w:rFonts w:ascii="宋体"/>
              </w:rPr>
            </w:pPr>
          </w:p>
        </w:tc>
      </w:tr>
      <w:tr w:rsidR="00066C63" w14:paraId="669C7280"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7272" w14:textId="77777777" w:rsidR="00066C63" w:rsidRDefault="009656F6">
            <w:pPr>
              <w:textAlignment w:val="bottom"/>
            </w:pPr>
            <w:r>
              <w:rPr>
                <w:rFonts w:ascii="Arial" w:eastAsia="宋体" w:hAnsi="Arial" w:cs="Arial"/>
                <w:color w:val="000000"/>
                <w:sz w:val="17"/>
                <w:szCs w:val="17"/>
              </w:rPr>
              <w:t>Other (income) expense, net</w:t>
            </w:r>
          </w:p>
        </w:tc>
        <w:tc>
          <w:tcPr>
            <w:tcW w:w="0" w:type="auto"/>
            <w:gridSpan w:val="2"/>
            <w:tcBorders>
              <w:top w:val="single" w:sz="8" w:space="0" w:color="808080"/>
            </w:tcBorders>
            <w:shd w:val="clear" w:color="auto" w:fill="FFF1E7"/>
            <w:tcMar>
              <w:top w:w="40" w:type="dxa"/>
              <w:left w:w="20" w:type="dxa"/>
              <w:bottom w:w="40" w:type="dxa"/>
              <w:right w:w="0" w:type="dxa"/>
            </w:tcMar>
            <w:vAlign w:val="center"/>
          </w:tcPr>
          <w:p w14:paraId="669C7273" w14:textId="77777777" w:rsidR="00066C63" w:rsidRDefault="009656F6">
            <w:pPr>
              <w:jc w:val="right"/>
              <w:textAlignment w:val="center"/>
            </w:pPr>
            <w:r>
              <w:rPr>
                <w:rFonts w:ascii="Arial" w:eastAsia="宋体" w:hAnsi="Arial" w:cs="Arial"/>
                <w:color w:val="000000"/>
                <w:sz w:val="17"/>
                <w:szCs w:val="17"/>
              </w:rPr>
              <w:t>(22)</w:t>
            </w:r>
          </w:p>
        </w:tc>
        <w:tc>
          <w:tcPr>
            <w:tcW w:w="0" w:type="auto"/>
            <w:tcBorders>
              <w:top w:val="single" w:sz="8" w:space="0" w:color="808080"/>
            </w:tcBorders>
            <w:shd w:val="clear" w:color="auto" w:fill="FFF1E7"/>
            <w:tcMar>
              <w:top w:w="40" w:type="dxa"/>
              <w:left w:w="0" w:type="dxa"/>
              <w:bottom w:w="40" w:type="dxa"/>
              <w:right w:w="20" w:type="dxa"/>
            </w:tcMar>
            <w:vAlign w:val="center"/>
          </w:tcPr>
          <w:p w14:paraId="669C7274"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center"/>
          </w:tcPr>
          <w:p w14:paraId="669C7275" w14:textId="77777777" w:rsidR="00066C63" w:rsidRDefault="009656F6">
            <w:pPr>
              <w:jc w:val="right"/>
              <w:textAlignment w:val="center"/>
            </w:pPr>
            <w:r>
              <w:rPr>
                <w:rFonts w:ascii="Arial" w:eastAsia="宋体" w:hAnsi="Arial" w:cs="Arial"/>
                <w:color w:val="000000"/>
                <w:sz w:val="17"/>
                <w:szCs w:val="17"/>
              </w:rPr>
              <w:t>297 </w:t>
            </w:r>
          </w:p>
        </w:tc>
        <w:tc>
          <w:tcPr>
            <w:tcW w:w="0" w:type="auto"/>
            <w:tcBorders>
              <w:top w:val="single" w:sz="8" w:space="0" w:color="808080"/>
            </w:tcBorders>
            <w:shd w:val="clear" w:color="auto" w:fill="auto"/>
            <w:tcMar>
              <w:top w:w="40" w:type="dxa"/>
              <w:left w:w="0" w:type="dxa"/>
              <w:bottom w:w="40" w:type="dxa"/>
              <w:right w:w="20" w:type="dxa"/>
            </w:tcMar>
            <w:vAlign w:val="center"/>
          </w:tcPr>
          <w:p w14:paraId="669C7276"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center"/>
          </w:tcPr>
          <w:p w14:paraId="669C7277" w14:textId="77777777" w:rsidR="00066C63" w:rsidRDefault="009656F6">
            <w:pPr>
              <w:jc w:val="right"/>
              <w:textAlignment w:val="center"/>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left w:w="0" w:type="dxa"/>
              <w:bottom w:w="40" w:type="dxa"/>
              <w:right w:w="20" w:type="dxa"/>
            </w:tcMar>
            <w:vAlign w:val="center"/>
          </w:tcPr>
          <w:p w14:paraId="669C7278" w14:textId="77777777" w:rsidR="00066C63" w:rsidRDefault="00066C63">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7279" w14:textId="77777777" w:rsidR="00066C63" w:rsidRDefault="00066C63">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center"/>
          </w:tcPr>
          <w:p w14:paraId="669C727A" w14:textId="77777777" w:rsidR="00066C63" w:rsidRDefault="009656F6">
            <w:pPr>
              <w:jc w:val="right"/>
              <w:textAlignment w:val="center"/>
            </w:pPr>
            <w:r>
              <w:rPr>
                <w:rFonts w:ascii="Arial" w:eastAsia="宋体" w:hAnsi="Arial" w:cs="Arial"/>
                <w:color w:val="000000"/>
                <w:sz w:val="17"/>
                <w:szCs w:val="17"/>
              </w:rPr>
              <w:t>18 </w:t>
            </w:r>
          </w:p>
        </w:tc>
        <w:tc>
          <w:tcPr>
            <w:tcW w:w="0" w:type="auto"/>
            <w:tcBorders>
              <w:top w:val="single" w:sz="8" w:space="0" w:color="808080"/>
            </w:tcBorders>
            <w:shd w:val="clear" w:color="auto" w:fill="FFF1E7"/>
            <w:tcMar>
              <w:top w:w="40" w:type="dxa"/>
              <w:left w:w="0" w:type="dxa"/>
              <w:bottom w:w="40" w:type="dxa"/>
              <w:right w:w="20" w:type="dxa"/>
            </w:tcMar>
            <w:vAlign w:val="center"/>
          </w:tcPr>
          <w:p w14:paraId="669C727B"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center"/>
          </w:tcPr>
          <w:p w14:paraId="669C727C" w14:textId="77777777" w:rsidR="00066C63" w:rsidRDefault="009656F6">
            <w:pPr>
              <w:jc w:val="right"/>
              <w:textAlignment w:val="center"/>
            </w:pPr>
            <w:r>
              <w:rPr>
                <w:rFonts w:ascii="Arial" w:eastAsia="宋体" w:hAnsi="Arial" w:cs="Arial"/>
                <w:color w:val="000000"/>
                <w:sz w:val="17"/>
                <w:szCs w:val="17"/>
              </w:rPr>
              <w:t>223 </w:t>
            </w:r>
          </w:p>
        </w:tc>
        <w:tc>
          <w:tcPr>
            <w:tcW w:w="0" w:type="auto"/>
            <w:tcBorders>
              <w:top w:val="single" w:sz="8" w:space="0" w:color="808080"/>
            </w:tcBorders>
            <w:shd w:val="clear" w:color="auto" w:fill="auto"/>
            <w:tcMar>
              <w:top w:w="40" w:type="dxa"/>
              <w:left w:w="0" w:type="dxa"/>
              <w:bottom w:w="40" w:type="dxa"/>
              <w:right w:w="20" w:type="dxa"/>
            </w:tcMar>
            <w:vAlign w:val="center"/>
          </w:tcPr>
          <w:p w14:paraId="669C727D"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center"/>
          </w:tcPr>
          <w:p w14:paraId="669C727E" w14:textId="77777777" w:rsidR="00066C63" w:rsidRDefault="009656F6">
            <w:pPr>
              <w:jc w:val="right"/>
              <w:textAlignment w:val="center"/>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left w:w="0" w:type="dxa"/>
              <w:bottom w:w="40" w:type="dxa"/>
              <w:right w:w="20" w:type="dxa"/>
            </w:tcMar>
            <w:vAlign w:val="center"/>
          </w:tcPr>
          <w:p w14:paraId="669C727F" w14:textId="77777777" w:rsidR="00066C63" w:rsidRDefault="00066C63">
            <w:pPr>
              <w:jc w:val="right"/>
              <w:rPr>
                <w:rFonts w:ascii="宋体"/>
              </w:rPr>
            </w:pPr>
          </w:p>
        </w:tc>
      </w:tr>
      <w:tr w:rsidR="00066C63" w14:paraId="669C728F"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281" w14:textId="77777777" w:rsidR="00066C63" w:rsidRDefault="009656F6">
            <w:pPr>
              <w:textAlignment w:val="bottom"/>
            </w:pPr>
            <w:r>
              <w:rPr>
                <w:rFonts w:ascii="Arial" w:eastAsia="宋体" w:hAnsi="Arial" w:cs="Arial"/>
                <w:color w:val="000000"/>
                <w:sz w:val="17"/>
                <w:szCs w:val="17"/>
              </w:rPr>
              <w:t>Income before income tax</w:t>
            </w:r>
            <w:r>
              <w:rPr>
                <w:rFonts w:ascii="Arial" w:eastAsia="宋体" w:hAnsi="Arial" w:cs="Arial"/>
                <w:color w:val="000000"/>
                <w:sz w:val="17"/>
                <w:szCs w:val="17"/>
              </w:rPr>
              <w:t>es</w:t>
            </w:r>
          </w:p>
        </w:tc>
        <w:tc>
          <w:tcPr>
            <w:tcW w:w="0" w:type="auto"/>
            <w:gridSpan w:val="2"/>
            <w:tcBorders>
              <w:top w:val="single" w:sz="8" w:space="0" w:color="E87722"/>
            </w:tcBorders>
            <w:shd w:val="clear" w:color="auto" w:fill="FFF1E7"/>
            <w:tcMar>
              <w:top w:w="40" w:type="dxa"/>
              <w:left w:w="20" w:type="dxa"/>
              <w:bottom w:w="40" w:type="dxa"/>
              <w:right w:w="0" w:type="dxa"/>
            </w:tcMar>
            <w:vAlign w:val="center"/>
          </w:tcPr>
          <w:p w14:paraId="669C7282" w14:textId="77777777" w:rsidR="00066C63" w:rsidRDefault="009656F6">
            <w:pPr>
              <w:jc w:val="right"/>
              <w:textAlignment w:val="center"/>
            </w:pPr>
            <w:r>
              <w:rPr>
                <w:rFonts w:ascii="Arial" w:eastAsia="宋体" w:hAnsi="Arial" w:cs="Arial"/>
                <w:color w:val="000000"/>
                <w:sz w:val="17"/>
                <w:szCs w:val="17"/>
              </w:rPr>
              <w:t>1,636 </w:t>
            </w:r>
          </w:p>
        </w:tc>
        <w:tc>
          <w:tcPr>
            <w:tcW w:w="0" w:type="auto"/>
            <w:tcBorders>
              <w:top w:val="single" w:sz="8" w:space="0" w:color="E87722"/>
            </w:tcBorders>
            <w:shd w:val="clear" w:color="auto" w:fill="FFF1E7"/>
            <w:tcMar>
              <w:top w:w="40" w:type="dxa"/>
              <w:left w:w="0" w:type="dxa"/>
              <w:bottom w:w="40" w:type="dxa"/>
              <w:right w:w="20" w:type="dxa"/>
            </w:tcMar>
            <w:vAlign w:val="center"/>
          </w:tcPr>
          <w:p w14:paraId="669C7283" w14:textId="77777777" w:rsidR="00066C63" w:rsidRDefault="00066C63">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center"/>
          </w:tcPr>
          <w:p w14:paraId="669C7284" w14:textId="77777777" w:rsidR="00066C63" w:rsidRDefault="009656F6">
            <w:pPr>
              <w:jc w:val="right"/>
              <w:textAlignment w:val="center"/>
            </w:pPr>
            <w:r>
              <w:rPr>
                <w:rFonts w:ascii="Arial" w:eastAsia="宋体" w:hAnsi="Arial" w:cs="Arial"/>
                <w:color w:val="000000"/>
                <w:sz w:val="17"/>
                <w:szCs w:val="17"/>
              </w:rPr>
              <w:t>881 </w:t>
            </w:r>
          </w:p>
        </w:tc>
        <w:tc>
          <w:tcPr>
            <w:tcW w:w="0" w:type="auto"/>
            <w:tcBorders>
              <w:top w:val="single" w:sz="8" w:space="0" w:color="E87722"/>
            </w:tcBorders>
            <w:shd w:val="clear" w:color="auto" w:fill="auto"/>
            <w:tcMar>
              <w:top w:w="40" w:type="dxa"/>
              <w:left w:w="0" w:type="dxa"/>
              <w:bottom w:w="40" w:type="dxa"/>
              <w:right w:w="20" w:type="dxa"/>
            </w:tcMar>
            <w:vAlign w:val="center"/>
          </w:tcPr>
          <w:p w14:paraId="669C7285" w14:textId="77777777" w:rsidR="00066C63" w:rsidRDefault="00066C63">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center"/>
          </w:tcPr>
          <w:p w14:paraId="669C7286" w14:textId="77777777" w:rsidR="00066C63" w:rsidRDefault="009656F6">
            <w:pPr>
              <w:jc w:val="right"/>
              <w:textAlignment w:val="center"/>
            </w:pPr>
            <w:r>
              <w:rPr>
                <w:rFonts w:ascii="Arial" w:eastAsia="宋体" w:hAnsi="Arial" w:cs="Arial"/>
                <w:color w:val="000000"/>
                <w:sz w:val="17"/>
                <w:szCs w:val="17"/>
              </w:rPr>
              <w:t>86 </w:t>
            </w:r>
          </w:p>
        </w:tc>
        <w:tc>
          <w:tcPr>
            <w:tcW w:w="0" w:type="auto"/>
            <w:tcBorders>
              <w:top w:val="single" w:sz="8" w:space="0" w:color="E87722"/>
            </w:tcBorders>
            <w:shd w:val="clear" w:color="auto" w:fill="auto"/>
            <w:tcMar>
              <w:top w:w="40" w:type="dxa"/>
              <w:left w:w="0" w:type="dxa"/>
              <w:bottom w:w="40" w:type="dxa"/>
              <w:right w:w="20" w:type="dxa"/>
            </w:tcMar>
            <w:vAlign w:val="center"/>
          </w:tcPr>
          <w:p w14:paraId="669C7287" w14:textId="77777777" w:rsidR="00066C63" w:rsidRDefault="009656F6">
            <w:pPr>
              <w:jc w:val="right"/>
              <w:textAlignment w:val="center"/>
            </w:pPr>
            <w:r>
              <w:rPr>
                <w:rFonts w:ascii="Arial" w:eastAsia="宋体" w:hAnsi="Arial" w:cs="Arial"/>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tcPr>
          <w:p w14:paraId="669C7288" w14:textId="77777777" w:rsidR="00066C63" w:rsidRDefault="00066C63">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center"/>
          </w:tcPr>
          <w:p w14:paraId="669C7289" w14:textId="77777777" w:rsidR="00066C63" w:rsidRDefault="009656F6">
            <w:pPr>
              <w:jc w:val="right"/>
              <w:textAlignment w:val="center"/>
            </w:pPr>
            <w:r>
              <w:rPr>
                <w:rFonts w:ascii="Arial" w:eastAsia="宋体" w:hAnsi="Arial" w:cs="Arial"/>
                <w:color w:val="000000"/>
                <w:sz w:val="17"/>
                <w:szCs w:val="17"/>
              </w:rPr>
              <w:t>4,807 </w:t>
            </w:r>
          </w:p>
        </w:tc>
        <w:tc>
          <w:tcPr>
            <w:tcW w:w="0" w:type="auto"/>
            <w:tcBorders>
              <w:top w:val="single" w:sz="8" w:space="0" w:color="E87722"/>
            </w:tcBorders>
            <w:shd w:val="clear" w:color="auto" w:fill="FFF1E7"/>
            <w:tcMar>
              <w:top w:w="40" w:type="dxa"/>
              <w:left w:w="0" w:type="dxa"/>
              <w:bottom w:w="40" w:type="dxa"/>
              <w:right w:w="20" w:type="dxa"/>
            </w:tcMar>
            <w:vAlign w:val="center"/>
          </w:tcPr>
          <w:p w14:paraId="669C728A" w14:textId="77777777" w:rsidR="00066C63" w:rsidRDefault="00066C63">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center"/>
          </w:tcPr>
          <w:p w14:paraId="669C728B" w14:textId="77777777" w:rsidR="00066C63" w:rsidRDefault="009656F6">
            <w:pPr>
              <w:jc w:val="right"/>
              <w:textAlignment w:val="center"/>
            </w:pPr>
            <w:r>
              <w:rPr>
                <w:rFonts w:ascii="Arial" w:eastAsia="宋体" w:hAnsi="Arial" w:cs="Arial"/>
                <w:color w:val="000000"/>
                <w:sz w:val="17"/>
                <w:szCs w:val="17"/>
              </w:rPr>
              <w:t>3,691 </w:t>
            </w:r>
          </w:p>
        </w:tc>
        <w:tc>
          <w:tcPr>
            <w:tcW w:w="0" w:type="auto"/>
            <w:tcBorders>
              <w:top w:val="single" w:sz="8" w:space="0" w:color="E87722"/>
            </w:tcBorders>
            <w:shd w:val="clear" w:color="auto" w:fill="auto"/>
            <w:tcMar>
              <w:top w:w="40" w:type="dxa"/>
              <w:left w:w="0" w:type="dxa"/>
              <w:bottom w:w="40" w:type="dxa"/>
              <w:right w:w="20" w:type="dxa"/>
            </w:tcMar>
            <w:vAlign w:val="center"/>
          </w:tcPr>
          <w:p w14:paraId="669C728C" w14:textId="77777777" w:rsidR="00066C63" w:rsidRDefault="00066C63">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center"/>
          </w:tcPr>
          <w:p w14:paraId="669C728D" w14:textId="77777777" w:rsidR="00066C63" w:rsidRDefault="009656F6">
            <w:pPr>
              <w:jc w:val="right"/>
              <w:textAlignment w:val="center"/>
            </w:pPr>
            <w:r>
              <w:rPr>
                <w:rFonts w:ascii="Arial" w:eastAsia="宋体" w:hAnsi="Arial" w:cs="Arial"/>
                <w:color w:val="000000"/>
                <w:sz w:val="17"/>
                <w:szCs w:val="17"/>
              </w:rPr>
              <w:t>30 </w:t>
            </w:r>
          </w:p>
        </w:tc>
        <w:tc>
          <w:tcPr>
            <w:tcW w:w="0" w:type="auto"/>
            <w:tcBorders>
              <w:top w:val="single" w:sz="8" w:space="0" w:color="E87722"/>
            </w:tcBorders>
            <w:shd w:val="clear" w:color="auto" w:fill="auto"/>
            <w:tcMar>
              <w:top w:w="40" w:type="dxa"/>
              <w:left w:w="0" w:type="dxa"/>
              <w:bottom w:w="40" w:type="dxa"/>
              <w:right w:w="20" w:type="dxa"/>
            </w:tcMar>
            <w:vAlign w:val="center"/>
          </w:tcPr>
          <w:p w14:paraId="669C728E" w14:textId="77777777" w:rsidR="00066C63" w:rsidRDefault="009656F6">
            <w:pPr>
              <w:jc w:val="right"/>
              <w:textAlignment w:val="center"/>
            </w:pPr>
            <w:r>
              <w:rPr>
                <w:rFonts w:ascii="Arial" w:eastAsia="宋体" w:hAnsi="Arial" w:cs="Arial"/>
                <w:color w:val="000000"/>
                <w:sz w:val="17"/>
                <w:szCs w:val="17"/>
              </w:rPr>
              <w:t>%</w:t>
            </w:r>
          </w:p>
        </w:tc>
      </w:tr>
      <w:tr w:rsidR="00066C63" w14:paraId="669C729E"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7290" w14:textId="77777777" w:rsidR="00066C63" w:rsidRDefault="009656F6">
            <w:pPr>
              <w:textAlignment w:val="bottom"/>
            </w:pPr>
            <w:r>
              <w:rPr>
                <w:rFonts w:ascii="Arial" w:eastAsia="宋体" w:hAnsi="Arial" w:cs="Arial"/>
                <w:color w:val="000000"/>
                <w:sz w:val="17"/>
                <w:szCs w:val="17"/>
              </w:rPr>
              <w:t>Income tax expense</w:t>
            </w:r>
          </w:p>
        </w:tc>
        <w:tc>
          <w:tcPr>
            <w:tcW w:w="0" w:type="auto"/>
            <w:gridSpan w:val="2"/>
            <w:tcBorders>
              <w:top w:val="single" w:sz="8" w:space="0" w:color="808080"/>
            </w:tcBorders>
            <w:shd w:val="clear" w:color="auto" w:fill="FFF1E7"/>
            <w:tcMar>
              <w:top w:w="40" w:type="dxa"/>
              <w:left w:w="20" w:type="dxa"/>
              <w:bottom w:w="40" w:type="dxa"/>
              <w:right w:w="0" w:type="dxa"/>
            </w:tcMar>
            <w:vAlign w:val="center"/>
          </w:tcPr>
          <w:p w14:paraId="669C7291" w14:textId="77777777" w:rsidR="00066C63" w:rsidRDefault="009656F6">
            <w:pPr>
              <w:jc w:val="right"/>
              <w:textAlignment w:val="center"/>
            </w:pPr>
            <w:r>
              <w:rPr>
                <w:rFonts w:ascii="Arial" w:eastAsia="宋体" w:hAnsi="Arial" w:cs="Arial"/>
                <w:color w:val="000000"/>
                <w:sz w:val="17"/>
                <w:szCs w:val="17"/>
              </w:rPr>
              <w:t>187 </w:t>
            </w:r>
          </w:p>
        </w:tc>
        <w:tc>
          <w:tcPr>
            <w:tcW w:w="0" w:type="auto"/>
            <w:tcBorders>
              <w:top w:val="single" w:sz="8" w:space="0" w:color="808080"/>
            </w:tcBorders>
            <w:shd w:val="clear" w:color="auto" w:fill="FFF1E7"/>
            <w:tcMar>
              <w:top w:w="40" w:type="dxa"/>
              <w:left w:w="0" w:type="dxa"/>
              <w:bottom w:w="40" w:type="dxa"/>
              <w:right w:w="20" w:type="dxa"/>
            </w:tcMar>
            <w:vAlign w:val="center"/>
          </w:tcPr>
          <w:p w14:paraId="669C7292"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center"/>
          </w:tcPr>
          <w:p w14:paraId="669C7293" w14:textId="77777777" w:rsidR="00066C63" w:rsidRDefault="009656F6">
            <w:pPr>
              <w:jc w:val="right"/>
              <w:textAlignment w:val="center"/>
            </w:pPr>
            <w:r>
              <w:rPr>
                <w:rFonts w:ascii="Arial" w:eastAsia="宋体" w:hAnsi="Arial" w:cs="Arial"/>
                <w:color w:val="000000"/>
                <w:sz w:val="17"/>
                <w:szCs w:val="17"/>
              </w:rPr>
              <w:t>34 </w:t>
            </w:r>
          </w:p>
        </w:tc>
        <w:tc>
          <w:tcPr>
            <w:tcW w:w="0" w:type="auto"/>
            <w:tcBorders>
              <w:top w:val="single" w:sz="8" w:space="0" w:color="808080"/>
            </w:tcBorders>
            <w:shd w:val="clear" w:color="auto" w:fill="auto"/>
            <w:tcMar>
              <w:top w:w="40" w:type="dxa"/>
              <w:left w:w="0" w:type="dxa"/>
              <w:bottom w:w="40" w:type="dxa"/>
              <w:right w:w="20" w:type="dxa"/>
            </w:tcMar>
            <w:vAlign w:val="center"/>
          </w:tcPr>
          <w:p w14:paraId="669C7294"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center"/>
          </w:tcPr>
          <w:p w14:paraId="669C7295" w14:textId="77777777" w:rsidR="00066C63" w:rsidRDefault="009656F6">
            <w:pPr>
              <w:jc w:val="right"/>
              <w:textAlignment w:val="center"/>
            </w:pPr>
            <w:r>
              <w:rPr>
                <w:rFonts w:ascii="Arial" w:eastAsia="宋体" w:hAnsi="Arial" w:cs="Arial"/>
                <w:color w:val="000000"/>
                <w:sz w:val="17"/>
                <w:szCs w:val="17"/>
              </w:rPr>
              <w:t>450 </w:t>
            </w:r>
          </w:p>
        </w:tc>
        <w:tc>
          <w:tcPr>
            <w:tcW w:w="0" w:type="auto"/>
            <w:tcBorders>
              <w:top w:val="single" w:sz="8" w:space="0" w:color="808080"/>
            </w:tcBorders>
            <w:shd w:val="clear" w:color="auto" w:fill="auto"/>
            <w:tcMar>
              <w:top w:w="40" w:type="dxa"/>
              <w:left w:w="0" w:type="dxa"/>
              <w:bottom w:w="40" w:type="dxa"/>
              <w:right w:w="20" w:type="dxa"/>
            </w:tcMar>
            <w:vAlign w:val="center"/>
          </w:tcPr>
          <w:p w14:paraId="669C7296" w14:textId="77777777" w:rsidR="00066C63" w:rsidRDefault="009656F6">
            <w:pPr>
              <w:jc w:val="right"/>
              <w:textAlignment w:val="center"/>
            </w:pPr>
            <w:r>
              <w:rPr>
                <w:rFonts w:ascii="Arial" w:eastAsia="宋体" w:hAnsi="Arial" w:cs="Arial"/>
                <w:color w:val="000000"/>
                <w:sz w:val="17"/>
                <w:szCs w:val="17"/>
              </w:rPr>
              <w:t>%</w:t>
            </w:r>
          </w:p>
        </w:tc>
        <w:tc>
          <w:tcPr>
            <w:tcW w:w="0" w:type="auto"/>
            <w:gridSpan w:val="3"/>
            <w:tcBorders>
              <w:top w:val="single" w:sz="8" w:space="0" w:color="808080"/>
            </w:tcBorders>
            <w:shd w:val="clear" w:color="auto" w:fill="auto"/>
            <w:tcMar>
              <w:top w:w="0" w:type="dxa"/>
              <w:left w:w="20" w:type="dxa"/>
              <w:bottom w:w="0" w:type="dxa"/>
              <w:right w:w="20" w:type="dxa"/>
            </w:tcMar>
          </w:tcPr>
          <w:p w14:paraId="669C7297" w14:textId="77777777" w:rsidR="00066C63" w:rsidRDefault="00066C63">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center"/>
          </w:tcPr>
          <w:p w14:paraId="669C7298" w14:textId="77777777" w:rsidR="00066C63" w:rsidRDefault="009656F6">
            <w:pPr>
              <w:jc w:val="right"/>
              <w:textAlignment w:val="center"/>
            </w:pPr>
            <w:r>
              <w:rPr>
                <w:rFonts w:ascii="Arial" w:eastAsia="宋体" w:hAnsi="Arial" w:cs="Arial"/>
                <w:color w:val="000000"/>
                <w:sz w:val="17"/>
                <w:szCs w:val="17"/>
              </w:rPr>
              <w:t>589 </w:t>
            </w:r>
          </w:p>
        </w:tc>
        <w:tc>
          <w:tcPr>
            <w:tcW w:w="0" w:type="auto"/>
            <w:tcBorders>
              <w:top w:val="single" w:sz="8" w:space="0" w:color="808080"/>
            </w:tcBorders>
            <w:shd w:val="clear" w:color="auto" w:fill="FFF1E7"/>
            <w:tcMar>
              <w:top w:w="40" w:type="dxa"/>
              <w:left w:w="0" w:type="dxa"/>
              <w:bottom w:w="40" w:type="dxa"/>
              <w:right w:w="20" w:type="dxa"/>
            </w:tcMar>
            <w:vAlign w:val="center"/>
          </w:tcPr>
          <w:p w14:paraId="669C7299"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center"/>
          </w:tcPr>
          <w:p w14:paraId="669C729A" w14:textId="77777777" w:rsidR="00066C63" w:rsidRDefault="009656F6">
            <w:pPr>
              <w:jc w:val="right"/>
              <w:textAlignment w:val="center"/>
            </w:pPr>
            <w:r>
              <w:rPr>
                <w:rFonts w:ascii="Arial" w:eastAsia="宋体" w:hAnsi="Arial" w:cs="Arial"/>
                <w:color w:val="000000"/>
                <w:sz w:val="17"/>
                <w:szCs w:val="17"/>
              </w:rPr>
              <w:t>362 </w:t>
            </w:r>
          </w:p>
        </w:tc>
        <w:tc>
          <w:tcPr>
            <w:tcW w:w="0" w:type="auto"/>
            <w:tcBorders>
              <w:top w:val="single" w:sz="8" w:space="0" w:color="808080"/>
            </w:tcBorders>
            <w:shd w:val="clear" w:color="auto" w:fill="auto"/>
            <w:tcMar>
              <w:top w:w="40" w:type="dxa"/>
              <w:left w:w="0" w:type="dxa"/>
              <w:bottom w:w="40" w:type="dxa"/>
              <w:right w:w="20" w:type="dxa"/>
            </w:tcMar>
            <w:vAlign w:val="center"/>
          </w:tcPr>
          <w:p w14:paraId="669C729B"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center"/>
          </w:tcPr>
          <w:p w14:paraId="669C729C" w14:textId="77777777" w:rsidR="00066C63" w:rsidRDefault="009656F6">
            <w:pPr>
              <w:jc w:val="right"/>
              <w:textAlignment w:val="center"/>
            </w:pPr>
            <w:r>
              <w:rPr>
                <w:rFonts w:ascii="Arial" w:eastAsia="宋体" w:hAnsi="Arial" w:cs="Arial"/>
                <w:color w:val="000000"/>
                <w:sz w:val="17"/>
                <w:szCs w:val="17"/>
              </w:rPr>
              <w:t>63 </w:t>
            </w:r>
          </w:p>
        </w:tc>
        <w:tc>
          <w:tcPr>
            <w:tcW w:w="0" w:type="auto"/>
            <w:tcBorders>
              <w:top w:val="single" w:sz="8" w:space="0" w:color="808080"/>
            </w:tcBorders>
            <w:shd w:val="clear" w:color="auto" w:fill="auto"/>
            <w:tcMar>
              <w:top w:w="40" w:type="dxa"/>
              <w:left w:w="0" w:type="dxa"/>
              <w:bottom w:w="40" w:type="dxa"/>
              <w:right w:w="20" w:type="dxa"/>
            </w:tcMar>
            <w:vAlign w:val="center"/>
          </w:tcPr>
          <w:p w14:paraId="669C729D" w14:textId="77777777" w:rsidR="00066C63" w:rsidRDefault="009656F6">
            <w:pPr>
              <w:jc w:val="right"/>
              <w:textAlignment w:val="center"/>
            </w:pPr>
            <w:r>
              <w:rPr>
                <w:rFonts w:ascii="Arial" w:eastAsia="宋体" w:hAnsi="Arial" w:cs="Arial"/>
                <w:color w:val="000000"/>
                <w:sz w:val="17"/>
                <w:szCs w:val="17"/>
              </w:rPr>
              <w:t>%</w:t>
            </w:r>
          </w:p>
        </w:tc>
      </w:tr>
      <w:tr w:rsidR="00066C63" w14:paraId="669C72AB"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729F" w14:textId="77777777" w:rsidR="00066C63" w:rsidRDefault="009656F6">
            <w:pPr>
              <w:textAlignment w:val="bottom"/>
            </w:pPr>
            <w:r>
              <w:rPr>
                <w:rFonts w:ascii="Arial" w:eastAsia="宋体" w:hAnsi="Arial" w:cs="Arial"/>
                <w:i/>
                <w:iCs/>
                <w:color w:val="000000"/>
                <w:sz w:val="17"/>
                <w:szCs w:val="17"/>
              </w:rPr>
              <w:t>Effective tax rate</w:t>
            </w:r>
          </w:p>
        </w:tc>
        <w:tc>
          <w:tcPr>
            <w:tcW w:w="0" w:type="auto"/>
            <w:gridSpan w:val="2"/>
            <w:tcBorders>
              <w:top w:val="single" w:sz="8" w:space="0" w:color="808080"/>
            </w:tcBorders>
            <w:shd w:val="clear" w:color="auto" w:fill="FFF1E7"/>
            <w:tcMar>
              <w:top w:w="40" w:type="dxa"/>
              <w:left w:w="20" w:type="dxa"/>
              <w:bottom w:w="40" w:type="dxa"/>
              <w:right w:w="0" w:type="dxa"/>
            </w:tcMar>
            <w:vAlign w:val="center"/>
          </w:tcPr>
          <w:p w14:paraId="669C72A0" w14:textId="77777777" w:rsidR="00066C63" w:rsidRDefault="009656F6">
            <w:pPr>
              <w:jc w:val="right"/>
              <w:textAlignment w:val="center"/>
            </w:pPr>
            <w:r>
              <w:rPr>
                <w:rFonts w:ascii="Arial" w:eastAsia="宋体" w:hAnsi="Arial" w:cs="Arial"/>
                <w:i/>
                <w:iCs/>
                <w:color w:val="000000"/>
                <w:sz w:val="17"/>
                <w:szCs w:val="17"/>
              </w:rPr>
              <w:t>11.4 </w:t>
            </w:r>
          </w:p>
        </w:tc>
        <w:tc>
          <w:tcPr>
            <w:tcW w:w="0" w:type="auto"/>
            <w:tcBorders>
              <w:top w:val="single" w:sz="8" w:space="0" w:color="808080"/>
            </w:tcBorders>
            <w:shd w:val="clear" w:color="auto" w:fill="FFF1E7"/>
            <w:tcMar>
              <w:top w:w="40" w:type="dxa"/>
              <w:left w:w="0" w:type="dxa"/>
              <w:bottom w:w="40" w:type="dxa"/>
              <w:right w:w="20" w:type="dxa"/>
            </w:tcMar>
            <w:vAlign w:val="center"/>
          </w:tcPr>
          <w:p w14:paraId="669C72A1" w14:textId="77777777" w:rsidR="00066C63" w:rsidRDefault="009656F6">
            <w:pPr>
              <w:jc w:val="right"/>
              <w:textAlignment w:val="center"/>
            </w:pPr>
            <w:r>
              <w:rPr>
                <w:rFonts w:ascii="Arial" w:eastAsia="宋体" w:hAnsi="Arial" w:cs="Arial"/>
                <w:i/>
                <w:iCs/>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center"/>
          </w:tcPr>
          <w:p w14:paraId="669C72A2" w14:textId="77777777" w:rsidR="00066C63" w:rsidRDefault="009656F6">
            <w:pPr>
              <w:jc w:val="right"/>
              <w:textAlignment w:val="center"/>
            </w:pPr>
            <w:r>
              <w:rPr>
                <w:rFonts w:ascii="Arial" w:eastAsia="宋体" w:hAnsi="Arial" w:cs="Arial"/>
                <w:i/>
                <w:iCs/>
                <w:color w:val="000000"/>
                <w:sz w:val="17"/>
                <w:szCs w:val="17"/>
              </w:rPr>
              <w:t>3.9 </w:t>
            </w:r>
          </w:p>
        </w:tc>
        <w:tc>
          <w:tcPr>
            <w:tcW w:w="0" w:type="auto"/>
            <w:tcBorders>
              <w:top w:val="single" w:sz="8" w:space="0" w:color="808080"/>
            </w:tcBorders>
            <w:shd w:val="clear" w:color="auto" w:fill="auto"/>
            <w:tcMar>
              <w:top w:w="40" w:type="dxa"/>
              <w:left w:w="0" w:type="dxa"/>
              <w:bottom w:w="40" w:type="dxa"/>
              <w:right w:w="20" w:type="dxa"/>
            </w:tcMar>
            <w:vAlign w:val="center"/>
          </w:tcPr>
          <w:p w14:paraId="669C72A3" w14:textId="77777777" w:rsidR="00066C63" w:rsidRDefault="009656F6">
            <w:pPr>
              <w:jc w:val="right"/>
              <w:textAlignment w:val="center"/>
            </w:pPr>
            <w:r>
              <w:rPr>
                <w:rFonts w:ascii="Arial" w:eastAsia="宋体" w:hAnsi="Arial" w:cs="Arial"/>
                <w:i/>
                <w:iCs/>
                <w:color w:val="000000"/>
                <w:sz w:val="17"/>
                <w:szCs w:val="17"/>
              </w:rPr>
              <w:t>%</w:t>
            </w:r>
          </w:p>
        </w:tc>
        <w:tc>
          <w:tcPr>
            <w:tcW w:w="0" w:type="auto"/>
            <w:gridSpan w:val="3"/>
            <w:tcBorders>
              <w:top w:val="single" w:sz="8" w:space="0" w:color="808080"/>
            </w:tcBorders>
            <w:shd w:val="clear" w:color="auto" w:fill="auto"/>
            <w:tcMar>
              <w:top w:w="0" w:type="dxa"/>
              <w:left w:w="20" w:type="dxa"/>
              <w:bottom w:w="0" w:type="dxa"/>
              <w:right w:w="20" w:type="dxa"/>
            </w:tcMar>
          </w:tcPr>
          <w:p w14:paraId="669C72A4" w14:textId="77777777" w:rsidR="00066C63" w:rsidRDefault="00066C63">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72A5" w14:textId="77777777" w:rsidR="00066C63" w:rsidRDefault="00066C63">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center"/>
          </w:tcPr>
          <w:p w14:paraId="669C72A6" w14:textId="77777777" w:rsidR="00066C63" w:rsidRDefault="009656F6">
            <w:pPr>
              <w:jc w:val="right"/>
              <w:textAlignment w:val="center"/>
            </w:pPr>
            <w:r>
              <w:rPr>
                <w:rFonts w:ascii="Arial" w:eastAsia="宋体" w:hAnsi="Arial" w:cs="Arial"/>
                <w:i/>
                <w:iCs/>
                <w:color w:val="000000"/>
                <w:sz w:val="17"/>
                <w:szCs w:val="17"/>
              </w:rPr>
              <w:t>12.3 </w:t>
            </w:r>
          </w:p>
        </w:tc>
        <w:tc>
          <w:tcPr>
            <w:tcW w:w="0" w:type="auto"/>
            <w:tcBorders>
              <w:top w:val="single" w:sz="8" w:space="0" w:color="808080"/>
            </w:tcBorders>
            <w:shd w:val="clear" w:color="auto" w:fill="FFF1E7"/>
            <w:tcMar>
              <w:top w:w="40" w:type="dxa"/>
              <w:left w:w="0" w:type="dxa"/>
              <w:bottom w:w="40" w:type="dxa"/>
              <w:right w:w="20" w:type="dxa"/>
            </w:tcMar>
            <w:vAlign w:val="center"/>
          </w:tcPr>
          <w:p w14:paraId="669C72A7" w14:textId="77777777" w:rsidR="00066C63" w:rsidRDefault="009656F6">
            <w:pPr>
              <w:jc w:val="right"/>
              <w:textAlignment w:val="center"/>
            </w:pPr>
            <w:r>
              <w:rPr>
                <w:rFonts w:ascii="Arial" w:eastAsia="宋体" w:hAnsi="Arial" w:cs="Arial"/>
                <w:i/>
                <w:iCs/>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center"/>
          </w:tcPr>
          <w:p w14:paraId="669C72A8" w14:textId="77777777" w:rsidR="00066C63" w:rsidRDefault="009656F6">
            <w:pPr>
              <w:jc w:val="right"/>
              <w:textAlignment w:val="center"/>
            </w:pPr>
            <w:r>
              <w:rPr>
                <w:rFonts w:ascii="Arial" w:eastAsia="宋体" w:hAnsi="Arial" w:cs="Arial"/>
                <w:i/>
                <w:iCs/>
                <w:color w:val="000000"/>
                <w:sz w:val="17"/>
                <w:szCs w:val="17"/>
              </w:rPr>
              <w:t>9.8 </w:t>
            </w:r>
          </w:p>
        </w:tc>
        <w:tc>
          <w:tcPr>
            <w:tcW w:w="0" w:type="auto"/>
            <w:tcBorders>
              <w:top w:val="single" w:sz="8" w:space="0" w:color="808080"/>
            </w:tcBorders>
            <w:shd w:val="clear" w:color="auto" w:fill="auto"/>
            <w:tcMar>
              <w:top w:w="40" w:type="dxa"/>
              <w:left w:w="0" w:type="dxa"/>
              <w:bottom w:w="40" w:type="dxa"/>
              <w:right w:w="20" w:type="dxa"/>
            </w:tcMar>
            <w:vAlign w:val="center"/>
          </w:tcPr>
          <w:p w14:paraId="669C72A9" w14:textId="77777777" w:rsidR="00066C63" w:rsidRDefault="009656F6">
            <w:pPr>
              <w:jc w:val="right"/>
              <w:textAlignment w:val="center"/>
            </w:pPr>
            <w:r>
              <w:rPr>
                <w:rFonts w:ascii="Arial" w:eastAsia="宋体" w:hAnsi="Arial" w:cs="Arial"/>
                <w:i/>
                <w:iCs/>
                <w:color w:val="000000"/>
                <w:sz w:val="17"/>
                <w:szCs w:val="17"/>
              </w:rPr>
              <w:t>%</w:t>
            </w:r>
          </w:p>
        </w:tc>
        <w:tc>
          <w:tcPr>
            <w:tcW w:w="0" w:type="auto"/>
            <w:gridSpan w:val="3"/>
            <w:tcBorders>
              <w:top w:val="single" w:sz="8" w:space="0" w:color="808080"/>
            </w:tcBorders>
            <w:shd w:val="clear" w:color="auto" w:fill="auto"/>
            <w:tcMar>
              <w:top w:w="0" w:type="dxa"/>
              <w:left w:w="20" w:type="dxa"/>
              <w:bottom w:w="0" w:type="dxa"/>
              <w:right w:w="20" w:type="dxa"/>
            </w:tcMar>
          </w:tcPr>
          <w:p w14:paraId="669C72AA" w14:textId="77777777" w:rsidR="00066C63" w:rsidRDefault="00066C63">
            <w:pPr>
              <w:rPr>
                <w:rFonts w:ascii="宋体"/>
              </w:rPr>
            </w:pPr>
          </w:p>
        </w:tc>
      </w:tr>
      <w:tr w:rsidR="00066C63" w14:paraId="669C72BE"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2AC" w14:textId="77777777" w:rsidR="00066C63" w:rsidRDefault="009656F6">
            <w:pPr>
              <w:textAlignment w:val="bottom"/>
            </w:pPr>
            <w:r>
              <w:rPr>
                <w:rFonts w:ascii="Arial" w:eastAsia="宋体" w:hAnsi="Arial" w:cs="Arial"/>
                <w:b/>
                <w:bCs/>
                <w:color w:val="000000"/>
                <w:sz w:val="17"/>
                <w:szCs w:val="17"/>
              </w:rPr>
              <w:t>NET INCOME</w:t>
            </w:r>
          </w:p>
        </w:tc>
        <w:tc>
          <w:tcPr>
            <w:tcW w:w="0" w:type="auto"/>
            <w:tcBorders>
              <w:top w:val="single" w:sz="8" w:space="0" w:color="E87722"/>
            </w:tcBorders>
            <w:shd w:val="clear" w:color="auto" w:fill="FFF1E7"/>
            <w:tcMar>
              <w:top w:w="40" w:type="dxa"/>
              <w:left w:w="20" w:type="dxa"/>
              <w:bottom w:w="40" w:type="dxa"/>
              <w:right w:w="0" w:type="dxa"/>
            </w:tcMar>
            <w:vAlign w:val="center"/>
          </w:tcPr>
          <w:p w14:paraId="669C72AD" w14:textId="77777777" w:rsidR="00066C63" w:rsidRDefault="009656F6">
            <w:pPr>
              <w:textAlignment w:val="center"/>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center"/>
          </w:tcPr>
          <w:p w14:paraId="669C72AE" w14:textId="77777777" w:rsidR="00066C63" w:rsidRDefault="009656F6">
            <w:pPr>
              <w:jc w:val="right"/>
              <w:textAlignment w:val="center"/>
            </w:pPr>
            <w:r>
              <w:rPr>
                <w:rFonts w:ascii="Arial" w:eastAsia="宋体" w:hAnsi="Arial" w:cs="Arial"/>
                <w:b/>
                <w:bCs/>
                <w:color w:val="000000"/>
                <w:sz w:val="17"/>
                <w:szCs w:val="17"/>
              </w:rPr>
              <w:t>1,449</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center"/>
          </w:tcPr>
          <w:p w14:paraId="669C72AF" w14:textId="77777777" w:rsidR="00066C63" w:rsidRDefault="00066C63">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center"/>
          </w:tcPr>
          <w:p w14:paraId="669C72B0" w14:textId="77777777" w:rsidR="00066C63" w:rsidRDefault="009656F6">
            <w:pPr>
              <w:textAlignment w:val="center"/>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center"/>
          </w:tcPr>
          <w:p w14:paraId="669C72B1" w14:textId="77777777" w:rsidR="00066C63" w:rsidRDefault="009656F6">
            <w:pPr>
              <w:jc w:val="right"/>
              <w:textAlignment w:val="center"/>
            </w:pPr>
            <w:r>
              <w:rPr>
                <w:rFonts w:ascii="Arial" w:eastAsia="宋体" w:hAnsi="Arial" w:cs="Arial"/>
                <w:b/>
                <w:bCs/>
                <w:color w:val="000000"/>
                <w:sz w:val="17"/>
                <w:szCs w:val="17"/>
              </w:rPr>
              <w:t>847</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center"/>
          </w:tcPr>
          <w:p w14:paraId="669C72B2" w14:textId="77777777" w:rsidR="00066C63" w:rsidRDefault="00066C63">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center"/>
          </w:tcPr>
          <w:p w14:paraId="669C72B3" w14:textId="77777777" w:rsidR="00066C63" w:rsidRDefault="009656F6">
            <w:pPr>
              <w:jc w:val="right"/>
              <w:textAlignment w:val="center"/>
            </w:pPr>
            <w:r>
              <w:rPr>
                <w:rFonts w:ascii="Arial" w:eastAsia="宋体" w:hAnsi="Arial" w:cs="Arial"/>
                <w:b/>
                <w:bCs/>
                <w:color w:val="000000"/>
                <w:sz w:val="17"/>
                <w:szCs w:val="17"/>
              </w:rPr>
              <w:t>71</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center"/>
          </w:tcPr>
          <w:p w14:paraId="669C72B4" w14:textId="77777777" w:rsidR="00066C63" w:rsidRDefault="009656F6">
            <w:pPr>
              <w:jc w:val="right"/>
              <w:textAlignment w:val="center"/>
            </w:pPr>
            <w:r>
              <w:rPr>
                <w:rFonts w:ascii="Arial" w:eastAsia="宋体" w:hAnsi="Arial" w:cs="Arial"/>
                <w:b/>
                <w:bCs/>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tcPr>
          <w:p w14:paraId="669C72B5" w14:textId="77777777" w:rsidR="00066C63" w:rsidRDefault="00066C63">
            <w:pPr>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center"/>
          </w:tcPr>
          <w:p w14:paraId="669C72B6" w14:textId="77777777" w:rsidR="00066C63" w:rsidRDefault="009656F6">
            <w:pPr>
              <w:textAlignment w:val="center"/>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center"/>
          </w:tcPr>
          <w:p w14:paraId="669C72B7" w14:textId="77777777" w:rsidR="00066C63" w:rsidRDefault="009656F6">
            <w:pPr>
              <w:jc w:val="right"/>
              <w:textAlignment w:val="center"/>
            </w:pPr>
            <w:r>
              <w:rPr>
                <w:rFonts w:ascii="Arial" w:eastAsia="宋体" w:hAnsi="Arial" w:cs="Arial"/>
                <w:b/>
                <w:bCs/>
                <w:color w:val="000000"/>
                <w:sz w:val="17"/>
                <w:szCs w:val="17"/>
              </w:rPr>
              <w:t>4,218</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center"/>
          </w:tcPr>
          <w:p w14:paraId="669C72B8" w14:textId="77777777" w:rsidR="00066C63" w:rsidRDefault="00066C63">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center"/>
          </w:tcPr>
          <w:p w14:paraId="669C72B9" w14:textId="77777777" w:rsidR="00066C63" w:rsidRDefault="009656F6">
            <w:pPr>
              <w:textAlignment w:val="center"/>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center"/>
          </w:tcPr>
          <w:p w14:paraId="669C72BA" w14:textId="77777777" w:rsidR="00066C63" w:rsidRDefault="009656F6">
            <w:pPr>
              <w:jc w:val="right"/>
              <w:textAlignment w:val="center"/>
            </w:pPr>
            <w:r>
              <w:rPr>
                <w:rFonts w:ascii="Arial" w:eastAsia="宋体" w:hAnsi="Arial" w:cs="Arial"/>
                <w:b/>
                <w:bCs/>
                <w:color w:val="000000"/>
                <w:sz w:val="17"/>
                <w:szCs w:val="17"/>
              </w:rPr>
              <w:t>3,329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center"/>
          </w:tcPr>
          <w:p w14:paraId="669C72BB" w14:textId="77777777" w:rsidR="00066C63" w:rsidRDefault="00066C63">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center"/>
          </w:tcPr>
          <w:p w14:paraId="669C72BC" w14:textId="77777777" w:rsidR="00066C63" w:rsidRDefault="009656F6">
            <w:pPr>
              <w:jc w:val="right"/>
              <w:textAlignment w:val="center"/>
            </w:pPr>
            <w:r>
              <w:rPr>
                <w:rFonts w:ascii="Arial" w:eastAsia="宋体" w:hAnsi="Arial" w:cs="Arial"/>
                <w:b/>
                <w:bCs/>
                <w:color w:val="000000"/>
                <w:sz w:val="17"/>
                <w:szCs w:val="17"/>
              </w:rPr>
              <w:t>27</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center"/>
          </w:tcPr>
          <w:p w14:paraId="669C72BD" w14:textId="77777777" w:rsidR="00066C63" w:rsidRDefault="009656F6">
            <w:pPr>
              <w:jc w:val="right"/>
              <w:textAlignment w:val="center"/>
            </w:pPr>
            <w:r>
              <w:rPr>
                <w:rFonts w:ascii="Arial" w:eastAsia="宋体" w:hAnsi="Arial" w:cs="Arial"/>
                <w:b/>
                <w:bCs/>
                <w:color w:val="000000"/>
                <w:sz w:val="17"/>
                <w:szCs w:val="17"/>
              </w:rPr>
              <w:t>%</w:t>
            </w:r>
          </w:p>
        </w:tc>
      </w:tr>
      <w:tr w:rsidR="00066C63" w14:paraId="669C72D1"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669C72BF" w14:textId="77777777" w:rsidR="00066C63" w:rsidRDefault="009656F6">
            <w:pPr>
              <w:textAlignment w:val="bottom"/>
            </w:pPr>
            <w:r>
              <w:rPr>
                <w:rFonts w:ascii="Arial" w:eastAsia="宋体" w:hAnsi="Arial" w:cs="Arial"/>
                <w:color w:val="000000"/>
                <w:sz w:val="17"/>
                <w:szCs w:val="17"/>
              </w:rPr>
              <w:t>Diluted earnings per common share</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center"/>
          </w:tcPr>
          <w:p w14:paraId="669C72C0" w14:textId="77777777" w:rsidR="00066C63" w:rsidRDefault="009656F6">
            <w:pPr>
              <w:textAlignment w:val="center"/>
            </w:pPr>
            <w:r>
              <w:rPr>
                <w:rFonts w:ascii="Arial" w:eastAsia="宋体" w:hAnsi="Arial" w:cs="Arial"/>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center"/>
          </w:tcPr>
          <w:p w14:paraId="669C72C1" w14:textId="77777777" w:rsidR="00066C63" w:rsidRDefault="009656F6">
            <w:pPr>
              <w:jc w:val="right"/>
              <w:textAlignment w:val="center"/>
            </w:pPr>
            <w:r>
              <w:rPr>
                <w:rFonts w:ascii="Arial" w:eastAsia="宋体" w:hAnsi="Arial" w:cs="Arial"/>
                <w:color w:val="000000"/>
                <w:sz w:val="17"/>
                <w:szCs w:val="17"/>
              </w:rPr>
              <w:t>0.90 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center"/>
          </w:tcPr>
          <w:p w14:paraId="669C72C2" w14:textId="77777777" w:rsidR="00066C63" w:rsidRDefault="00066C63">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center"/>
          </w:tcPr>
          <w:p w14:paraId="669C72C3" w14:textId="77777777" w:rsidR="00066C63" w:rsidRDefault="009656F6">
            <w:pPr>
              <w:textAlignment w:val="center"/>
            </w:pPr>
            <w:r>
              <w:rPr>
                <w:rFonts w:ascii="Arial" w:eastAsia="宋体" w:hAnsi="Arial" w:cs="Arial"/>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center"/>
          </w:tcPr>
          <w:p w14:paraId="669C72C4" w14:textId="77777777" w:rsidR="00066C63" w:rsidRDefault="009656F6">
            <w:pPr>
              <w:jc w:val="right"/>
              <w:textAlignment w:val="center"/>
            </w:pPr>
            <w:r>
              <w:rPr>
                <w:rFonts w:ascii="Arial" w:eastAsia="宋体" w:hAnsi="Arial" w:cs="Arial"/>
                <w:color w:val="000000"/>
                <w:sz w:val="17"/>
                <w:szCs w:val="17"/>
              </w:rPr>
              <w:t>0.53 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center"/>
          </w:tcPr>
          <w:p w14:paraId="669C72C5" w14:textId="77777777" w:rsidR="00066C63" w:rsidRDefault="00066C63">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center"/>
          </w:tcPr>
          <w:p w14:paraId="669C72C6" w14:textId="77777777" w:rsidR="00066C63" w:rsidRDefault="009656F6">
            <w:pPr>
              <w:jc w:val="right"/>
              <w:textAlignment w:val="center"/>
            </w:pPr>
            <w:r>
              <w:rPr>
                <w:rFonts w:ascii="Arial" w:eastAsia="宋体" w:hAnsi="Arial" w:cs="Arial"/>
                <w:color w:val="000000"/>
                <w:sz w:val="17"/>
                <w:szCs w:val="17"/>
              </w:rPr>
              <w:t>70 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center"/>
          </w:tcPr>
          <w:p w14:paraId="669C72C7" w14:textId="77777777" w:rsidR="00066C63" w:rsidRDefault="009656F6">
            <w:pPr>
              <w:jc w:val="right"/>
              <w:textAlignment w:val="center"/>
            </w:pPr>
            <w:r>
              <w:rPr>
                <w:rFonts w:ascii="Arial" w:eastAsia="宋体" w:hAnsi="Arial" w:cs="Arial"/>
                <w:color w:val="000000"/>
                <w:sz w:val="17"/>
                <w:szCs w:val="17"/>
              </w:rPr>
              <w:t>%</w:t>
            </w: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tcPr>
          <w:p w14:paraId="669C72C8" w14:textId="77777777" w:rsidR="00066C63" w:rsidRDefault="00066C63">
            <w:pPr>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center"/>
          </w:tcPr>
          <w:p w14:paraId="669C72C9" w14:textId="77777777" w:rsidR="00066C63" w:rsidRDefault="009656F6">
            <w:pPr>
              <w:textAlignment w:val="center"/>
            </w:pPr>
            <w:r>
              <w:rPr>
                <w:rFonts w:ascii="Arial" w:eastAsia="宋体" w:hAnsi="Arial" w:cs="Arial"/>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center"/>
          </w:tcPr>
          <w:p w14:paraId="669C72CA" w14:textId="77777777" w:rsidR="00066C63" w:rsidRDefault="009656F6">
            <w:pPr>
              <w:jc w:val="right"/>
              <w:textAlignment w:val="center"/>
            </w:pPr>
            <w:r>
              <w:rPr>
                <w:rFonts w:ascii="Arial" w:eastAsia="宋体" w:hAnsi="Arial" w:cs="Arial"/>
                <w:color w:val="000000"/>
                <w:sz w:val="17"/>
                <w:szCs w:val="17"/>
              </w:rPr>
              <w:t>2.62 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center"/>
          </w:tcPr>
          <w:p w14:paraId="669C72CB" w14:textId="77777777" w:rsidR="00066C63" w:rsidRDefault="00066C63">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center"/>
          </w:tcPr>
          <w:p w14:paraId="669C72CC" w14:textId="77777777" w:rsidR="00066C63" w:rsidRDefault="009656F6">
            <w:pPr>
              <w:textAlignment w:val="center"/>
            </w:pPr>
            <w:r>
              <w:rPr>
                <w:rFonts w:ascii="Arial" w:eastAsia="宋体" w:hAnsi="Arial" w:cs="Arial"/>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center"/>
          </w:tcPr>
          <w:p w14:paraId="669C72CD" w14:textId="77777777" w:rsidR="00066C63" w:rsidRDefault="009656F6">
            <w:pPr>
              <w:jc w:val="right"/>
              <w:textAlignment w:val="center"/>
            </w:pPr>
            <w:r>
              <w:rPr>
                <w:rFonts w:ascii="Arial" w:eastAsia="宋体" w:hAnsi="Arial" w:cs="Arial"/>
                <w:color w:val="000000"/>
                <w:sz w:val="17"/>
                <w:szCs w:val="17"/>
              </w:rPr>
              <w:t>2.09 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center"/>
          </w:tcPr>
          <w:p w14:paraId="669C72CE" w14:textId="77777777" w:rsidR="00066C63" w:rsidRDefault="00066C63">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center"/>
          </w:tcPr>
          <w:p w14:paraId="669C72CF" w14:textId="77777777" w:rsidR="00066C63" w:rsidRDefault="009656F6">
            <w:pPr>
              <w:jc w:val="right"/>
              <w:textAlignment w:val="center"/>
            </w:pPr>
            <w:r>
              <w:rPr>
                <w:rFonts w:ascii="Arial" w:eastAsia="宋体" w:hAnsi="Arial" w:cs="Arial"/>
                <w:color w:val="000000"/>
                <w:sz w:val="17"/>
                <w:szCs w:val="17"/>
              </w:rPr>
              <w:t>25 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center"/>
          </w:tcPr>
          <w:p w14:paraId="669C72D0" w14:textId="77777777" w:rsidR="00066C63" w:rsidRDefault="009656F6">
            <w:pPr>
              <w:jc w:val="right"/>
              <w:textAlignment w:val="center"/>
            </w:pPr>
            <w:r>
              <w:rPr>
                <w:rFonts w:ascii="Arial" w:eastAsia="宋体" w:hAnsi="Arial" w:cs="Arial"/>
                <w:color w:val="000000"/>
                <w:sz w:val="17"/>
                <w:szCs w:val="17"/>
              </w:rPr>
              <w:t>%</w:t>
            </w:r>
          </w:p>
        </w:tc>
      </w:tr>
    </w:tbl>
    <w:p w14:paraId="669C72D2" w14:textId="77777777" w:rsidR="00066C63" w:rsidRDefault="009656F6">
      <w:pPr>
        <w:spacing w:before="120" w:after="120"/>
        <w:jc w:val="right"/>
      </w:pPr>
      <w:r>
        <w:rPr>
          <w:rFonts w:ascii="Arial" w:eastAsia="宋体" w:hAnsi="Arial" w:cs="Arial"/>
          <w:color w:val="E87722"/>
          <w:sz w:val="17"/>
          <w:szCs w:val="17"/>
        </w:rPr>
        <w:t>27</w:t>
      </w:r>
    </w:p>
    <w:p w14:paraId="669C72D3" w14:textId="77777777" w:rsidR="00066C63" w:rsidRDefault="009656F6">
      <w:r>
        <w:pict w14:anchorId="669C7E4B">
          <v:rect id="_x0000_i1053" style="width:415.3pt;height:1.5pt" o:hralign="center" o:hrstd="t" o:hr="t" fillcolor="#a0a0a0" stroked="f"/>
        </w:pict>
      </w:r>
    </w:p>
    <w:p w14:paraId="669C72D4" w14:textId="77777777" w:rsidR="00066C63" w:rsidRDefault="00066C63"/>
    <w:p w14:paraId="669C72D5" w14:textId="77777777" w:rsidR="00066C63" w:rsidRDefault="009656F6">
      <w:hyperlink r:id="rId98" w:anchor="i1e99cb26debe49fe8b698d0f0eb1273a_7" w:history="1">
        <w:r>
          <w:rPr>
            <w:rStyle w:val="a5"/>
            <w:rFonts w:ascii="sans-serif" w:eastAsia="sans-serif" w:hAnsi="sans-serif" w:cs="sans-serif"/>
            <w:sz w:val="17"/>
            <w:szCs w:val="17"/>
          </w:rPr>
          <w:t>Table of Contents</w:t>
        </w:r>
      </w:hyperlink>
    </w:p>
    <w:p w14:paraId="669C72D6" w14:textId="77777777" w:rsidR="00066C63" w:rsidRDefault="00066C63"/>
    <w:p w14:paraId="669C72D7" w14:textId="77777777" w:rsidR="00066C63" w:rsidRDefault="009656F6">
      <w:pPr>
        <w:spacing w:before="300" w:after="120"/>
      </w:pPr>
      <w:r>
        <w:rPr>
          <w:rFonts w:ascii="sans-serif" w:eastAsia="sans-serif" w:hAnsi="sans-serif" w:cs="sans-serif"/>
          <w:b/>
          <w:bCs/>
          <w:color w:val="E87722"/>
          <w:sz w:val="36"/>
          <w:szCs w:val="36"/>
        </w:rPr>
        <w:t>CONSOLIDATED OPERATING RESULTS</w:t>
      </w:r>
    </w:p>
    <w:p w14:paraId="669C72D8" w14:textId="77777777" w:rsidR="00066C63" w:rsidRDefault="009656F6">
      <w:pPr>
        <w:spacing w:before="240" w:after="120"/>
      </w:pPr>
      <w:r>
        <w:rPr>
          <w:rFonts w:ascii="sans-serif" w:eastAsia="sans-serif" w:hAnsi="sans-serif" w:cs="sans-serif"/>
          <w:b/>
          <w:bCs/>
          <w:color w:val="000000"/>
          <w:sz w:val="28"/>
          <w:szCs w:val="28"/>
        </w:rPr>
        <w:t>REVENUES</w:t>
      </w:r>
    </w:p>
    <w:tbl>
      <w:tblPr>
        <w:tblW w:w="5000" w:type="pct"/>
        <w:tblCellMar>
          <w:top w:w="15" w:type="dxa"/>
          <w:left w:w="15" w:type="dxa"/>
          <w:bottom w:w="15" w:type="dxa"/>
          <w:right w:w="15" w:type="dxa"/>
        </w:tblCellMar>
        <w:tblLook w:val="04A0" w:firstRow="1" w:lastRow="0" w:firstColumn="1" w:lastColumn="0" w:noHBand="0" w:noVBand="1"/>
      </w:tblPr>
      <w:tblGrid>
        <w:gridCol w:w="43"/>
        <w:gridCol w:w="1103"/>
        <w:gridCol w:w="38"/>
        <w:gridCol w:w="116"/>
        <w:gridCol w:w="697"/>
        <w:gridCol w:w="36"/>
        <w:gridCol w:w="116"/>
        <w:gridCol w:w="697"/>
        <w:gridCol w:w="36"/>
        <w:gridCol w:w="85"/>
        <w:gridCol w:w="548"/>
        <w:gridCol w:w="171"/>
        <w:gridCol w:w="102"/>
        <w:gridCol w:w="747"/>
        <w:gridCol w:w="171"/>
        <w:gridCol w:w="36"/>
        <w:gridCol w:w="36"/>
        <w:gridCol w:w="36"/>
        <w:gridCol w:w="116"/>
        <w:gridCol w:w="697"/>
        <w:gridCol w:w="36"/>
        <w:gridCol w:w="116"/>
        <w:gridCol w:w="697"/>
        <w:gridCol w:w="36"/>
        <w:gridCol w:w="85"/>
        <w:gridCol w:w="548"/>
        <w:gridCol w:w="171"/>
        <w:gridCol w:w="101"/>
        <w:gridCol w:w="748"/>
        <w:gridCol w:w="171"/>
      </w:tblGrid>
      <w:tr w:rsidR="00066C63" w14:paraId="669C72F7" w14:textId="77777777">
        <w:tc>
          <w:tcPr>
            <w:tcW w:w="50" w:type="pct"/>
            <w:shd w:val="clear" w:color="auto" w:fill="auto"/>
          </w:tcPr>
          <w:p w14:paraId="669C72D9" w14:textId="77777777" w:rsidR="00066C63" w:rsidRDefault="00066C63">
            <w:pPr>
              <w:rPr>
                <w:rFonts w:ascii="宋体"/>
              </w:rPr>
            </w:pPr>
          </w:p>
        </w:tc>
        <w:tc>
          <w:tcPr>
            <w:tcW w:w="1333" w:type="pct"/>
            <w:shd w:val="clear" w:color="auto" w:fill="auto"/>
          </w:tcPr>
          <w:p w14:paraId="669C72DA" w14:textId="77777777" w:rsidR="00066C63" w:rsidRDefault="00066C63">
            <w:pPr>
              <w:rPr>
                <w:rFonts w:ascii="宋体"/>
              </w:rPr>
            </w:pPr>
          </w:p>
        </w:tc>
        <w:tc>
          <w:tcPr>
            <w:tcW w:w="5" w:type="pct"/>
            <w:shd w:val="clear" w:color="auto" w:fill="auto"/>
          </w:tcPr>
          <w:p w14:paraId="669C72DB" w14:textId="77777777" w:rsidR="00066C63" w:rsidRDefault="00066C63">
            <w:pPr>
              <w:rPr>
                <w:rFonts w:ascii="宋体"/>
              </w:rPr>
            </w:pPr>
          </w:p>
        </w:tc>
        <w:tc>
          <w:tcPr>
            <w:tcW w:w="50" w:type="pct"/>
            <w:shd w:val="clear" w:color="auto" w:fill="auto"/>
          </w:tcPr>
          <w:p w14:paraId="669C72DC" w14:textId="77777777" w:rsidR="00066C63" w:rsidRDefault="00066C63">
            <w:pPr>
              <w:rPr>
                <w:rFonts w:ascii="宋体"/>
              </w:rPr>
            </w:pPr>
          </w:p>
        </w:tc>
        <w:tc>
          <w:tcPr>
            <w:tcW w:w="432" w:type="pct"/>
            <w:shd w:val="clear" w:color="auto" w:fill="auto"/>
          </w:tcPr>
          <w:p w14:paraId="669C72DD" w14:textId="77777777" w:rsidR="00066C63" w:rsidRDefault="00066C63">
            <w:pPr>
              <w:rPr>
                <w:rFonts w:ascii="宋体"/>
              </w:rPr>
            </w:pPr>
          </w:p>
        </w:tc>
        <w:tc>
          <w:tcPr>
            <w:tcW w:w="5" w:type="pct"/>
            <w:shd w:val="clear" w:color="auto" w:fill="auto"/>
          </w:tcPr>
          <w:p w14:paraId="669C72DE" w14:textId="77777777" w:rsidR="00066C63" w:rsidRDefault="00066C63">
            <w:pPr>
              <w:rPr>
                <w:rFonts w:ascii="宋体"/>
              </w:rPr>
            </w:pPr>
          </w:p>
        </w:tc>
        <w:tc>
          <w:tcPr>
            <w:tcW w:w="50" w:type="pct"/>
            <w:shd w:val="clear" w:color="auto" w:fill="auto"/>
          </w:tcPr>
          <w:p w14:paraId="669C72DF" w14:textId="77777777" w:rsidR="00066C63" w:rsidRDefault="00066C63">
            <w:pPr>
              <w:rPr>
                <w:rFonts w:ascii="宋体"/>
              </w:rPr>
            </w:pPr>
          </w:p>
        </w:tc>
        <w:tc>
          <w:tcPr>
            <w:tcW w:w="432" w:type="pct"/>
            <w:shd w:val="clear" w:color="auto" w:fill="auto"/>
          </w:tcPr>
          <w:p w14:paraId="669C72E0" w14:textId="77777777" w:rsidR="00066C63" w:rsidRDefault="00066C63">
            <w:pPr>
              <w:rPr>
                <w:rFonts w:ascii="宋体"/>
              </w:rPr>
            </w:pPr>
          </w:p>
        </w:tc>
        <w:tc>
          <w:tcPr>
            <w:tcW w:w="5" w:type="pct"/>
            <w:shd w:val="clear" w:color="auto" w:fill="auto"/>
          </w:tcPr>
          <w:p w14:paraId="669C72E1" w14:textId="77777777" w:rsidR="00066C63" w:rsidRDefault="00066C63">
            <w:pPr>
              <w:rPr>
                <w:rFonts w:ascii="宋体"/>
              </w:rPr>
            </w:pPr>
          </w:p>
        </w:tc>
        <w:tc>
          <w:tcPr>
            <w:tcW w:w="50" w:type="pct"/>
            <w:shd w:val="clear" w:color="auto" w:fill="auto"/>
          </w:tcPr>
          <w:p w14:paraId="669C72E2" w14:textId="77777777" w:rsidR="00066C63" w:rsidRDefault="00066C63">
            <w:pPr>
              <w:rPr>
                <w:rFonts w:ascii="宋体"/>
              </w:rPr>
            </w:pPr>
          </w:p>
        </w:tc>
        <w:tc>
          <w:tcPr>
            <w:tcW w:w="327" w:type="pct"/>
            <w:shd w:val="clear" w:color="auto" w:fill="auto"/>
          </w:tcPr>
          <w:p w14:paraId="669C72E3" w14:textId="77777777" w:rsidR="00066C63" w:rsidRDefault="00066C63">
            <w:pPr>
              <w:rPr>
                <w:rFonts w:ascii="宋体"/>
              </w:rPr>
            </w:pPr>
          </w:p>
        </w:tc>
        <w:tc>
          <w:tcPr>
            <w:tcW w:w="5" w:type="pct"/>
            <w:shd w:val="clear" w:color="auto" w:fill="auto"/>
          </w:tcPr>
          <w:p w14:paraId="669C72E4" w14:textId="77777777" w:rsidR="00066C63" w:rsidRDefault="00066C63">
            <w:pPr>
              <w:rPr>
                <w:rFonts w:ascii="宋体"/>
              </w:rPr>
            </w:pPr>
          </w:p>
        </w:tc>
        <w:tc>
          <w:tcPr>
            <w:tcW w:w="50" w:type="pct"/>
            <w:shd w:val="clear" w:color="auto" w:fill="auto"/>
          </w:tcPr>
          <w:p w14:paraId="669C72E5" w14:textId="77777777" w:rsidR="00066C63" w:rsidRDefault="00066C63">
            <w:pPr>
              <w:rPr>
                <w:rFonts w:ascii="宋体"/>
              </w:rPr>
            </w:pPr>
          </w:p>
        </w:tc>
        <w:tc>
          <w:tcPr>
            <w:tcW w:w="372" w:type="pct"/>
            <w:shd w:val="clear" w:color="auto" w:fill="auto"/>
          </w:tcPr>
          <w:p w14:paraId="669C72E6" w14:textId="77777777" w:rsidR="00066C63" w:rsidRDefault="00066C63">
            <w:pPr>
              <w:rPr>
                <w:rFonts w:ascii="宋体"/>
              </w:rPr>
            </w:pPr>
          </w:p>
        </w:tc>
        <w:tc>
          <w:tcPr>
            <w:tcW w:w="5" w:type="pct"/>
            <w:shd w:val="clear" w:color="auto" w:fill="auto"/>
          </w:tcPr>
          <w:p w14:paraId="669C72E7" w14:textId="77777777" w:rsidR="00066C63" w:rsidRDefault="00066C63">
            <w:pPr>
              <w:rPr>
                <w:rFonts w:ascii="宋体"/>
              </w:rPr>
            </w:pPr>
          </w:p>
        </w:tc>
        <w:tc>
          <w:tcPr>
            <w:tcW w:w="5" w:type="pct"/>
            <w:shd w:val="clear" w:color="auto" w:fill="auto"/>
          </w:tcPr>
          <w:p w14:paraId="669C72E8" w14:textId="77777777" w:rsidR="00066C63" w:rsidRDefault="00066C63">
            <w:pPr>
              <w:rPr>
                <w:rFonts w:ascii="宋体"/>
              </w:rPr>
            </w:pPr>
          </w:p>
        </w:tc>
        <w:tc>
          <w:tcPr>
            <w:tcW w:w="27" w:type="pct"/>
            <w:shd w:val="clear" w:color="auto" w:fill="auto"/>
          </w:tcPr>
          <w:p w14:paraId="669C72E9" w14:textId="77777777" w:rsidR="00066C63" w:rsidRDefault="00066C63">
            <w:pPr>
              <w:rPr>
                <w:rFonts w:ascii="宋体"/>
              </w:rPr>
            </w:pPr>
          </w:p>
        </w:tc>
        <w:tc>
          <w:tcPr>
            <w:tcW w:w="5" w:type="pct"/>
            <w:shd w:val="clear" w:color="auto" w:fill="auto"/>
          </w:tcPr>
          <w:p w14:paraId="669C72EA" w14:textId="77777777" w:rsidR="00066C63" w:rsidRDefault="00066C63">
            <w:pPr>
              <w:rPr>
                <w:rFonts w:ascii="宋体"/>
              </w:rPr>
            </w:pPr>
          </w:p>
        </w:tc>
        <w:tc>
          <w:tcPr>
            <w:tcW w:w="50" w:type="pct"/>
            <w:shd w:val="clear" w:color="auto" w:fill="auto"/>
          </w:tcPr>
          <w:p w14:paraId="669C72EB" w14:textId="77777777" w:rsidR="00066C63" w:rsidRDefault="00066C63">
            <w:pPr>
              <w:rPr>
                <w:rFonts w:ascii="宋体"/>
              </w:rPr>
            </w:pPr>
          </w:p>
        </w:tc>
        <w:tc>
          <w:tcPr>
            <w:tcW w:w="432" w:type="pct"/>
            <w:shd w:val="clear" w:color="auto" w:fill="auto"/>
          </w:tcPr>
          <w:p w14:paraId="669C72EC" w14:textId="77777777" w:rsidR="00066C63" w:rsidRDefault="00066C63">
            <w:pPr>
              <w:rPr>
                <w:rFonts w:ascii="宋体"/>
              </w:rPr>
            </w:pPr>
          </w:p>
        </w:tc>
        <w:tc>
          <w:tcPr>
            <w:tcW w:w="5" w:type="pct"/>
            <w:shd w:val="clear" w:color="auto" w:fill="auto"/>
          </w:tcPr>
          <w:p w14:paraId="669C72ED" w14:textId="77777777" w:rsidR="00066C63" w:rsidRDefault="00066C63">
            <w:pPr>
              <w:rPr>
                <w:rFonts w:ascii="宋体"/>
              </w:rPr>
            </w:pPr>
          </w:p>
        </w:tc>
        <w:tc>
          <w:tcPr>
            <w:tcW w:w="50" w:type="pct"/>
            <w:shd w:val="clear" w:color="auto" w:fill="auto"/>
          </w:tcPr>
          <w:p w14:paraId="669C72EE" w14:textId="77777777" w:rsidR="00066C63" w:rsidRDefault="00066C63">
            <w:pPr>
              <w:rPr>
                <w:rFonts w:ascii="宋体"/>
              </w:rPr>
            </w:pPr>
          </w:p>
        </w:tc>
        <w:tc>
          <w:tcPr>
            <w:tcW w:w="432" w:type="pct"/>
            <w:shd w:val="clear" w:color="auto" w:fill="auto"/>
          </w:tcPr>
          <w:p w14:paraId="669C72EF" w14:textId="77777777" w:rsidR="00066C63" w:rsidRDefault="00066C63">
            <w:pPr>
              <w:rPr>
                <w:rFonts w:ascii="宋体"/>
              </w:rPr>
            </w:pPr>
          </w:p>
        </w:tc>
        <w:tc>
          <w:tcPr>
            <w:tcW w:w="5" w:type="pct"/>
            <w:shd w:val="clear" w:color="auto" w:fill="auto"/>
          </w:tcPr>
          <w:p w14:paraId="669C72F0" w14:textId="77777777" w:rsidR="00066C63" w:rsidRDefault="00066C63">
            <w:pPr>
              <w:rPr>
                <w:rFonts w:ascii="宋体"/>
              </w:rPr>
            </w:pPr>
          </w:p>
        </w:tc>
        <w:tc>
          <w:tcPr>
            <w:tcW w:w="50" w:type="pct"/>
            <w:shd w:val="clear" w:color="auto" w:fill="auto"/>
          </w:tcPr>
          <w:p w14:paraId="669C72F1" w14:textId="77777777" w:rsidR="00066C63" w:rsidRDefault="00066C63">
            <w:pPr>
              <w:rPr>
                <w:rFonts w:ascii="宋体"/>
              </w:rPr>
            </w:pPr>
          </w:p>
        </w:tc>
        <w:tc>
          <w:tcPr>
            <w:tcW w:w="327" w:type="pct"/>
            <w:shd w:val="clear" w:color="auto" w:fill="auto"/>
          </w:tcPr>
          <w:p w14:paraId="669C72F2" w14:textId="77777777" w:rsidR="00066C63" w:rsidRDefault="00066C63">
            <w:pPr>
              <w:rPr>
                <w:rFonts w:ascii="宋体"/>
              </w:rPr>
            </w:pPr>
          </w:p>
        </w:tc>
        <w:tc>
          <w:tcPr>
            <w:tcW w:w="5" w:type="pct"/>
            <w:shd w:val="clear" w:color="auto" w:fill="auto"/>
          </w:tcPr>
          <w:p w14:paraId="669C72F3" w14:textId="77777777" w:rsidR="00066C63" w:rsidRDefault="00066C63">
            <w:pPr>
              <w:rPr>
                <w:rFonts w:ascii="宋体"/>
              </w:rPr>
            </w:pPr>
          </w:p>
        </w:tc>
        <w:tc>
          <w:tcPr>
            <w:tcW w:w="50" w:type="pct"/>
            <w:shd w:val="clear" w:color="auto" w:fill="auto"/>
          </w:tcPr>
          <w:p w14:paraId="669C72F4" w14:textId="77777777" w:rsidR="00066C63" w:rsidRDefault="00066C63">
            <w:pPr>
              <w:rPr>
                <w:rFonts w:ascii="宋体"/>
              </w:rPr>
            </w:pPr>
          </w:p>
        </w:tc>
        <w:tc>
          <w:tcPr>
            <w:tcW w:w="373" w:type="pct"/>
            <w:shd w:val="clear" w:color="auto" w:fill="auto"/>
          </w:tcPr>
          <w:p w14:paraId="669C72F5" w14:textId="77777777" w:rsidR="00066C63" w:rsidRDefault="00066C63">
            <w:pPr>
              <w:rPr>
                <w:rFonts w:ascii="宋体"/>
              </w:rPr>
            </w:pPr>
          </w:p>
        </w:tc>
        <w:tc>
          <w:tcPr>
            <w:tcW w:w="5" w:type="pct"/>
            <w:shd w:val="clear" w:color="auto" w:fill="auto"/>
          </w:tcPr>
          <w:p w14:paraId="669C72F6" w14:textId="77777777" w:rsidR="00066C63" w:rsidRDefault="00066C63">
            <w:pPr>
              <w:rPr>
                <w:rFonts w:ascii="宋体"/>
              </w:rPr>
            </w:pPr>
          </w:p>
        </w:tc>
      </w:tr>
      <w:tr w:rsidR="00066C63" w14:paraId="669C72FC" w14:textId="77777777">
        <w:tc>
          <w:tcPr>
            <w:tcW w:w="0" w:type="auto"/>
            <w:gridSpan w:val="3"/>
            <w:shd w:val="clear" w:color="auto" w:fill="auto"/>
            <w:tcMar>
              <w:top w:w="0" w:type="dxa"/>
              <w:left w:w="20" w:type="dxa"/>
              <w:bottom w:w="0" w:type="dxa"/>
              <w:right w:w="20" w:type="dxa"/>
            </w:tcMar>
          </w:tcPr>
          <w:p w14:paraId="669C72F8" w14:textId="77777777" w:rsidR="00066C63" w:rsidRDefault="00066C63">
            <w:pPr>
              <w:rPr>
                <w:rFonts w:ascii="宋体"/>
              </w:rPr>
            </w:pPr>
          </w:p>
        </w:tc>
        <w:tc>
          <w:tcPr>
            <w:tcW w:w="0" w:type="auto"/>
            <w:gridSpan w:val="12"/>
            <w:shd w:val="clear" w:color="auto" w:fill="auto"/>
            <w:tcMar>
              <w:top w:w="40" w:type="dxa"/>
              <w:left w:w="20" w:type="dxa"/>
              <w:bottom w:w="40" w:type="dxa"/>
              <w:right w:w="20" w:type="dxa"/>
            </w:tcMar>
            <w:vAlign w:val="bottom"/>
          </w:tcPr>
          <w:p w14:paraId="669C72F9" w14:textId="77777777" w:rsidR="00066C63" w:rsidRDefault="009656F6">
            <w:pPr>
              <w:jc w:val="center"/>
              <w:textAlignment w:val="bottom"/>
            </w:pPr>
            <w:r>
              <w:rPr>
                <w:rFonts w:ascii="sans-serif" w:eastAsia="sans-serif" w:hAnsi="sans-serif" w:cs="sans-serif"/>
                <w:b/>
                <w:bCs/>
                <w:color w:val="000000"/>
                <w:sz w:val="17"/>
                <w:szCs w:val="17"/>
              </w:rPr>
              <w:t xml:space="preserve">THREE MONTHS ENDED </w:t>
            </w:r>
          </w:p>
        </w:tc>
        <w:tc>
          <w:tcPr>
            <w:tcW w:w="0" w:type="auto"/>
            <w:gridSpan w:val="3"/>
            <w:shd w:val="clear" w:color="auto" w:fill="auto"/>
            <w:tcMar>
              <w:top w:w="0" w:type="dxa"/>
              <w:left w:w="20" w:type="dxa"/>
              <w:bottom w:w="0" w:type="dxa"/>
              <w:right w:w="20" w:type="dxa"/>
            </w:tcMar>
          </w:tcPr>
          <w:p w14:paraId="669C72FA" w14:textId="77777777" w:rsidR="00066C63" w:rsidRDefault="00066C63">
            <w:pPr>
              <w:rPr>
                <w:rFonts w:ascii="宋体"/>
              </w:rPr>
            </w:pPr>
          </w:p>
        </w:tc>
        <w:tc>
          <w:tcPr>
            <w:tcW w:w="0" w:type="auto"/>
            <w:gridSpan w:val="12"/>
            <w:shd w:val="clear" w:color="auto" w:fill="auto"/>
            <w:tcMar>
              <w:top w:w="40" w:type="dxa"/>
              <w:left w:w="20" w:type="dxa"/>
              <w:bottom w:w="40" w:type="dxa"/>
              <w:right w:w="20" w:type="dxa"/>
            </w:tcMar>
            <w:vAlign w:val="bottom"/>
          </w:tcPr>
          <w:p w14:paraId="669C72FB" w14:textId="77777777" w:rsidR="00066C63" w:rsidRDefault="009656F6">
            <w:pPr>
              <w:jc w:val="center"/>
              <w:textAlignment w:val="bottom"/>
            </w:pPr>
            <w:r>
              <w:rPr>
                <w:rFonts w:ascii="sans-serif" w:eastAsia="sans-serif" w:hAnsi="sans-serif" w:cs="sans-serif"/>
                <w:b/>
                <w:bCs/>
                <w:color w:val="000000"/>
                <w:sz w:val="17"/>
                <w:szCs w:val="17"/>
              </w:rPr>
              <w:t xml:space="preserve">NINE MONTHS ENDED </w:t>
            </w:r>
          </w:p>
        </w:tc>
      </w:tr>
      <w:tr w:rsidR="00066C63" w14:paraId="669C7307" w14:textId="77777777">
        <w:tc>
          <w:tcPr>
            <w:tcW w:w="0" w:type="auto"/>
            <w:gridSpan w:val="3"/>
            <w:shd w:val="clear" w:color="auto" w:fill="auto"/>
            <w:tcMar>
              <w:top w:w="40" w:type="dxa"/>
              <w:left w:w="20" w:type="dxa"/>
              <w:bottom w:w="40" w:type="dxa"/>
              <w:right w:w="20" w:type="dxa"/>
            </w:tcMar>
            <w:vAlign w:val="bottom"/>
          </w:tcPr>
          <w:p w14:paraId="669C72FD" w14:textId="77777777" w:rsidR="00066C63" w:rsidRDefault="009656F6">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2FE" w14:textId="77777777" w:rsidR="00066C63" w:rsidRDefault="009656F6">
            <w:pPr>
              <w:jc w:val="center"/>
              <w:textAlignment w:val="bottom"/>
            </w:pPr>
            <w:r>
              <w:rPr>
                <w:rFonts w:ascii="sans-serif" w:eastAsia="sans-serif" w:hAnsi="sans-serif" w:cs="sans-serif"/>
                <w:b/>
                <w:bCs/>
                <w:color w:val="000000"/>
                <w:sz w:val="17"/>
                <w:szCs w:val="17"/>
              </w:rPr>
              <w:t>FEBRUARY 28, 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2FF" w14:textId="77777777" w:rsidR="00066C63" w:rsidRDefault="009656F6">
            <w:pPr>
              <w:jc w:val="center"/>
              <w:textAlignment w:val="bottom"/>
            </w:pPr>
            <w:r>
              <w:rPr>
                <w:rFonts w:ascii="sans-serif" w:eastAsia="sans-serif" w:hAnsi="sans-serif" w:cs="sans-serif"/>
                <w:b/>
                <w:bCs/>
                <w:color w:val="000000"/>
                <w:sz w:val="17"/>
                <w:szCs w:val="17"/>
              </w:rPr>
              <w:t>FEBRUARY 29, 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300" w14:textId="77777777" w:rsidR="00066C63" w:rsidRDefault="009656F6">
            <w:pPr>
              <w:jc w:val="right"/>
              <w:textAlignment w:val="bottom"/>
            </w:pPr>
            <w:r>
              <w:rPr>
                <w:rFonts w:ascii="sans-serif" w:eastAsia="sans-serif" w:hAnsi="sans-serif" w:cs="sans-serif"/>
                <w:b/>
                <w:bCs/>
                <w:color w:val="000000"/>
                <w:sz w:val="17"/>
                <w:szCs w:val="17"/>
              </w:rPr>
              <w:t>% CHANGE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301" w14:textId="77777777" w:rsidR="00066C63" w:rsidRDefault="009656F6">
            <w:pPr>
              <w:jc w:val="right"/>
              <w:textAlignment w:val="bottom"/>
            </w:pPr>
            <w:r>
              <w:rPr>
                <w:rFonts w:ascii="sans-serif" w:eastAsia="sans-serif" w:hAnsi="sans-serif" w:cs="sans-serif"/>
                <w:b/>
                <w:bCs/>
                <w:color w:val="000000"/>
                <w:sz w:val="17"/>
                <w:szCs w:val="17"/>
              </w:rPr>
              <w:t xml:space="preserve">% CHANGE </w:t>
            </w:r>
            <w:r>
              <w:rPr>
                <w:rFonts w:ascii="sans-serif" w:eastAsia="sans-serif" w:hAnsi="sans-serif" w:cs="sans-serif"/>
                <w:b/>
                <w:bCs/>
                <w:color w:val="000000"/>
                <w:sz w:val="17"/>
                <w:szCs w:val="17"/>
              </w:rPr>
              <w:t>EXCLUDING CURRENCY CHANGES</w:t>
            </w:r>
            <w:r>
              <w:rPr>
                <w:rFonts w:ascii="sans-serif" w:eastAsia="sans-serif" w:hAnsi="sans-serif" w:cs="sans-serif"/>
                <w:b/>
                <w:bCs/>
                <w:color w:val="000000"/>
                <w:sz w:val="9"/>
                <w:szCs w:val="9"/>
              </w:rPr>
              <w:t>(1)</w:t>
            </w:r>
          </w:p>
        </w:tc>
        <w:tc>
          <w:tcPr>
            <w:tcW w:w="0" w:type="auto"/>
            <w:gridSpan w:val="3"/>
            <w:shd w:val="clear" w:color="auto" w:fill="auto"/>
            <w:tcMar>
              <w:top w:w="0" w:type="dxa"/>
              <w:left w:w="20" w:type="dxa"/>
              <w:bottom w:w="0" w:type="dxa"/>
              <w:right w:w="20" w:type="dxa"/>
            </w:tcMar>
          </w:tcPr>
          <w:p w14:paraId="669C7302" w14:textId="77777777" w:rsidR="00066C63" w:rsidRDefault="00066C63">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303" w14:textId="77777777" w:rsidR="00066C63" w:rsidRDefault="009656F6">
            <w:pPr>
              <w:jc w:val="center"/>
              <w:textAlignment w:val="bottom"/>
            </w:pPr>
            <w:r>
              <w:rPr>
                <w:rFonts w:ascii="sans-serif" w:eastAsia="sans-serif" w:hAnsi="sans-serif" w:cs="sans-serif"/>
                <w:b/>
                <w:bCs/>
                <w:color w:val="000000"/>
                <w:sz w:val="17"/>
                <w:szCs w:val="17"/>
              </w:rPr>
              <w:t>FEBRUARY 28, 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304" w14:textId="77777777" w:rsidR="00066C63" w:rsidRDefault="009656F6">
            <w:pPr>
              <w:jc w:val="center"/>
              <w:textAlignment w:val="bottom"/>
            </w:pPr>
            <w:r>
              <w:rPr>
                <w:rFonts w:ascii="sans-serif" w:eastAsia="sans-serif" w:hAnsi="sans-serif" w:cs="sans-serif"/>
                <w:b/>
                <w:bCs/>
                <w:color w:val="000000"/>
                <w:sz w:val="17"/>
                <w:szCs w:val="17"/>
              </w:rPr>
              <w:t>FEBRUARY 29, 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305" w14:textId="77777777" w:rsidR="00066C63" w:rsidRDefault="009656F6">
            <w:pPr>
              <w:jc w:val="right"/>
              <w:textAlignment w:val="bottom"/>
            </w:pPr>
            <w:r>
              <w:rPr>
                <w:rFonts w:ascii="sans-serif" w:eastAsia="sans-serif" w:hAnsi="sans-serif" w:cs="sans-serif"/>
                <w:b/>
                <w:bCs/>
                <w:color w:val="000000"/>
                <w:sz w:val="17"/>
                <w:szCs w:val="17"/>
              </w:rPr>
              <w:t>% CHANGE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306" w14:textId="77777777" w:rsidR="00066C63" w:rsidRDefault="009656F6">
            <w:pPr>
              <w:jc w:val="right"/>
              <w:textAlignment w:val="bottom"/>
            </w:pPr>
            <w:r>
              <w:rPr>
                <w:rFonts w:ascii="sans-serif" w:eastAsia="sans-serif" w:hAnsi="sans-serif" w:cs="sans-serif"/>
                <w:b/>
                <w:bCs/>
                <w:color w:val="000000"/>
                <w:sz w:val="17"/>
                <w:szCs w:val="17"/>
              </w:rPr>
              <w:t>% CHANGE EXCLUDING CURRENCY CHANGES</w:t>
            </w:r>
            <w:r>
              <w:rPr>
                <w:rFonts w:ascii="sans-serif" w:eastAsia="sans-serif" w:hAnsi="sans-serif" w:cs="sans-serif"/>
                <w:b/>
                <w:bCs/>
                <w:color w:val="000000"/>
                <w:sz w:val="9"/>
                <w:szCs w:val="9"/>
              </w:rPr>
              <w:t>(1)</w:t>
            </w:r>
          </w:p>
        </w:tc>
      </w:tr>
      <w:tr w:rsidR="00066C63" w14:paraId="669C7312"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308" w14:textId="77777777" w:rsidR="00066C63" w:rsidRDefault="009656F6">
            <w:pPr>
              <w:textAlignment w:val="bottom"/>
            </w:pPr>
            <w:r>
              <w:rPr>
                <w:rFonts w:ascii="Arial" w:eastAsia="宋体" w:hAnsi="Arial" w:cs="Arial"/>
                <w:b/>
                <w:bCs/>
                <w:i/>
                <w:iCs/>
                <w:color w:val="000000"/>
                <w:sz w:val="17"/>
                <w:szCs w:val="17"/>
              </w:rPr>
              <w:t>NIKE, Inc. Revenues:</w:t>
            </w:r>
          </w:p>
        </w:tc>
        <w:tc>
          <w:tcPr>
            <w:tcW w:w="0" w:type="auto"/>
            <w:gridSpan w:val="3"/>
            <w:tcBorders>
              <w:top w:val="single" w:sz="8" w:space="0" w:color="E87722"/>
            </w:tcBorders>
            <w:shd w:val="clear" w:color="auto" w:fill="FFF1E7"/>
            <w:tcMar>
              <w:top w:w="0" w:type="dxa"/>
              <w:left w:w="20" w:type="dxa"/>
              <w:bottom w:w="0" w:type="dxa"/>
              <w:right w:w="20" w:type="dxa"/>
            </w:tcMar>
          </w:tcPr>
          <w:p w14:paraId="669C7309"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730A"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730B"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730C"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730D" w14:textId="77777777" w:rsidR="00066C63" w:rsidRDefault="00066C63">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669C730E"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730F"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7310"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7311" w14:textId="77777777" w:rsidR="00066C63" w:rsidRDefault="00066C63">
            <w:pPr>
              <w:rPr>
                <w:rFonts w:ascii="宋体"/>
              </w:rPr>
            </w:pPr>
          </w:p>
        </w:tc>
      </w:tr>
      <w:tr w:rsidR="00066C63" w14:paraId="669C731D"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7313" w14:textId="77777777" w:rsidR="00066C63" w:rsidRDefault="009656F6">
            <w:pPr>
              <w:textAlignment w:val="bottom"/>
            </w:pPr>
            <w:r>
              <w:rPr>
                <w:rFonts w:ascii="Arial" w:eastAsia="宋体" w:hAnsi="Arial" w:cs="Arial"/>
                <w:b/>
                <w:bCs/>
                <w:color w:val="000000"/>
                <w:sz w:val="17"/>
                <w:szCs w:val="17"/>
              </w:rPr>
              <w:t>NIKE Brand Revenues by:</w:t>
            </w:r>
          </w:p>
        </w:tc>
        <w:tc>
          <w:tcPr>
            <w:tcW w:w="0" w:type="auto"/>
            <w:gridSpan w:val="3"/>
            <w:tcBorders>
              <w:top w:val="single" w:sz="8" w:space="0" w:color="808080"/>
            </w:tcBorders>
            <w:shd w:val="clear" w:color="auto" w:fill="FFF1E7"/>
            <w:tcMar>
              <w:top w:w="0" w:type="dxa"/>
              <w:left w:w="20" w:type="dxa"/>
              <w:bottom w:w="0" w:type="dxa"/>
              <w:right w:w="20" w:type="dxa"/>
            </w:tcMar>
          </w:tcPr>
          <w:p w14:paraId="669C7314" w14:textId="77777777" w:rsidR="00066C63" w:rsidRDefault="00066C63">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7315" w14:textId="77777777" w:rsidR="00066C63" w:rsidRDefault="00066C63">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7316" w14:textId="77777777" w:rsidR="00066C63" w:rsidRDefault="00066C63">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7317" w14:textId="77777777" w:rsidR="00066C63" w:rsidRDefault="00066C63">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7318" w14:textId="77777777" w:rsidR="00066C63" w:rsidRDefault="00066C63">
            <w:pPr>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669C7319" w14:textId="77777777" w:rsidR="00066C63" w:rsidRDefault="00066C63">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731A" w14:textId="77777777" w:rsidR="00066C63" w:rsidRDefault="00066C63">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731B" w14:textId="77777777" w:rsidR="00066C63" w:rsidRDefault="00066C63">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731C" w14:textId="77777777" w:rsidR="00066C63" w:rsidRDefault="00066C63">
            <w:pPr>
              <w:rPr>
                <w:rFonts w:ascii="宋体"/>
              </w:rPr>
            </w:pPr>
          </w:p>
        </w:tc>
      </w:tr>
      <w:tr w:rsidR="00066C63" w14:paraId="669C7334"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731E" w14:textId="77777777" w:rsidR="00066C63" w:rsidRDefault="009656F6">
            <w:pPr>
              <w:textAlignment w:val="bottom"/>
            </w:pPr>
            <w:r>
              <w:rPr>
                <w:rFonts w:ascii="Arial" w:eastAsia="宋体" w:hAnsi="Arial" w:cs="Arial"/>
                <w:color w:val="000000"/>
                <w:sz w:val="17"/>
                <w:szCs w:val="17"/>
              </w:rPr>
              <w:t>Footwear</w:t>
            </w:r>
          </w:p>
        </w:tc>
        <w:tc>
          <w:tcPr>
            <w:tcW w:w="0" w:type="auto"/>
            <w:tcBorders>
              <w:top w:val="single" w:sz="8" w:space="0" w:color="808080"/>
            </w:tcBorders>
            <w:shd w:val="clear" w:color="auto" w:fill="FFF1E7"/>
            <w:tcMar>
              <w:top w:w="40" w:type="dxa"/>
              <w:left w:w="20" w:type="dxa"/>
              <w:bottom w:w="40" w:type="dxa"/>
              <w:right w:w="0" w:type="dxa"/>
            </w:tcMar>
            <w:vAlign w:val="bottom"/>
          </w:tcPr>
          <w:p w14:paraId="669C731F"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669C7320" w14:textId="77777777" w:rsidR="00066C63" w:rsidRDefault="009656F6">
            <w:pPr>
              <w:jc w:val="right"/>
              <w:textAlignment w:val="bottom"/>
            </w:pPr>
            <w:r>
              <w:rPr>
                <w:rFonts w:ascii="Arial" w:eastAsia="宋体" w:hAnsi="Arial" w:cs="Arial"/>
                <w:color w:val="000000"/>
                <w:sz w:val="17"/>
                <w:szCs w:val="17"/>
              </w:rPr>
              <w:t>6,505 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7321" w14:textId="77777777" w:rsidR="00066C63" w:rsidRDefault="00066C63">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669C7322"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669C7323" w14:textId="77777777" w:rsidR="00066C63" w:rsidRDefault="009656F6">
            <w:pPr>
              <w:jc w:val="right"/>
              <w:textAlignment w:val="bottom"/>
            </w:pPr>
            <w:r>
              <w:rPr>
                <w:rFonts w:ascii="Arial" w:eastAsia="宋体" w:hAnsi="Arial" w:cs="Arial"/>
                <w:color w:val="000000"/>
                <w:sz w:val="17"/>
                <w:szCs w:val="17"/>
              </w:rPr>
              <w:t>6,377 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324"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325" w14:textId="77777777" w:rsidR="00066C63" w:rsidRDefault="009656F6">
            <w:pPr>
              <w:jc w:val="right"/>
              <w:textAlignment w:val="bottom"/>
            </w:pPr>
            <w:r>
              <w:rPr>
                <w:rFonts w:ascii="Arial" w:eastAsia="宋体" w:hAnsi="Arial" w:cs="Arial"/>
                <w:color w:val="000000"/>
                <w:sz w:val="17"/>
                <w:szCs w:val="17"/>
              </w:rPr>
              <w:t>2 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326" w14:textId="77777777" w:rsidR="00066C63" w:rsidRDefault="009656F6">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327" w14:textId="77777777" w:rsidR="00066C63" w:rsidRDefault="009656F6">
            <w:pPr>
              <w:jc w:val="right"/>
              <w:textAlignment w:val="bottom"/>
            </w:pPr>
            <w:r>
              <w:rPr>
                <w:rFonts w:ascii="Arial" w:eastAsia="宋体" w:hAnsi="Arial" w:cs="Arial"/>
                <w:color w:val="000000"/>
                <w:sz w:val="17"/>
                <w:szCs w:val="17"/>
              </w:rPr>
              <w:t>-1 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328" w14:textId="77777777" w:rsidR="00066C63" w:rsidRDefault="009656F6">
            <w:pPr>
              <w:jc w:val="right"/>
              <w:textAlignment w:val="bottom"/>
            </w:pPr>
            <w:r>
              <w:rPr>
                <w:rFonts w:ascii="Arial" w:eastAsia="宋体" w:hAnsi="Arial" w:cs="Arial"/>
                <w:color w:val="000000"/>
                <w:sz w:val="17"/>
                <w:szCs w:val="17"/>
              </w:rPr>
              <w:t>%</w:t>
            </w:r>
          </w:p>
        </w:tc>
        <w:tc>
          <w:tcPr>
            <w:tcW w:w="0" w:type="auto"/>
            <w:gridSpan w:val="3"/>
            <w:tcBorders>
              <w:top w:val="single" w:sz="8" w:space="0" w:color="808080"/>
            </w:tcBorders>
            <w:shd w:val="clear" w:color="auto" w:fill="auto"/>
            <w:tcMar>
              <w:top w:w="0" w:type="dxa"/>
              <w:left w:w="20" w:type="dxa"/>
              <w:bottom w:w="0" w:type="dxa"/>
              <w:right w:w="20" w:type="dxa"/>
            </w:tcMar>
          </w:tcPr>
          <w:p w14:paraId="669C7329" w14:textId="77777777" w:rsidR="00066C63" w:rsidRDefault="00066C63">
            <w:pPr>
              <w:rPr>
                <w:rFonts w:ascii="宋体"/>
              </w:rPr>
            </w:pPr>
          </w:p>
        </w:tc>
        <w:tc>
          <w:tcPr>
            <w:tcW w:w="0" w:type="auto"/>
            <w:tcBorders>
              <w:top w:val="single" w:sz="8" w:space="0" w:color="808080"/>
            </w:tcBorders>
            <w:shd w:val="clear" w:color="auto" w:fill="FFF1E7"/>
            <w:tcMar>
              <w:top w:w="40" w:type="dxa"/>
              <w:left w:w="20" w:type="dxa"/>
              <w:bottom w:w="40" w:type="dxa"/>
              <w:right w:w="0" w:type="dxa"/>
            </w:tcMar>
            <w:vAlign w:val="bottom"/>
          </w:tcPr>
          <w:p w14:paraId="669C732A"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669C732B" w14:textId="77777777" w:rsidR="00066C63" w:rsidRDefault="009656F6">
            <w:pPr>
              <w:jc w:val="right"/>
              <w:textAlignment w:val="bottom"/>
            </w:pPr>
            <w:r>
              <w:rPr>
                <w:rFonts w:ascii="Arial" w:eastAsia="宋体" w:hAnsi="Arial" w:cs="Arial"/>
                <w:color w:val="000000"/>
                <w:sz w:val="17"/>
                <w:szCs w:val="17"/>
              </w:rPr>
              <w:t>20,074 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732C" w14:textId="77777777" w:rsidR="00066C63" w:rsidRDefault="00066C63">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669C732D"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669C732E" w14:textId="77777777" w:rsidR="00066C63" w:rsidRDefault="009656F6">
            <w:pPr>
              <w:jc w:val="right"/>
              <w:textAlignment w:val="bottom"/>
            </w:pPr>
            <w:r>
              <w:rPr>
                <w:rFonts w:ascii="Arial" w:eastAsia="宋体" w:hAnsi="Arial" w:cs="Arial"/>
                <w:color w:val="000000"/>
                <w:sz w:val="17"/>
                <w:szCs w:val="17"/>
              </w:rPr>
              <w:t>19,104 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32F"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330" w14:textId="77777777" w:rsidR="00066C63" w:rsidRDefault="009656F6">
            <w:pPr>
              <w:jc w:val="right"/>
              <w:textAlignment w:val="bottom"/>
            </w:pPr>
            <w:r>
              <w:rPr>
                <w:rFonts w:ascii="Arial" w:eastAsia="宋体" w:hAnsi="Arial" w:cs="Arial"/>
                <w:color w:val="000000"/>
                <w:sz w:val="17"/>
                <w:szCs w:val="17"/>
              </w:rPr>
              <w:t>5 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331" w14:textId="77777777" w:rsidR="00066C63" w:rsidRDefault="009656F6">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332" w14:textId="77777777" w:rsidR="00066C63" w:rsidRDefault="009656F6">
            <w:pPr>
              <w:jc w:val="right"/>
              <w:textAlignment w:val="bottom"/>
            </w:pPr>
            <w:r>
              <w:rPr>
                <w:rFonts w:ascii="Arial" w:eastAsia="宋体" w:hAnsi="Arial" w:cs="Arial"/>
                <w:color w:val="000000"/>
                <w:sz w:val="17"/>
                <w:szCs w:val="17"/>
              </w:rPr>
              <w:t>4 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333" w14:textId="77777777" w:rsidR="00066C63" w:rsidRDefault="009656F6">
            <w:pPr>
              <w:jc w:val="right"/>
              <w:textAlignment w:val="bottom"/>
            </w:pPr>
            <w:r>
              <w:rPr>
                <w:rFonts w:ascii="Arial" w:eastAsia="宋体" w:hAnsi="Arial" w:cs="Arial"/>
                <w:color w:val="000000"/>
                <w:sz w:val="17"/>
                <w:szCs w:val="17"/>
              </w:rPr>
              <w:t>%</w:t>
            </w:r>
          </w:p>
        </w:tc>
      </w:tr>
      <w:tr w:rsidR="00066C63" w14:paraId="669C7347"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7335" w14:textId="77777777" w:rsidR="00066C63" w:rsidRDefault="009656F6">
            <w:pPr>
              <w:textAlignment w:val="bottom"/>
            </w:pPr>
            <w:r>
              <w:rPr>
                <w:rFonts w:ascii="Arial" w:eastAsia="宋体" w:hAnsi="Arial" w:cs="Arial"/>
                <w:color w:val="000000"/>
                <w:sz w:val="17"/>
                <w:szCs w:val="17"/>
              </w:rPr>
              <w:t>Apparel</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7336" w14:textId="77777777" w:rsidR="00066C63" w:rsidRDefault="009656F6">
            <w:pPr>
              <w:jc w:val="right"/>
              <w:textAlignment w:val="bottom"/>
            </w:pPr>
            <w:r>
              <w:rPr>
                <w:rFonts w:ascii="Arial" w:eastAsia="宋体" w:hAnsi="Arial" w:cs="Arial"/>
                <w:color w:val="000000"/>
                <w:sz w:val="17"/>
                <w:szCs w:val="17"/>
              </w:rPr>
              <w:t>2,966 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7337"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338" w14:textId="77777777" w:rsidR="00066C63" w:rsidRDefault="009656F6">
            <w:pPr>
              <w:jc w:val="right"/>
              <w:textAlignment w:val="bottom"/>
            </w:pPr>
            <w:r>
              <w:rPr>
                <w:rFonts w:ascii="Arial" w:eastAsia="宋体" w:hAnsi="Arial" w:cs="Arial"/>
                <w:color w:val="000000"/>
                <w:sz w:val="17"/>
                <w:szCs w:val="17"/>
              </w:rPr>
              <w:t>2,905 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339"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33A" w14:textId="77777777" w:rsidR="00066C63" w:rsidRDefault="009656F6">
            <w:pPr>
              <w:jc w:val="right"/>
              <w:textAlignment w:val="bottom"/>
            </w:pPr>
            <w:r>
              <w:rPr>
                <w:rFonts w:ascii="Arial" w:eastAsia="宋体" w:hAnsi="Arial" w:cs="Arial"/>
                <w:color w:val="000000"/>
                <w:sz w:val="17"/>
                <w:szCs w:val="17"/>
              </w:rPr>
              <w:t>2 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33B" w14:textId="77777777" w:rsidR="00066C63" w:rsidRDefault="009656F6">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33C" w14:textId="77777777" w:rsidR="00066C63" w:rsidRDefault="009656F6">
            <w:pPr>
              <w:jc w:val="right"/>
              <w:textAlignment w:val="bottom"/>
            </w:pPr>
            <w:r>
              <w:rPr>
                <w:rFonts w:ascii="Arial" w:eastAsia="宋体" w:hAnsi="Arial" w:cs="Arial"/>
                <w:color w:val="000000"/>
                <w:sz w:val="17"/>
                <w:szCs w:val="17"/>
              </w:rPr>
              <w:t>-1 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33D" w14:textId="77777777" w:rsidR="00066C63" w:rsidRDefault="009656F6">
            <w:pPr>
              <w:jc w:val="right"/>
              <w:textAlignment w:val="bottom"/>
            </w:pPr>
            <w:r>
              <w:rPr>
                <w:rFonts w:ascii="Arial" w:eastAsia="宋体" w:hAnsi="Arial" w:cs="Arial"/>
                <w:color w:val="000000"/>
                <w:sz w:val="17"/>
                <w:szCs w:val="17"/>
              </w:rPr>
              <w:t>%</w:t>
            </w:r>
          </w:p>
        </w:tc>
        <w:tc>
          <w:tcPr>
            <w:tcW w:w="0" w:type="auto"/>
            <w:gridSpan w:val="3"/>
            <w:tcBorders>
              <w:top w:val="single" w:sz="8" w:space="0" w:color="808080"/>
            </w:tcBorders>
            <w:shd w:val="clear" w:color="auto" w:fill="auto"/>
            <w:tcMar>
              <w:top w:w="0" w:type="dxa"/>
              <w:left w:w="20" w:type="dxa"/>
              <w:bottom w:w="0" w:type="dxa"/>
              <w:right w:w="20" w:type="dxa"/>
            </w:tcMar>
          </w:tcPr>
          <w:p w14:paraId="669C733E" w14:textId="77777777" w:rsidR="00066C63" w:rsidRDefault="00066C63">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733F" w14:textId="77777777" w:rsidR="00066C63" w:rsidRDefault="009656F6">
            <w:pPr>
              <w:jc w:val="right"/>
              <w:textAlignment w:val="bottom"/>
            </w:pPr>
            <w:r>
              <w:rPr>
                <w:rFonts w:ascii="Arial" w:eastAsia="宋体" w:hAnsi="Arial" w:cs="Arial"/>
                <w:color w:val="000000"/>
                <w:sz w:val="17"/>
                <w:szCs w:val="17"/>
              </w:rPr>
              <w:t>9,426 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7340"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341" w14:textId="77777777" w:rsidR="00066C63" w:rsidRDefault="009656F6">
            <w:pPr>
              <w:jc w:val="right"/>
              <w:textAlignment w:val="bottom"/>
            </w:pPr>
            <w:r>
              <w:rPr>
                <w:rFonts w:ascii="Arial" w:eastAsia="宋体" w:hAnsi="Arial" w:cs="Arial"/>
                <w:color w:val="000000"/>
                <w:sz w:val="17"/>
                <w:szCs w:val="17"/>
              </w:rPr>
              <w:t>9,313 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342"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343" w14:textId="77777777" w:rsidR="00066C63" w:rsidRDefault="009656F6">
            <w:pPr>
              <w:jc w:val="right"/>
              <w:textAlignment w:val="bottom"/>
            </w:pPr>
            <w:r>
              <w:rPr>
                <w:rFonts w:ascii="Arial" w:eastAsia="宋体" w:hAnsi="Arial" w:cs="Arial"/>
                <w:color w:val="000000"/>
                <w:sz w:val="17"/>
                <w:szCs w:val="17"/>
              </w:rPr>
              <w:t>1 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344" w14:textId="77777777" w:rsidR="00066C63" w:rsidRDefault="009656F6">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345" w14:textId="77777777" w:rsidR="00066C63" w:rsidRDefault="009656F6">
            <w:pPr>
              <w:jc w:val="right"/>
              <w:textAlignment w:val="bottom"/>
            </w:pPr>
            <w:r>
              <w:rPr>
                <w:rFonts w:ascii="Arial" w:eastAsia="宋体" w:hAnsi="Arial" w:cs="Arial"/>
                <w:color w:val="000000"/>
                <w:sz w:val="17"/>
                <w:szCs w:val="17"/>
              </w:rPr>
              <w:t>0 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346" w14:textId="77777777" w:rsidR="00066C63" w:rsidRDefault="009656F6">
            <w:pPr>
              <w:jc w:val="right"/>
              <w:textAlignment w:val="bottom"/>
            </w:pPr>
            <w:r>
              <w:rPr>
                <w:rFonts w:ascii="Arial" w:eastAsia="宋体" w:hAnsi="Arial" w:cs="Arial"/>
                <w:color w:val="000000"/>
                <w:sz w:val="17"/>
                <w:szCs w:val="17"/>
              </w:rPr>
              <w:t>%</w:t>
            </w:r>
          </w:p>
        </w:tc>
      </w:tr>
      <w:tr w:rsidR="00066C63" w14:paraId="669C735A"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7348" w14:textId="77777777" w:rsidR="00066C63" w:rsidRDefault="009656F6">
            <w:pPr>
              <w:textAlignment w:val="bottom"/>
            </w:pPr>
            <w:r>
              <w:rPr>
                <w:rFonts w:ascii="Arial" w:eastAsia="宋体" w:hAnsi="Arial" w:cs="Arial"/>
                <w:color w:val="000000"/>
                <w:sz w:val="17"/>
                <w:szCs w:val="17"/>
              </w:rPr>
              <w:t>Equipment</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7349" w14:textId="77777777" w:rsidR="00066C63" w:rsidRDefault="009656F6">
            <w:pPr>
              <w:jc w:val="right"/>
              <w:textAlignment w:val="bottom"/>
            </w:pPr>
            <w:r>
              <w:rPr>
                <w:rFonts w:ascii="Arial" w:eastAsia="宋体" w:hAnsi="Arial" w:cs="Arial"/>
                <w:color w:val="000000"/>
                <w:sz w:val="17"/>
                <w:szCs w:val="17"/>
              </w:rPr>
              <w:t>296 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734A"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34B" w14:textId="77777777" w:rsidR="00066C63" w:rsidRDefault="009656F6">
            <w:pPr>
              <w:jc w:val="right"/>
              <w:textAlignment w:val="bottom"/>
            </w:pPr>
            <w:r>
              <w:rPr>
                <w:rFonts w:ascii="Arial" w:eastAsia="宋体" w:hAnsi="Arial" w:cs="Arial"/>
                <w:color w:val="000000"/>
                <w:sz w:val="17"/>
                <w:szCs w:val="17"/>
              </w:rPr>
              <w:t>326 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34C"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34D" w14:textId="77777777" w:rsidR="00066C63" w:rsidRDefault="009656F6">
            <w:pPr>
              <w:jc w:val="right"/>
              <w:textAlignment w:val="bottom"/>
            </w:pPr>
            <w:r>
              <w:rPr>
                <w:rFonts w:ascii="Arial" w:eastAsia="宋体" w:hAnsi="Arial" w:cs="Arial"/>
                <w:color w:val="000000"/>
                <w:sz w:val="17"/>
                <w:szCs w:val="17"/>
              </w:rPr>
              <w:t>-9 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34E" w14:textId="77777777" w:rsidR="00066C63" w:rsidRDefault="009656F6">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34F" w14:textId="77777777" w:rsidR="00066C63" w:rsidRDefault="009656F6">
            <w:pPr>
              <w:jc w:val="right"/>
              <w:textAlignment w:val="bottom"/>
            </w:pPr>
            <w:r>
              <w:rPr>
                <w:rFonts w:ascii="Arial" w:eastAsia="宋体" w:hAnsi="Arial" w:cs="Arial"/>
                <w:color w:val="000000"/>
                <w:sz w:val="17"/>
                <w:szCs w:val="17"/>
              </w:rPr>
              <w:t>-11 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350" w14:textId="77777777" w:rsidR="00066C63" w:rsidRDefault="009656F6">
            <w:pPr>
              <w:jc w:val="right"/>
              <w:textAlignment w:val="bottom"/>
            </w:pPr>
            <w:r>
              <w:rPr>
                <w:rFonts w:ascii="Arial" w:eastAsia="宋体" w:hAnsi="Arial" w:cs="Arial"/>
                <w:color w:val="000000"/>
                <w:sz w:val="17"/>
                <w:szCs w:val="17"/>
              </w:rPr>
              <w:t>%</w:t>
            </w:r>
          </w:p>
        </w:tc>
        <w:tc>
          <w:tcPr>
            <w:tcW w:w="0" w:type="auto"/>
            <w:gridSpan w:val="3"/>
            <w:tcBorders>
              <w:top w:val="single" w:sz="8" w:space="0" w:color="808080"/>
            </w:tcBorders>
            <w:shd w:val="clear" w:color="auto" w:fill="auto"/>
            <w:tcMar>
              <w:top w:w="0" w:type="dxa"/>
              <w:left w:w="20" w:type="dxa"/>
              <w:bottom w:w="0" w:type="dxa"/>
              <w:right w:w="20" w:type="dxa"/>
            </w:tcMar>
          </w:tcPr>
          <w:p w14:paraId="669C7351" w14:textId="77777777" w:rsidR="00066C63" w:rsidRDefault="00066C63">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7352" w14:textId="77777777" w:rsidR="00066C63" w:rsidRDefault="009656F6">
            <w:pPr>
              <w:jc w:val="right"/>
              <w:textAlignment w:val="bottom"/>
            </w:pPr>
            <w:r>
              <w:rPr>
                <w:rFonts w:ascii="Arial" w:eastAsia="宋体" w:hAnsi="Arial" w:cs="Arial"/>
                <w:color w:val="000000"/>
                <w:sz w:val="17"/>
                <w:szCs w:val="17"/>
              </w:rPr>
              <w:t>1,014 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7353"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354" w14:textId="77777777" w:rsidR="00066C63" w:rsidRDefault="009656F6">
            <w:pPr>
              <w:jc w:val="right"/>
              <w:textAlignment w:val="bottom"/>
            </w:pPr>
            <w:r>
              <w:rPr>
                <w:rFonts w:ascii="Arial" w:eastAsia="宋体" w:hAnsi="Arial" w:cs="Arial"/>
                <w:color w:val="000000"/>
                <w:sz w:val="17"/>
                <w:szCs w:val="17"/>
              </w:rPr>
              <w:t>1,115 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355"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356" w14:textId="77777777" w:rsidR="00066C63" w:rsidRDefault="009656F6">
            <w:pPr>
              <w:jc w:val="right"/>
              <w:textAlignment w:val="bottom"/>
            </w:pPr>
            <w:r>
              <w:rPr>
                <w:rFonts w:ascii="Arial" w:eastAsia="宋体" w:hAnsi="Arial" w:cs="Arial"/>
                <w:color w:val="000000"/>
                <w:sz w:val="17"/>
                <w:szCs w:val="17"/>
              </w:rPr>
              <w:t>-9 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357" w14:textId="77777777" w:rsidR="00066C63" w:rsidRDefault="009656F6">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358" w14:textId="77777777" w:rsidR="00066C63" w:rsidRDefault="009656F6">
            <w:pPr>
              <w:jc w:val="right"/>
              <w:textAlignment w:val="bottom"/>
            </w:pPr>
            <w:r>
              <w:rPr>
                <w:rFonts w:ascii="Arial" w:eastAsia="宋体" w:hAnsi="Arial" w:cs="Arial"/>
                <w:color w:val="000000"/>
                <w:sz w:val="17"/>
                <w:szCs w:val="17"/>
              </w:rPr>
              <w:t>-9 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359" w14:textId="77777777" w:rsidR="00066C63" w:rsidRDefault="009656F6">
            <w:pPr>
              <w:jc w:val="right"/>
              <w:textAlignment w:val="bottom"/>
            </w:pPr>
            <w:r>
              <w:rPr>
                <w:rFonts w:ascii="Arial" w:eastAsia="宋体" w:hAnsi="Arial" w:cs="Arial"/>
                <w:color w:val="000000"/>
                <w:sz w:val="17"/>
                <w:szCs w:val="17"/>
              </w:rPr>
              <w:t>%</w:t>
            </w:r>
          </w:p>
        </w:tc>
      </w:tr>
      <w:tr w:rsidR="00066C63" w14:paraId="669C736D"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735B" w14:textId="77777777" w:rsidR="00066C63" w:rsidRDefault="009656F6">
            <w:pPr>
              <w:textAlignment w:val="bottom"/>
            </w:pPr>
            <w:r>
              <w:rPr>
                <w:rFonts w:ascii="Arial" w:eastAsia="宋体" w:hAnsi="Arial" w:cs="Arial"/>
                <w:color w:val="000000"/>
                <w:sz w:val="17"/>
                <w:szCs w:val="17"/>
              </w:rPr>
              <w:t>Global Brand Divisions</w:t>
            </w:r>
            <w:r>
              <w:rPr>
                <w:rFonts w:ascii="Arial" w:eastAsia="宋体" w:hAnsi="Arial" w:cs="Arial"/>
                <w:color w:val="000000"/>
                <w:sz w:val="11"/>
                <w:szCs w:val="11"/>
              </w:rPr>
              <w:t>(2)</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735C" w14:textId="77777777" w:rsidR="00066C63" w:rsidRDefault="009656F6">
            <w:pPr>
              <w:jc w:val="right"/>
              <w:textAlignment w:val="bottom"/>
            </w:pPr>
            <w:r>
              <w:rPr>
                <w:rFonts w:ascii="Arial" w:eastAsia="宋体" w:hAnsi="Arial" w:cs="Arial"/>
                <w:color w:val="000000"/>
                <w:sz w:val="17"/>
                <w:szCs w:val="17"/>
              </w:rPr>
              <w:t>6 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735D"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35E" w14:textId="77777777" w:rsidR="00066C63" w:rsidRDefault="009656F6">
            <w:pPr>
              <w:jc w:val="right"/>
              <w:textAlignment w:val="bottom"/>
            </w:pPr>
            <w:r>
              <w:rPr>
                <w:rFonts w:ascii="Arial" w:eastAsia="宋体" w:hAnsi="Arial" w:cs="Arial"/>
                <w:color w:val="000000"/>
                <w:sz w:val="17"/>
                <w:szCs w:val="17"/>
              </w:rPr>
              <w:t>8 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35F"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360" w14:textId="77777777" w:rsidR="00066C63" w:rsidRDefault="009656F6">
            <w:pPr>
              <w:jc w:val="right"/>
              <w:textAlignment w:val="bottom"/>
            </w:pPr>
            <w:r>
              <w:rPr>
                <w:rFonts w:ascii="Arial" w:eastAsia="宋体" w:hAnsi="Arial" w:cs="Arial"/>
                <w:color w:val="000000"/>
                <w:sz w:val="17"/>
                <w:szCs w:val="17"/>
              </w:rPr>
              <w:t>-25 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361" w14:textId="77777777" w:rsidR="00066C63" w:rsidRDefault="009656F6">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362" w14:textId="77777777" w:rsidR="00066C63" w:rsidRDefault="009656F6">
            <w:pPr>
              <w:jc w:val="right"/>
              <w:textAlignment w:val="bottom"/>
            </w:pPr>
            <w:r>
              <w:rPr>
                <w:rFonts w:ascii="Arial" w:eastAsia="宋体" w:hAnsi="Arial" w:cs="Arial"/>
                <w:color w:val="000000"/>
                <w:sz w:val="17"/>
                <w:szCs w:val="17"/>
              </w:rPr>
              <w:t>-32 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363" w14:textId="77777777" w:rsidR="00066C63" w:rsidRDefault="009656F6">
            <w:pPr>
              <w:jc w:val="right"/>
              <w:textAlignment w:val="bottom"/>
            </w:pPr>
            <w:r>
              <w:rPr>
                <w:rFonts w:ascii="Arial" w:eastAsia="宋体" w:hAnsi="Arial" w:cs="Arial"/>
                <w:color w:val="000000"/>
                <w:sz w:val="17"/>
                <w:szCs w:val="17"/>
              </w:rPr>
              <w:t>%</w:t>
            </w:r>
          </w:p>
        </w:tc>
        <w:tc>
          <w:tcPr>
            <w:tcW w:w="0" w:type="auto"/>
            <w:gridSpan w:val="3"/>
            <w:tcBorders>
              <w:top w:val="single" w:sz="8" w:space="0" w:color="808080"/>
            </w:tcBorders>
            <w:shd w:val="clear" w:color="auto" w:fill="auto"/>
            <w:tcMar>
              <w:top w:w="0" w:type="dxa"/>
              <w:left w:w="20" w:type="dxa"/>
              <w:bottom w:w="0" w:type="dxa"/>
              <w:right w:w="20" w:type="dxa"/>
            </w:tcMar>
          </w:tcPr>
          <w:p w14:paraId="669C7364" w14:textId="77777777" w:rsidR="00066C63" w:rsidRDefault="00066C63">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7365" w14:textId="77777777" w:rsidR="00066C63" w:rsidRDefault="009656F6">
            <w:pPr>
              <w:jc w:val="right"/>
              <w:textAlignment w:val="bottom"/>
            </w:pPr>
            <w:r>
              <w:rPr>
                <w:rFonts w:ascii="Arial" w:eastAsia="宋体" w:hAnsi="Arial" w:cs="Arial"/>
                <w:color w:val="000000"/>
                <w:sz w:val="17"/>
                <w:szCs w:val="17"/>
              </w:rPr>
              <w:t>18 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7366"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367" w14:textId="77777777" w:rsidR="00066C63" w:rsidRDefault="009656F6">
            <w:pPr>
              <w:jc w:val="right"/>
              <w:textAlignment w:val="bottom"/>
            </w:pPr>
            <w:r>
              <w:rPr>
                <w:rFonts w:ascii="Arial" w:eastAsia="宋体" w:hAnsi="Arial" w:cs="Arial"/>
                <w:color w:val="000000"/>
                <w:sz w:val="17"/>
                <w:szCs w:val="17"/>
              </w:rPr>
              <w:t>24 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368"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369" w14:textId="77777777" w:rsidR="00066C63" w:rsidRDefault="009656F6">
            <w:pPr>
              <w:jc w:val="right"/>
              <w:textAlignment w:val="bottom"/>
            </w:pPr>
            <w:r>
              <w:rPr>
                <w:rFonts w:ascii="Arial" w:eastAsia="宋体" w:hAnsi="Arial" w:cs="Arial"/>
                <w:color w:val="000000"/>
                <w:sz w:val="17"/>
                <w:szCs w:val="17"/>
              </w:rPr>
              <w:t>-25 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36A" w14:textId="77777777" w:rsidR="00066C63" w:rsidRDefault="009656F6">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36B" w14:textId="77777777" w:rsidR="00066C63" w:rsidRDefault="009656F6">
            <w:pPr>
              <w:jc w:val="right"/>
              <w:textAlignment w:val="bottom"/>
            </w:pPr>
            <w:r>
              <w:rPr>
                <w:rFonts w:ascii="Arial" w:eastAsia="宋体" w:hAnsi="Arial" w:cs="Arial"/>
                <w:color w:val="000000"/>
                <w:sz w:val="17"/>
                <w:szCs w:val="17"/>
              </w:rPr>
              <w:t>-27 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36C" w14:textId="77777777" w:rsidR="00066C63" w:rsidRDefault="009656F6">
            <w:pPr>
              <w:jc w:val="right"/>
              <w:textAlignment w:val="bottom"/>
            </w:pPr>
            <w:r>
              <w:rPr>
                <w:rFonts w:ascii="Arial" w:eastAsia="宋体" w:hAnsi="Arial" w:cs="Arial"/>
                <w:color w:val="000000"/>
                <w:sz w:val="17"/>
                <w:szCs w:val="17"/>
              </w:rPr>
              <w:t>%</w:t>
            </w:r>
          </w:p>
        </w:tc>
      </w:tr>
      <w:tr w:rsidR="00066C63" w14:paraId="669C7380"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36E" w14:textId="77777777" w:rsidR="00066C63" w:rsidRDefault="009656F6">
            <w:pPr>
              <w:textAlignment w:val="bottom"/>
            </w:pPr>
            <w:r>
              <w:rPr>
                <w:rFonts w:ascii="Arial" w:eastAsia="宋体" w:hAnsi="Arial" w:cs="Arial"/>
                <w:b/>
                <w:bCs/>
                <w:color w:val="000000"/>
                <w:sz w:val="17"/>
                <w:szCs w:val="17"/>
              </w:rPr>
              <w:t>Total NIKE Brand Revenues</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669C736F" w14:textId="77777777" w:rsidR="00066C63" w:rsidRDefault="009656F6">
            <w:pPr>
              <w:jc w:val="right"/>
              <w:textAlignment w:val="bottom"/>
            </w:pPr>
            <w:r>
              <w:rPr>
                <w:rFonts w:ascii="Arial" w:eastAsia="宋体" w:hAnsi="Arial" w:cs="Arial"/>
                <w:b/>
                <w:bCs/>
                <w:color w:val="000000"/>
                <w:sz w:val="17"/>
                <w:szCs w:val="17"/>
              </w:rPr>
              <w:t>9,773</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7370" w14:textId="77777777" w:rsidR="00066C63" w:rsidRDefault="00066C63">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7371" w14:textId="77777777" w:rsidR="00066C63" w:rsidRDefault="009656F6">
            <w:pPr>
              <w:jc w:val="right"/>
              <w:textAlignment w:val="bottom"/>
            </w:pPr>
            <w:r>
              <w:rPr>
                <w:rFonts w:ascii="Arial" w:eastAsia="宋体" w:hAnsi="Arial" w:cs="Arial"/>
                <w:b/>
                <w:bCs/>
                <w:color w:val="000000"/>
                <w:sz w:val="17"/>
                <w:szCs w:val="17"/>
              </w:rPr>
              <w:t>9,616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7372" w14:textId="77777777" w:rsidR="00066C63" w:rsidRDefault="00066C63">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7373" w14:textId="77777777" w:rsidR="00066C63" w:rsidRDefault="009656F6">
            <w:pPr>
              <w:jc w:val="right"/>
              <w:textAlignment w:val="bottom"/>
            </w:pPr>
            <w:r>
              <w:rPr>
                <w:rFonts w:ascii="Arial" w:eastAsia="宋体" w:hAnsi="Arial" w:cs="Arial"/>
                <w:b/>
                <w:bCs/>
                <w:color w:val="000000"/>
                <w:sz w:val="17"/>
                <w:szCs w:val="17"/>
              </w:rPr>
              <w:t>2</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7374" w14:textId="77777777" w:rsidR="00066C63" w:rsidRDefault="009656F6">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7375" w14:textId="77777777" w:rsidR="00066C63" w:rsidRDefault="009656F6">
            <w:pPr>
              <w:jc w:val="right"/>
              <w:textAlignment w:val="bottom"/>
            </w:pPr>
            <w:r>
              <w:rPr>
                <w:rFonts w:ascii="Arial" w:eastAsia="宋体" w:hAnsi="Arial" w:cs="Arial"/>
                <w:b/>
                <w:bCs/>
                <w:color w:val="000000"/>
                <w:sz w:val="17"/>
                <w:szCs w:val="17"/>
              </w:rPr>
              <w:t>-2</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7376" w14:textId="77777777" w:rsidR="00066C63" w:rsidRDefault="009656F6">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tcPr>
          <w:p w14:paraId="669C7377" w14:textId="77777777" w:rsidR="00066C63" w:rsidRDefault="00066C63">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669C7378" w14:textId="77777777" w:rsidR="00066C63" w:rsidRDefault="009656F6">
            <w:pPr>
              <w:jc w:val="right"/>
              <w:textAlignment w:val="bottom"/>
            </w:pPr>
            <w:r>
              <w:rPr>
                <w:rFonts w:ascii="Arial" w:eastAsia="宋体" w:hAnsi="Arial" w:cs="Arial"/>
                <w:b/>
                <w:bCs/>
                <w:color w:val="000000"/>
                <w:sz w:val="17"/>
                <w:szCs w:val="17"/>
              </w:rPr>
              <w:t>30,532</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7379" w14:textId="77777777" w:rsidR="00066C63" w:rsidRDefault="00066C63">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737A" w14:textId="77777777" w:rsidR="00066C63" w:rsidRDefault="009656F6">
            <w:pPr>
              <w:jc w:val="right"/>
              <w:textAlignment w:val="bottom"/>
            </w:pPr>
            <w:r>
              <w:rPr>
                <w:rFonts w:ascii="Arial" w:eastAsia="宋体" w:hAnsi="Arial" w:cs="Arial"/>
                <w:b/>
                <w:bCs/>
                <w:color w:val="000000"/>
                <w:sz w:val="17"/>
                <w:szCs w:val="17"/>
              </w:rPr>
              <w:t>29,556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737B" w14:textId="77777777" w:rsidR="00066C63" w:rsidRDefault="00066C63">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737C" w14:textId="77777777" w:rsidR="00066C63" w:rsidRDefault="009656F6">
            <w:pPr>
              <w:jc w:val="right"/>
              <w:textAlignment w:val="bottom"/>
            </w:pPr>
            <w:r>
              <w:rPr>
                <w:rFonts w:ascii="Arial" w:eastAsia="宋体" w:hAnsi="Arial" w:cs="Arial"/>
                <w:b/>
                <w:bCs/>
                <w:color w:val="000000"/>
                <w:sz w:val="17"/>
                <w:szCs w:val="17"/>
              </w:rPr>
              <w:t>3</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737D" w14:textId="77777777" w:rsidR="00066C63" w:rsidRDefault="009656F6">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737E" w14:textId="77777777" w:rsidR="00066C63" w:rsidRDefault="009656F6">
            <w:pPr>
              <w:jc w:val="right"/>
              <w:textAlignment w:val="bottom"/>
            </w:pPr>
            <w:r>
              <w:rPr>
                <w:rFonts w:ascii="Arial" w:eastAsia="宋体" w:hAnsi="Arial" w:cs="Arial"/>
                <w:b/>
                <w:bCs/>
                <w:color w:val="000000"/>
                <w:sz w:val="17"/>
                <w:szCs w:val="17"/>
              </w:rPr>
              <w:t>2</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737F" w14:textId="77777777" w:rsidR="00066C63" w:rsidRDefault="009656F6">
            <w:pPr>
              <w:jc w:val="right"/>
              <w:textAlignment w:val="bottom"/>
            </w:pPr>
            <w:r>
              <w:rPr>
                <w:rFonts w:ascii="Arial" w:eastAsia="宋体" w:hAnsi="Arial" w:cs="Arial"/>
                <w:b/>
                <w:bCs/>
                <w:color w:val="000000"/>
                <w:sz w:val="17"/>
                <w:szCs w:val="17"/>
              </w:rPr>
              <w:t>%</w:t>
            </w:r>
          </w:p>
        </w:tc>
      </w:tr>
      <w:tr w:rsidR="00066C63" w14:paraId="669C7393" w14:textId="77777777">
        <w:tc>
          <w:tcPr>
            <w:tcW w:w="0" w:type="auto"/>
            <w:gridSpan w:val="3"/>
            <w:tcBorders>
              <w:top w:val="single" w:sz="8" w:space="0" w:color="E87722"/>
            </w:tcBorders>
            <w:shd w:val="clear" w:color="auto" w:fill="auto"/>
            <w:tcMar>
              <w:top w:w="40" w:type="dxa"/>
              <w:left w:w="155" w:type="dxa"/>
              <w:bottom w:w="40" w:type="dxa"/>
              <w:right w:w="20" w:type="dxa"/>
            </w:tcMar>
            <w:vAlign w:val="bottom"/>
          </w:tcPr>
          <w:p w14:paraId="669C7381" w14:textId="77777777" w:rsidR="00066C63" w:rsidRDefault="009656F6">
            <w:pPr>
              <w:textAlignment w:val="bottom"/>
            </w:pPr>
            <w:r>
              <w:rPr>
                <w:rFonts w:ascii="Arial" w:eastAsia="宋体" w:hAnsi="Arial" w:cs="Arial"/>
                <w:color w:val="000000"/>
                <w:sz w:val="17"/>
                <w:szCs w:val="17"/>
              </w:rPr>
              <w:t>Converse</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669C7382" w14:textId="77777777" w:rsidR="00066C63" w:rsidRDefault="009656F6">
            <w:pPr>
              <w:jc w:val="right"/>
              <w:textAlignment w:val="bottom"/>
            </w:pPr>
            <w:r>
              <w:rPr>
                <w:rFonts w:ascii="Arial" w:eastAsia="宋体" w:hAnsi="Arial" w:cs="Arial"/>
                <w:color w:val="000000"/>
                <w:sz w:val="17"/>
                <w:szCs w:val="17"/>
              </w:rPr>
              <w:t>570 </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7383" w14:textId="77777777" w:rsidR="00066C63" w:rsidRDefault="00066C63">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7384" w14:textId="77777777" w:rsidR="00066C63" w:rsidRDefault="009656F6">
            <w:pPr>
              <w:jc w:val="right"/>
              <w:textAlignment w:val="bottom"/>
            </w:pPr>
            <w:r>
              <w:rPr>
                <w:rFonts w:ascii="Arial" w:eastAsia="宋体" w:hAnsi="Arial" w:cs="Arial"/>
                <w:color w:val="000000"/>
                <w:sz w:val="17"/>
                <w:szCs w:val="17"/>
              </w:rPr>
              <w:t>506 </w:t>
            </w:r>
          </w:p>
        </w:tc>
        <w:tc>
          <w:tcPr>
            <w:tcW w:w="0" w:type="auto"/>
            <w:tcBorders>
              <w:top w:val="single" w:sz="8" w:space="0" w:color="E87722"/>
            </w:tcBorders>
            <w:shd w:val="clear" w:color="auto" w:fill="auto"/>
            <w:tcMar>
              <w:top w:w="40" w:type="dxa"/>
              <w:left w:w="0" w:type="dxa"/>
              <w:bottom w:w="40" w:type="dxa"/>
              <w:right w:w="20" w:type="dxa"/>
            </w:tcMar>
            <w:vAlign w:val="bottom"/>
          </w:tcPr>
          <w:p w14:paraId="669C7385" w14:textId="77777777" w:rsidR="00066C63" w:rsidRDefault="00066C63">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7386" w14:textId="77777777" w:rsidR="00066C63" w:rsidRDefault="009656F6">
            <w:pPr>
              <w:jc w:val="right"/>
              <w:textAlignment w:val="bottom"/>
            </w:pPr>
            <w:r>
              <w:rPr>
                <w:rFonts w:ascii="Arial" w:eastAsia="宋体" w:hAnsi="Arial" w:cs="Arial"/>
                <w:color w:val="000000"/>
                <w:sz w:val="17"/>
                <w:szCs w:val="17"/>
              </w:rPr>
              <w:t>13 </w:t>
            </w:r>
          </w:p>
        </w:tc>
        <w:tc>
          <w:tcPr>
            <w:tcW w:w="0" w:type="auto"/>
            <w:tcBorders>
              <w:top w:val="single" w:sz="8" w:space="0" w:color="E87722"/>
            </w:tcBorders>
            <w:shd w:val="clear" w:color="auto" w:fill="auto"/>
            <w:tcMar>
              <w:top w:w="40" w:type="dxa"/>
              <w:left w:w="0" w:type="dxa"/>
              <w:bottom w:w="40" w:type="dxa"/>
              <w:right w:w="20" w:type="dxa"/>
            </w:tcMar>
            <w:vAlign w:val="bottom"/>
          </w:tcPr>
          <w:p w14:paraId="669C7387" w14:textId="77777777" w:rsidR="00066C63" w:rsidRDefault="009656F6">
            <w:pPr>
              <w:jc w:val="right"/>
              <w:textAlignment w:val="bottom"/>
            </w:pPr>
            <w:r>
              <w:rPr>
                <w:rFonts w:ascii="Arial" w:eastAsia="宋体" w:hAnsi="Arial" w:cs="Arial"/>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7388" w14:textId="77777777" w:rsidR="00066C63" w:rsidRDefault="009656F6">
            <w:pPr>
              <w:jc w:val="right"/>
              <w:textAlignment w:val="bottom"/>
            </w:pPr>
            <w:r>
              <w:rPr>
                <w:rFonts w:ascii="Arial" w:eastAsia="宋体" w:hAnsi="Arial" w:cs="Arial"/>
                <w:color w:val="000000"/>
                <w:sz w:val="17"/>
                <w:szCs w:val="17"/>
              </w:rPr>
              <w:t>8 </w:t>
            </w:r>
          </w:p>
        </w:tc>
        <w:tc>
          <w:tcPr>
            <w:tcW w:w="0" w:type="auto"/>
            <w:tcBorders>
              <w:top w:val="single" w:sz="8" w:space="0" w:color="E87722"/>
            </w:tcBorders>
            <w:shd w:val="clear" w:color="auto" w:fill="auto"/>
            <w:tcMar>
              <w:top w:w="40" w:type="dxa"/>
              <w:left w:w="0" w:type="dxa"/>
              <w:bottom w:w="40" w:type="dxa"/>
              <w:right w:w="20" w:type="dxa"/>
            </w:tcMar>
            <w:vAlign w:val="bottom"/>
          </w:tcPr>
          <w:p w14:paraId="669C7389" w14:textId="77777777" w:rsidR="00066C63" w:rsidRDefault="009656F6">
            <w:pPr>
              <w:jc w:val="right"/>
              <w:textAlignment w:val="bottom"/>
            </w:pPr>
            <w:r>
              <w:rPr>
                <w:rFonts w:ascii="Arial" w:eastAsia="宋体" w:hAnsi="Arial" w:cs="Arial"/>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tcPr>
          <w:p w14:paraId="669C738A" w14:textId="77777777" w:rsidR="00066C63" w:rsidRDefault="00066C63">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669C738B" w14:textId="77777777" w:rsidR="00066C63" w:rsidRDefault="009656F6">
            <w:pPr>
              <w:jc w:val="right"/>
              <w:textAlignment w:val="bottom"/>
            </w:pPr>
            <w:r>
              <w:rPr>
                <w:rFonts w:ascii="Arial" w:eastAsia="宋体" w:hAnsi="Arial" w:cs="Arial"/>
                <w:color w:val="000000"/>
                <w:sz w:val="17"/>
                <w:szCs w:val="17"/>
              </w:rPr>
              <w:t>1,609 </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738C" w14:textId="77777777" w:rsidR="00066C63" w:rsidRDefault="00066C63">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738D" w14:textId="77777777" w:rsidR="00066C63" w:rsidRDefault="009656F6">
            <w:pPr>
              <w:jc w:val="right"/>
              <w:textAlignment w:val="bottom"/>
            </w:pPr>
            <w:r>
              <w:rPr>
                <w:rFonts w:ascii="Arial" w:eastAsia="宋体" w:hAnsi="Arial" w:cs="Arial"/>
                <w:color w:val="000000"/>
                <w:sz w:val="17"/>
                <w:szCs w:val="17"/>
              </w:rPr>
              <w:t>1,541 </w:t>
            </w:r>
          </w:p>
        </w:tc>
        <w:tc>
          <w:tcPr>
            <w:tcW w:w="0" w:type="auto"/>
            <w:tcBorders>
              <w:top w:val="single" w:sz="8" w:space="0" w:color="E87722"/>
            </w:tcBorders>
            <w:shd w:val="clear" w:color="auto" w:fill="auto"/>
            <w:tcMar>
              <w:top w:w="40" w:type="dxa"/>
              <w:left w:w="0" w:type="dxa"/>
              <w:bottom w:w="40" w:type="dxa"/>
              <w:right w:w="20" w:type="dxa"/>
            </w:tcMar>
            <w:vAlign w:val="bottom"/>
          </w:tcPr>
          <w:p w14:paraId="669C738E" w14:textId="77777777" w:rsidR="00066C63" w:rsidRDefault="00066C63">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738F" w14:textId="77777777" w:rsidR="00066C63" w:rsidRDefault="009656F6">
            <w:pPr>
              <w:jc w:val="right"/>
              <w:textAlignment w:val="bottom"/>
            </w:pPr>
            <w:r>
              <w:rPr>
                <w:rFonts w:ascii="Arial" w:eastAsia="宋体" w:hAnsi="Arial" w:cs="Arial"/>
                <w:color w:val="000000"/>
                <w:sz w:val="17"/>
                <w:szCs w:val="17"/>
              </w:rPr>
              <w:t>4 </w:t>
            </w:r>
          </w:p>
        </w:tc>
        <w:tc>
          <w:tcPr>
            <w:tcW w:w="0" w:type="auto"/>
            <w:tcBorders>
              <w:top w:val="single" w:sz="8" w:space="0" w:color="E87722"/>
            </w:tcBorders>
            <w:shd w:val="clear" w:color="auto" w:fill="auto"/>
            <w:tcMar>
              <w:top w:w="40" w:type="dxa"/>
              <w:left w:w="0" w:type="dxa"/>
              <w:bottom w:w="40" w:type="dxa"/>
              <w:right w:w="20" w:type="dxa"/>
            </w:tcMar>
            <w:vAlign w:val="bottom"/>
          </w:tcPr>
          <w:p w14:paraId="669C7390" w14:textId="77777777" w:rsidR="00066C63" w:rsidRDefault="009656F6">
            <w:pPr>
              <w:jc w:val="right"/>
              <w:textAlignment w:val="bottom"/>
            </w:pPr>
            <w:r>
              <w:rPr>
                <w:rFonts w:ascii="Arial" w:eastAsia="宋体" w:hAnsi="Arial" w:cs="Arial"/>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7391" w14:textId="77777777" w:rsidR="00066C63" w:rsidRDefault="009656F6">
            <w:pPr>
              <w:jc w:val="right"/>
              <w:textAlignment w:val="bottom"/>
            </w:pPr>
            <w:r>
              <w:rPr>
                <w:rFonts w:ascii="Arial" w:eastAsia="宋体" w:hAnsi="Arial" w:cs="Arial"/>
                <w:color w:val="000000"/>
                <w:sz w:val="17"/>
                <w:szCs w:val="17"/>
              </w:rPr>
              <w:t>2 </w:t>
            </w:r>
          </w:p>
        </w:tc>
        <w:tc>
          <w:tcPr>
            <w:tcW w:w="0" w:type="auto"/>
            <w:tcBorders>
              <w:top w:val="single" w:sz="8" w:space="0" w:color="E87722"/>
            </w:tcBorders>
            <w:shd w:val="clear" w:color="auto" w:fill="auto"/>
            <w:tcMar>
              <w:top w:w="40" w:type="dxa"/>
              <w:left w:w="0" w:type="dxa"/>
              <w:bottom w:w="40" w:type="dxa"/>
              <w:right w:w="20" w:type="dxa"/>
            </w:tcMar>
            <w:vAlign w:val="bottom"/>
          </w:tcPr>
          <w:p w14:paraId="669C7392" w14:textId="77777777" w:rsidR="00066C63" w:rsidRDefault="009656F6">
            <w:pPr>
              <w:jc w:val="right"/>
              <w:textAlignment w:val="bottom"/>
            </w:pPr>
            <w:r>
              <w:rPr>
                <w:rFonts w:ascii="Arial" w:eastAsia="宋体" w:hAnsi="Arial" w:cs="Arial"/>
                <w:color w:val="000000"/>
                <w:sz w:val="17"/>
                <w:szCs w:val="17"/>
              </w:rPr>
              <w:t>%</w:t>
            </w:r>
          </w:p>
        </w:tc>
      </w:tr>
      <w:tr w:rsidR="00066C63" w14:paraId="669C73A6"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7394" w14:textId="77777777" w:rsidR="00066C63" w:rsidRDefault="009656F6">
            <w:pPr>
              <w:textAlignment w:val="bottom"/>
            </w:pPr>
            <w:r>
              <w:rPr>
                <w:rFonts w:ascii="Arial" w:eastAsia="宋体" w:hAnsi="Arial" w:cs="Arial"/>
                <w:color w:val="000000"/>
                <w:sz w:val="17"/>
                <w:szCs w:val="17"/>
              </w:rPr>
              <w:t>Corporate</w:t>
            </w:r>
            <w:r>
              <w:rPr>
                <w:rFonts w:ascii="Arial" w:eastAsia="宋体" w:hAnsi="Arial" w:cs="Arial"/>
                <w:color w:val="000000"/>
                <w:sz w:val="11"/>
                <w:szCs w:val="11"/>
              </w:rPr>
              <w:t>(3)</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7395" w14:textId="77777777" w:rsidR="00066C63" w:rsidRDefault="009656F6">
            <w:pPr>
              <w:jc w:val="right"/>
              <w:textAlignment w:val="bottom"/>
            </w:pPr>
            <w:r>
              <w:rPr>
                <w:rFonts w:ascii="Arial" w:eastAsia="宋体" w:hAnsi="Arial" w:cs="Arial"/>
                <w:color w:val="000000"/>
                <w:sz w:val="17"/>
                <w:szCs w:val="17"/>
              </w:rPr>
              <w:t>14 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7396"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397" w14:textId="77777777" w:rsidR="00066C63" w:rsidRDefault="009656F6">
            <w:pPr>
              <w:jc w:val="right"/>
              <w:textAlignment w:val="bottom"/>
            </w:pPr>
            <w:r>
              <w:rPr>
                <w:rFonts w:ascii="Arial" w:eastAsia="宋体" w:hAnsi="Arial" w:cs="Arial"/>
                <w:color w:val="000000"/>
                <w:sz w:val="17"/>
                <w:szCs w:val="17"/>
              </w:rPr>
              <w:t>(18)</w:t>
            </w:r>
          </w:p>
        </w:tc>
        <w:tc>
          <w:tcPr>
            <w:tcW w:w="0" w:type="auto"/>
            <w:tcBorders>
              <w:top w:val="single" w:sz="8" w:space="0" w:color="808080"/>
            </w:tcBorders>
            <w:shd w:val="clear" w:color="auto" w:fill="auto"/>
            <w:tcMar>
              <w:top w:w="40" w:type="dxa"/>
              <w:left w:w="0" w:type="dxa"/>
              <w:bottom w:w="40" w:type="dxa"/>
              <w:right w:w="20" w:type="dxa"/>
            </w:tcMar>
            <w:vAlign w:val="bottom"/>
          </w:tcPr>
          <w:p w14:paraId="669C7398"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399" w14:textId="77777777" w:rsidR="00066C63" w:rsidRDefault="009656F6">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39A"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39B" w14:textId="77777777" w:rsidR="00066C63" w:rsidRDefault="009656F6">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39C" w14:textId="77777777" w:rsidR="00066C63" w:rsidRDefault="00066C63">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739D" w14:textId="77777777" w:rsidR="00066C63" w:rsidRDefault="00066C63">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739E" w14:textId="77777777" w:rsidR="00066C63" w:rsidRDefault="009656F6">
            <w:pPr>
              <w:jc w:val="right"/>
              <w:textAlignment w:val="bottom"/>
            </w:pPr>
            <w:r>
              <w:rPr>
                <w:rFonts w:ascii="Arial" w:eastAsia="宋体" w:hAnsi="Arial" w:cs="Arial"/>
                <w:color w:val="000000"/>
                <w:sz w:val="17"/>
                <w:szCs w:val="17"/>
              </w:rPr>
              <w:t>53 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739F"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3A0" w14:textId="77777777" w:rsidR="00066C63" w:rsidRDefault="009656F6">
            <w:pPr>
              <w:jc w:val="right"/>
              <w:textAlignment w:val="bottom"/>
            </w:pPr>
            <w:r>
              <w:rPr>
                <w:rFonts w:ascii="Arial" w:eastAsia="宋体" w:hAnsi="Arial" w:cs="Arial"/>
                <w:color w:val="000000"/>
                <w:sz w:val="17"/>
                <w:szCs w:val="17"/>
              </w:rPr>
              <w:t>(7)</w:t>
            </w:r>
          </w:p>
        </w:tc>
        <w:tc>
          <w:tcPr>
            <w:tcW w:w="0" w:type="auto"/>
            <w:tcBorders>
              <w:top w:val="single" w:sz="8" w:space="0" w:color="808080"/>
            </w:tcBorders>
            <w:shd w:val="clear" w:color="auto" w:fill="auto"/>
            <w:tcMar>
              <w:top w:w="40" w:type="dxa"/>
              <w:left w:w="0" w:type="dxa"/>
              <w:bottom w:w="40" w:type="dxa"/>
              <w:right w:w="20" w:type="dxa"/>
            </w:tcMar>
            <w:vAlign w:val="bottom"/>
          </w:tcPr>
          <w:p w14:paraId="669C73A1"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3A2" w14:textId="77777777" w:rsidR="00066C63" w:rsidRDefault="009656F6">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3A3"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3A4" w14:textId="77777777" w:rsidR="00066C63" w:rsidRDefault="009656F6">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3A5" w14:textId="77777777" w:rsidR="00066C63" w:rsidRDefault="00066C63">
            <w:pPr>
              <w:jc w:val="right"/>
              <w:rPr>
                <w:rFonts w:ascii="宋体"/>
              </w:rPr>
            </w:pPr>
          </w:p>
        </w:tc>
      </w:tr>
      <w:tr w:rsidR="00066C63" w14:paraId="669C73BD"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3A7" w14:textId="77777777" w:rsidR="00066C63" w:rsidRDefault="009656F6">
            <w:pPr>
              <w:textAlignment w:val="bottom"/>
            </w:pPr>
            <w:r>
              <w:rPr>
                <w:rFonts w:ascii="Arial" w:eastAsia="宋体" w:hAnsi="Arial" w:cs="Arial"/>
                <w:b/>
                <w:bCs/>
                <w:color w:val="000000"/>
                <w:sz w:val="17"/>
                <w:szCs w:val="17"/>
              </w:rPr>
              <w:t>TOTAL NIKE, INC. 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669C73A8"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669C73A9" w14:textId="77777777" w:rsidR="00066C63" w:rsidRDefault="009656F6">
            <w:pPr>
              <w:jc w:val="right"/>
              <w:textAlignment w:val="bottom"/>
            </w:pPr>
            <w:r>
              <w:rPr>
                <w:rFonts w:ascii="Arial" w:eastAsia="宋体" w:hAnsi="Arial" w:cs="Arial"/>
                <w:b/>
                <w:bCs/>
                <w:color w:val="000000"/>
                <w:sz w:val="17"/>
                <w:szCs w:val="17"/>
              </w:rPr>
              <w:t>10,357</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73AA" w14:textId="77777777" w:rsidR="00066C63" w:rsidRDefault="00066C63">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69C73AB"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69C73AC" w14:textId="77777777" w:rsidR="00066C63" w:rsidRDefault="009656F6">
            <w:pPr>
              <w:jc w:val="right"/>
              <w:textAlignment w:val="bottom"/>
            </w:pPr>
            <w:r>
              <w:rPr>
                <w:rFonts w:ascii="Arial" w:eastAsia="宋体" w:hAnsi="Arial" w:cs="Arial"/>
                <w:b/>
                <w:bCs/>
                <w:color w:val="000000"/>
                <w:sz w:val="17"/>
                <w:szCs w:val="17"/>
              </w:rPr>
              <w:t>10,104</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73AD" w14:textId="77777777" w:rsidR="00066C63" w:rsidRDefault="00066C63">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73AE" w14:textId="77777777" w:rsidR="00066C63" w:rsidRDefault="009656F6">
            <w:pPr>
              <w:jc w:val="right"/>
              <w:textAlignment w:val="bottom"/>
            </w:pPr>
            <w:r>
              <w:rPr>
                <w:rFonts w:ascii="Arial" w:eastAsia="宋体" w:hAnsi="Arial" w:cs="Arial"/>
                <w:b/>
                <w:bCs/>
                <w:color w:val="000000"/>
                <w:sz w:val="17"/>
                <w:szCs w:val="17"/>
              </w:rPr>
              <w:t>3</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73AF" w14:textId="77777777" w:rsidR="00066C63" w:rsidRDefault="009656F6">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73B0" w14:textId="77777777" w:rsidR="00066C63" w:rsidRDefault="009656F6">
            <w:pPr>
              <w:jc w:val="right"/>
              <w:textAlignment w:val="bottom"/>
            </w:pPr>
            <w:r>
              <w:rPr>
                <w:rFonts w:ascii="Arial" w:eastAsia="宋体" w:hAnsi="Arial" w:cs="Arial"/>
                <w:b/>
                <w:bCs/>
                <w:color w:val="000000"/>
                <w:sz w:val="17"/>
                <w:szCs w:val="17"/>
              </w:rPr>
              <w:t>-1</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73B1" w14:textId="77777777" w:rsidR="00066C63" w:rsidRDefault="009656F6">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tcPr>
          <w:p w14:paraId="669C73B2" w14:textId="77777777" w:rsidR="00066C63" w:rsidRDefault="00066C63">
            <w:pPr>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669C73B3"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669C73B4" w14:textId="77777777" w:rsidR="00066C63" w:rsidRDefault="009656F6">
            <w:pPr>
              <w:jc w:val="right"/>
              <w:textAlignment w:val="bottom"/>
            </w:pPr>
            <w:r>
              <w:rPr>
                <w:rFonts w:ascii="Arial" w:eastAsia="宋体" w:hAnsi="Arial" w:cs="Arial"/>
                <w:b/>
                <w:bCs/>
                <w:color w:val="000000"/>
                <w:sz w:val="17"/>
                <w:szCs w:val="17"/>
              </w:rPr>
              <w:t>32,194</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73B5" w14:textId="77777777" w:rsidR="00066C63" w:rsidRDefault="00066C63">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69C73B6"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69C73B7" w14:textId="77777777" w:rsidR="00066C63" w:rsidRDefault="009656F6">
            <w:pPr>
              <w:jc w:val="right"/>
              <w:textAlignment w:val="bottom"/>
            </w:pPr>
            <w:r>
              <w:rPr>
                <w:rFonts w:ascii="Arial" w:eastAsia="宋体" w:hAnsi="Arial" w:cs="Arial"/>
                <w:b/>
                <w:bCs/>
                <w:color w:val="000000"/>
                <w:sz w:val="17"/>
                <w:szCs w:val="17"/>
              </w:rPr>
              <w:t>31,090</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73B8" w14:textId="77777777" w:rsidR="00066C63" w:rsidRDefault="00066C63">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73B9" w14:textId="77777777" w:rsidR="00066C63" w:rsidRDefault="009656F6">
            <w:pPr>
              <w:jc w:val="right"/>
              <w:textAlignment w:val="bottom"/>
            </w:pPr>
            <w:r>
              <w:rPr>
                <w:rFonts w:ascii="Arial" w:eastAsia="宋体" w:hAnsi="Arial" w:cs="Arial"/>
                <w:b/>
                <w:bCs/>
                <w:color w:val="000000"/>
                <w:sz w:val="17"/>
                <w:szCs w:val="17"/>
              </w:rPr>
              <w:t>4</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73BA" w14:textId="77777777" w:rsidR="00066C63" w:rsidRDefault="009656F6">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73BB" w14:textId="77777777" w:rsidR="00066C63" w:rsidRDefault="009656F6">
            <w:pPr>
              <w:jc w:val="right"/>
              <w:textAlignment w:val="bottom"/>
            </w:pPr>
            <w:r>
              <w:rPr>
                <w:rFonts w:ascii="Arial" w:eastAsia="宋体" w:hAnsi="Arial" w:cs="Arial"/>
                <w:b/>
                <w:bCs/>
                <w:color w:val="000000"/>
                <w:sz w:val="17"/>
                <w:szCs w:val="17"/>
              </w:rPr>
              <w:t>2</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73BC" w14:textId="77777777" w:rsidR="00066C63" w:rsidRDefault="009656F6">
            <w:pPr>
              <w:jc w:val="right"/>
              <w:textAlignment w:val="bottom"/>
            </w:pPr>
            <w:r>
              <w:rPr>
                <w:rFonts w:ascii="Arial" w:eastAsia="宋体" w:hAnsi="Arial" w:cs="Arial"/>
                <w:b/>
                <w:bCs/>
                <w:color w:val="000000"/>
                <w:sz w:val="17"/>
                <w:szCs w:val="17"/>
              </w:rPr>
              <w:t>%</w:t>
            </w:r>
          </w:p>
        </w:tc>
      </w:tr>
      <w:tr w:rsidR="00066C63" w14:paraId="669C73C8"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3BE" w14:textId="77777777" w:rsidR="00066C63" w:rsidRDefault="009656F6">
            <w:pPr>
              <w:textAlignment w:val="bottom"/>
            </w:pPr>
            <w:r>
              <w:rPr>
                <w:rFonts w:ascii="Arial" w:eastAsia="宋体" w:hAnsi="Arial" w:cs="Arial"/>
                <w:b/>
                <w:bCs/>
                <w:i/>
                <w:iCs/>
                <w:color w:val="000000"/>
                <w:sz w:val="17"/>
                <w:szCs w:val="17"/>
              </w:rPr>
              <w:t>Supplemental N</w:t>
            </w:r>
            <w:r>
              <w:rPr>
                <w:rFonts w:ascii="Arial" w:eastAsia="宋体" w:hAnsi="Arial" w:cs="Arial"/>
                <w:b/>
                <w:bCs/>
                <w:i/>
                <w:iCs/>
                <w:color w:val="000000"/>
                <w:sz w:val="17"/>
                <w:szCs w:val="17"/>
              </w:rPr>
              <w:t>IKE Brand Revenues Details:</w:t>
            </w:r>
          </w:p>
        </w:tc>
        <w:tc>
          <w:tcPr>
            <w:tcW w:w="0" w:type="auto"/>
            <w:gridSpan w:val="3"/>
            <w:tcBorders>
              <w:top w:val="single" w:sz="8" w:space="0" w:color="E87722"/>
            </w:tcBorders>
            <w:shd w:val="clear" w:color="auto" w:fill="FFF1E7"/>
            <w:tcMar>
              <w:top w:w="0" w:type="dxa"/>
              <w:left w:w="20" w:type="dxa"/>
              <w:bottom w:w="0" w:type="dxa"/>
              <w:right w:w="20" w:type="dxa"/>
            </w:tcMar>
          </w:tcPr>
          <w:p w14:paraId="669C73BF"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73C0"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73C1"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73C2"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73C3" w14:textId="77777777" w:rsidR="00066C63" w:rsidRDefault="00066C63">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669C73C4"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73C5"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73C6"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73C7" w14:textId="77777777" w:rsidR="00066C63" w:rsidRDefault="00066C63">
            <w:pPr>
              <w:rPr>
                <w:rFonts w:ascii="宋体"/>
              </w:rPr>
            </w:pPr>
          </w:p>
        </w:tc>
      </w:tr>
      <w:tr w:rsidR="00066C63" w14:paraId="669C73D3"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73C9" w14:textId="77777777" w:rsidR="00066C63" w:rsidRDefault="009656F6">
            <w:pPr>
              <w:textAlignment w:val="bottom"/>
            </w:pPr>
            <w:r>
              <w:rPr>
                <w:rFonts w:ascii="Arial" w:eastAsia="宋体" w:hAnsi="Arial" w:cs="Arial"/>
                <w:b/>
                <w:bCs/>
                <w:color w:val="000000"/>
                <w:sz w:val="17"/>
                <w:szCs w:val="17"/>
              </w:rPr>
              <w:t>NIKE Brand Revenues by:</w:t>
            </w:r>
          </w:p>
        </w:tc>
        <w:tc>
          <w:tcPr>
            <w:tcW w:w="0" w:type="auto"/>
            <w:gridSpan w:val="3"/>
            <w:tcBorders>
              <w:top w:val="single" w:sz="8" w:space="0" w:color="808080"/>
            </w:tcBorders>
            <w:shd w:val="clear" w:color="auto" w:fill="FFF1E7"/>
            <w:tcMar>
              <w:top w:w="0" w:type="dxa"/>
              <w:left w:w="20" w:type="dxa"/>
              <w:bottom w:w="0" w:type="dxa"/>
              <w:right w:w="20" w:type="dxa"/>
            </w:tcMar>
          </w:tcPr>
          <w:p w14:paraId="669C73CA" w14:textId="77777777" w:rsidR="00066C63" w:rsidRDefault="00066C63">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73CB" w14:textId="77777777" w:rsidR="00066C63" w:rsidRDefault="00066C63">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73CC" w14:textId="77777777" w:rsidR="00066C63" w:rsidRDefault="00066C63">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73CD" w14:textId="77777777" w:rsidR="00066C63" w:rsidRDefault="00066C63">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73CE" w14:textId="77777777" w:rsidR="00066C63" w:rsidRDefault="00066C63">
            <w:pPr>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669C73CF" w14:textId="77777777" w:rsidR="00066C63" w:rsidRDefault="00066C63">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73D0" w14:textId="77777777" w:rsidR="00066C63" w:rsidRDefault="00066C63">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73D1" w14:textId="77777777" w:rsidR="00066C63" w:rsidRDefault="00066C63">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73D2" w14:textId="77777777" w:rsidR="00066C63" w:rsidRDefault="00066C63">
            <w:pPr>
              <w:rPr>
                <w:rFonts w:ascii="宋体"/>
              </w:rPr>
            </w:pPr>
          </w:p>
        </w:tc>
      </w:tr>
      <w:tr w:rsidR="00066C63" w14:paraId="669C73EA"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73D4" w14:textId="77777777" w:rsidR="00066C63" w:rsidRDefault="009656F6">
            <w:pPr>
              <w:textAlignment w:val="bottom"/>
            </w:pPr>
            <w:r>
              <w:rPr>
                <w:rFonts w:ascii="Arial" w:eastAsia="宋体" w:hAnsi="Arial" w:cs="Arial"/>
                <w:color w:val="000000"/>
                <w:sz w:val="17"/>
                <w:szCs w:val="17"/>
              </w:rPr>
              <w:t>Sales to Wholesale Customers</w:t>
            </w:r>
          </w:p>
        </w:tc>
        <w:tc>
          <w:tcPr>
            <w:tcW w:w="0" w:type="auto"/>
            <w:tcBorders>
              <w:top w:val="single" w:sz="8" w:space="0" w:color="808080"/>
            </w:tcBorders>
            <w:shd w:val="clear" w:color="auto" w:fill="FFF1E7"/>
            <w:tcMar>
              <w:top w:w="40" w:type="dxa"/>
              <w:left w:w="20" w:type="dxa"/>
              <w:bottom w:w="40" w:type="dxa"/>
              <w:right w:w="0" w:type="dxa"/>
            </w:tcMar>
            <w:vAlign w:val="bottom"/>
          </w:tcPr>
          <w:p w14:paraId="669C73D5"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669C73D6" w14:textId="77777777" w:rsidR="00066C63" w:rsidRDefault="009656F6">
            <w:pPr>
              <w:jc w:val="right"/>
              <w:textAlignment w:val="bottom"/>
            </w:pPr>
            <w:r>
              <w:rPr>
                <w:rFonts w:ascii="Arial" w:eastAsia="宋体" w:hAnsi="Arial" w:cs="Arial"/>
                <w:color w:val="000000"/>
                <w:sz w:val="17"/>
                <w:szCs w:val="17"/>
              </w:rPr>
              <w:t>5,814 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73D7" w14:textId="77777777" w:rsidR="00066C63" w:rsidRDefault="00066C63">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669C73D8"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669C73D9" w14:textId="77777777" w:rsidR="00066C63" w:rsidRDefault="009656F6">
            <w:pPr>
              <w:jc w:val="right"/>
              <w:textAlignment w:val="bottom"/>
            </w:pPr>
            <w:r>
              <w:rPr>
                <w:rFonts w:ascii="Arial" w:eastAsia="宋体" w:hAnsi="Arial" w:cs="Arial"/>
                <w:color w:val="000000"/>
                <w:sz w:val="17"/>
                <w:szCs w:val="17"/>
              </w:rPr>
              <w:t>6,311 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3DA"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3DB" w14:textId="77777777" w:rsidR="00066C63" w:rsidRDefault="009656F6">
            <w:pPr>
              <w:jc w:val="right"/>
              <w:textAlignment w:val="bottom"/>
            </w:pPr>
            <w:r>
              <w:rPr>
                <w:rFonts w:ascii="Arial" w:eastAsia="宋体" w:hAnsi="Arial" w:cs="Arial"/>
                <w:color w:val="000000"/>
                <w:sz w:val="17"/>
                <w:szCs w:val="17"/>
              </w:rPr>
              <w:t>-8 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3DC" w14:textId="77777777" w:rsidR="00066C63" w:rsidRDefault="009656F6">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3DD" w14:textId="77777777" w:rsidR="00066C63" w:rsidRDefault="009656F6">
            <w:pPr>
              <w:jc w:val="right"/>
              <w:textAlignment w:val="bottom"/>
            </w:pPr>
            <w:r>
              <w:rPr>
                <w:rFonts w:ascii="Arial" w:eastAsia="宋体" w:hAnsi="Arial" w:cs="Arial"/>
                <w:color w:val="000000"/>
                <w:sz w:val="17"/>
                <w:szCs w:val="17"/>
              </w:rPr>
              <w:t>-11 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3DE" w14:textId="77777777" w:rsidR="00066C63" w:rsidRDefault="009656F6">
            <w:pPr>
              <w:jc w:val="right"/>
              <w:textAlignment w:val="bottom"/>
            </w:pPr>
            <w:r>
              <w:rPr>
                <w:rFonts w:ascii="Arial" w:eastAsia="宋体" w:hAnsi="Arial" w:cs="Arial"/>
                <w:color w:val="000000"/>
                <w:sz w:val="17"/>
                <w:szCs w:val="17"/>
              </w:rPr>
              <w:t>%</w:t>
            </w:r>
          </w:p>
        </w:tc>
        <w:tc>
          <w:tcPr>
            <w:tcW w:w="0" w:type="auto"/>
            <w:gridSpan w:val="3"/>
            <w:tcBorders>
              <w:top w:val="single" w:sz="8" w:space="0" w:color="808080"/>
            </w:tcBorders>
            <w:shd w:val="clear" w:color="auto" w:fill="auto"/>
            <w:tcMar>
              <w:top w:w="0" w:type="dxa"/>
              <w:left w:w="20" w:type="dxa"/>
              <w:bottom w:w="0" w:type="dxa"/>
              <w:right w:w="20" w:type="dxa"/>
            </w:tcMar>
          </w:tcPr>
          <w:p w14:paraId="669C73DF" w14:textId="77777777" w:rsidR="00066C63" w:rsidRDefault="00066C63">
            <w:pPr>
              <w:rPr>
                <w:rFonts w:ascii="宋体"/>
              </w:rPr>
            </w:pPr>
          </w:p>
        </w:tc>
        <w:tc>
          <w:tcPr>
            <w:tcW w:w="0" w:type="auto"/>
            <w:tcBorders>
              <w:top w:val="single" w:sz="8" w:space="0" w:color="808080"/>
            </w:tcBorders>
            <w:shd w:val="clear" w:color="auto" w:fill="FFF1E7"/>
            <w:tcMar>
              <w:top w:w="40" w:type="dxa"/>
              <w:left w:w="20" w:type="dxa"/>
              <w:bottom w:w="40" w:type="dxa"/>
              <w:right w:w="0" w:type="dxa"/>
            </w:tcMar>
            <w:vAlign w:val="bottom"/>
          </w:tcPr>
          <w:p w14:paraId="669C73E0"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669C73E1" w14:textId="77777777" w:rsidR="00066C63" w:rsidRDefault="009656F6">
            <w:pPr>
              <w:jc w:val="right"/>
              <w:textAlignment w:val="bottom"/>
            </w:pPr>
            <w:r>
              <w:rPr>
                <w:rFonts w:ascii="Arial" w:eastAsia="宋体" w:hAnsi="Arial" w:cs="Arial"/>
                <w:color w:val="000000"/>
                <w:sz w:val="17"/>
                <w:szCs w:val="17"/>
              </w:rPr>
              <w:t>18,601 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73E2" w14:textId="77777777" w:rsidR="00066C63" w:rsidRDefault="00066C63">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669C73E3"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669C73E4" w14:textId="77777777" w:rsidR="00066C63" w:rsidRDefault="009656F6">
            <w:pPr>
              <w:jc w:val="right"/>
              <w:textAlignment w:val="bottom"/>
            </w:pPr>
            <w:r>
              <w:rPr>
                <w:rFonts w:ascii="Arial" w:eastAsia="宋体" w:hAnsi="Arial" w:cs="Arial"/>
                <w:color w:val="000000"/>
                <w:sz w:val="17"/>
                <w:szCs w:val="17"/>
              </w:rPr>
              <w:t>19,731 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3E5"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3E6" w14:textId="77777777" w:rsidR="00066C63" w:rsidRDefault="009656F6">
            <w:pPr>
              <w:jc w:val="right"/>
              <w:textAlignment w:val="bottom"/>
            </w:pPr>
            <w:r>
              <w:rPr>
                <w:rFonts w:ascii="Arial" w:eastAsia="宋体" w:hAnsi="Arial" w:cs="Arial"/>
                <w:color w:val="000000"/>
                <w:sz w:val="17"/>
                <w:szCs w:val="17"/>
              </w:rPr>
              <w:t>-6 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3E7" w14:textId="77777777" w:rsidR="00066C63" w:rsidRDefault="009656F6">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3E8" w14:textId="77777777" w:rsidR="00066C63" w:rsidRDefault="009656F6">
            <w:pPr>
              <w:jc w:val="right"/>
              <w:textAlignment w:val="bottom"/>
            </w:pPr>
            <w:r>
              <w:rPr>
                <w:rFonts w:ascii="Arial" w:eastAsia="宋体" w:hAnsi="Arial" w:cs="Arial"/>
                <w:color w:val="000000"/>
                <w:sz w:val="17"/>
                <w:szCs w:val="17"/>
              </w:rPr>
              <w:t>-7 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3E9" w14:textId="77777777" w:rsidR="00066C63" w:rsidRDefault="009656F6">
            <w:pPr>
              <w:jc w:val="right"/>
              <w:textAlignment w:val="bottom"/>
            </w:pPr>
            <w:r>
              <w:rPr>
                <w:rFonts w:ascii="Arial" w:eastAsia="宋体" w:hAnsi="Arial" w:cs="Arial"/>
                <w:color w:val="000000"/>
                <w:sz w:val="17"/>
                <w:szCs w:val="17"/>
              </w:rPr>
              <w:t>%</w:t>
            </w:r>
          </w:p>
        </w:tc>
      </w:tr>
      <w:tr w:rsidR="00066C63" w14:paraId="669C73FD"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73EB" w14:textId="77777777" w:rsidR="00066C63" w:rsidRDefault="009656F6">
            <w:pPr>
              <w:textAlignment w:val="bottom"/>
            </w:pPr>
            <w:r>
              <w:rPr>
                <w:rFonts w:ascii="Arial" w:eastAsia="宋体" w:hAnsi="Arial" w:cs="Arial"/>
                <w:color w:val="000000"/>
                <w:sz w:val="17"/>
                <w:szCs w:val="17"/>
              </w:rPr>
              <w:t xml:space="preserve">Sales through </w:t>
            </w:r>
            <w:r>
              <w:rPr>
                <w:rFonts w:ascii="Arial" w:eastAsia="宋体" w:hAnsi="Arial" w:cs="Arial"/>
                <w:color w:val="000000"/>
                <w:sz w:val="17"/>
                <w:szCs w:val="17"/>
              </w:rPr>
              <w:t>NIKE Direct</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73EC" w14:textId="77777777" w:rsidR="00066C63" w:rsidRDefault="009656F6">
            <w:pPr>
              <w:jc w:val="right"/>
              <w:textAlignment w:val="bottom"/>
            </w:pPr>
            <w:r>
              <w:rPr>
                <w:rFonts w:ascii="Arial" w:eastAsia="宋体" w:hAnsi="Arial" w:cs="Arial"/>
                <w:color w:val="000000"/>
                <w:sz w:val="17"/>
                <w:szCs w:val="17"/>
              </w:rPr>
              <w:t>3,953 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73ED"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3EE" w14:textId="77777777" w:rsidR="00066C63" w:rsidRDefault="009656F6">
            <w:pPr>
              <w:jc w:val="right"/>
              <w:textAlignment w:val="bottom"/>
            </w:pPr>
            <w:r>
              <w:rPr>
                <w:rFonts w:ascii="Arial" w:eastAsia="宋体" w:hAnsi="Arial" w:cs="Arial"/>
                <w:color w:val="000000"/>
                <w:sz w:val="17"/>
                <w:szCs w:val="17"/>
              </w:rPr>
              <w:t>3,297 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3EF"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3F0" w14:textId="77777777" w:rsidR="00066C63" w:rsidRDefault="009656F6">
            <w:pPr>
              <w:jc w:val="right"/>
              <w:textAlignment w:val="bottom"/>
            </w:pPr>
            <w:r>
              <w:rPr>
                <w:rFonts w:ascii="Arial" w:eastAsia="宋体" w:hAnsi="Arial" w:cs="Arial"/>
                <w:color w:val="000000"/>
                <w:sz w:val="17"/>
                <w:szCs w:val="17"/>
              </w:rPr>
              <w:t>20 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3F1" w14:textId="77777777" w:rsidR="00066C63" w:rsidRDefault="009656F6">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3F2" w14:textId="77777777" w:rsidR="00066C63" w:rsidRDefault="009656F6">
            <w:pPr>
              <w:jc w:val="right"/>
              <w:textAlignment w:val="bottom"/>
            </w:pPr>
            <w:r>
              <w:rPr>
                <w:rFonts w:ascii="Arial" w:eastAsia="宋体" w:hAnsi="Arial" w:cs="Arial"/>
                <w:color w:val="000000"/>
                <w:sz w:val="17"/>
                <w:szCs w:val="17"/>
              </w:rPr>
              <w:t>16 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3F3" w14:textId="77777777" w:rsidR="00066C63" w:rsidRDefault="009656F6">
            <w:pPr>
              <w:jc w:val="right"/>
              <w:textAlignment w:val="bottom"/>
            </w:pPr>
            <w:r>
              <w:rPr>
                <w:rFonts w:ascii="Arial" w:eastAsia="宋体" w:hAnsi="Arial" w:cs="Arial"/>
                <w:color w:val="000000"/>
                <w:sz w:val="17"/>
                <w:szCs w:val="17"/>
              </w:rPr>
              <w:t>%</w:t>
            </w:r>
          </w:p>
        </w:tc>
        <w:tc>
          <w:tcPr>
            <w:tcW w:w="0" w:type="auto"/>
            <w:gridSpan w:val="3"/>
            <w:tcBorders>
              <w:top w:val="single" w:sz="8" w:space="0" w:color="808080"/>
            </w:tcBorders>
            <w:shd w:val="clear" w:color="auto" w:fill="auto"/>
            <w:tcMar>
              <w:top w:w="0" w:type="dxa"/>
              <w:left w:w="20" w:type="dxa"/>
              <w:bottom w:w="0" w:type="dxa"/>
              <w:right w:w="20" w:type="dxa"/>
            </w:tcMar>
          </w:tcPr>
          <w:p w14:paraId="669C73F4" w14:textId="77777777" w:rsidR="00066C63" w:rsidRDefault="00066C63">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73F5" w14:textId="77777777" w:rsidR="00066C63" w:rsidRDefault="009656F6">
            <w:pPr>
              <w:jc w:val="right"/>
              <w:textAlignment w:val="bottom"/>
            </w:pPr>
            <w:r>
              <w:rPr>
                <w:rFonts w:ascii="Arial" w:eastAsia="宋体" w:hAnsi="Arial" w:cs="Arial"/>
                <w:color w:val="000000"/>
                <w:sz w:val="17"/>
                <w:szCs w:val="17"/>
              </w:rPr>
              <w:t>11,913 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73F6"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3F7" w14:textId="77777777" w:rsidR="00066C63" w:rsidRDefault="009656F6">
            <w:pPr>
              <w:jc w:val="right"/>
              <w:textAlignment w:val="bottom"/>
            </w:pPr>
            <w:r>
              <w:rPr>
                <w:rFonts w:ascii="Arial" w:eastAsia="宋体" w:hAnsi="Arial" w:cs="Arial"/>
                <w:color w:val="000000"/>
                <w:sz w:val="17"/>
                <w:szCs w:val="17"/>
              </w:rPr>
              <w:t>9,801 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3F8"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3F9" w14:textId="77777777" w:rsidR="00066C63" w:rsidRDefault="009656F6">
            <w:pPr>
              <w:jc w:val="right"/>
              <w:textAlignment w:val="bottom"/>
            </w:pPr>
            <w:r>
              <w:rPr>
                <w:rFonts w:ascii="Arial" w:eastAsia="宋体" w:hAnsi="Arial" w:cs="Arial"/>
                <w:color w:val="000000"/>
                <w:sz w:val="17"/>
                <w:szCs w:val="17"/>
              </w:rPr>
              <w:t>22 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3FA" w14:textId="77777777" w:rsidR="00066C63" w:rsidRDefault="009656F6">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3FB" w14:textId="77777777" w:rsidR="00066C63" w:rsidRDefault="009656F6">
            <w:pPr>
              <w:jc w:val="right"/>
              <w:textAlignment w:val="bottom"/>
            </w:pPr>
            <w:r>
              <w:rPr>
                <w:rFonts w:ascii="Arial" w:eastAsia="宋体" w:hAnsi="Arial" w:cs="Arial"/>
                <w:color w:val="000000"/>
                <w:sz w:val="17"/>
                <w:szCs w:val="17"/>
              </w:rPr>
              <w:t>20 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3FC" w14:textId="77777777" w:rsidR="00066C63" w:rsidRDefault="009656F6">
            <w:pPr>
              <w:jc w:val="right"/>
              <w:textAlignment w:val="bottom"/>
            </w:pPr>
            <w:r>
              <w:rPr>
                <w:rFonts w:ascii="Arial" w:eastAsia="宋体" w:hAnsi="Arial" w:cs="Arial"/>
                <w:color w:val="000000"/>
                <w:sz w:val="17"/>
                <w:szCs w:val="17"/>
              </w:rPr>
              <w:t>%</w:t>
            </w:r>
          </w:p>
        </w:tc>
      </w:tr>
      <w:tr w:rsidR="00066C63" w14:paraId="669C7410"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73FE" w14:textId="77777777" w:rsidR="00066C63" w:rsidRDefault="009656F6">
            <w:pPr>
              <w:textAlignment w:val="bottom"/>
            </w:pPr>
            <w:r>
              <w:rPr>
                <w:rFonts w:ascii="Arial" w:eastAsia="宋体" w:hAnsi="Arial" w:cs="Arial"/>
                <w:color w:val="000000"/>
                <w:sz w:val="17"/>
                <w:szCs w:val="17"/>
              </w:rPr>
              <w:t>Global Brand Divisions</w:t>
            </w:r>
            <w:r>
              <w:rPr>
                <w:rFonts w:ascii="Arial" w:eastAsia="宋体" w:hAnsi="Arial" w:cs="Arial"/>
                <w:color w:val="000000"/>
                <w:sz w:val="11"/>
                <w:szCs w:val="11"/>
              </w:rPr>
              <w:t>(2)</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73FF" w14:textId="77777777" w:rsidR="00066C63" w:rsidRDefault="009656F6">
            <w:pPr>
              <w:jc w:val="right"/>
              <w:textAlignment w:val="bottom"/>
            </w:pPr>
            <w:r>
              <w:rPr>
                <w:rFonts w:ascii="Arial" w:eastAsia="宋体" w:hAnsi="Arial" w:cs="Arial"/>
                <w:color w:val="000000"/>
                <w:sz w:val="17"/>
                <w:szCs w:val="17"/>
              </w:rPr>
              <w:t>6 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7400"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401" w14:textId="77777777" w:rsidR="00066C63" w:rsidRDefault="009656F6">
            <w:pPr>
              <w:jc w:val="right"/>
              <w:textAlignment w:val="bottom"/>
            </w:pPr>
            <w:r>
              <w:rPr>
                <w:rFonts w:ascii="Arial" w:eastAsia="宋体" w:hAnsi="Arial" w:cs="Arial"/>
                <w:color w:val="000000"/>
                <w:sz w:val="17"/>
                <w:szCs w:val="17"/>
              </w:rPr>
              <w:t>8 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402"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403" w14:textId="77777777" w:rsidR="00066C63" w:rsidRDefault="009656F6">
            <w:pPr>
              <w:jc w:val="right"/>
              <w:textAlignment w:val="bottom"/>
            </w:pPr>
            <w:r>
              <w:rPr>
                <w:rFonts w:ascii="Arial" w:eastAsia="宋体" w:hAnsi="Arial" w:cs="Arial"/>
                <w:color w:val="000000"/>
                <w:sz w:val="17"/>
                <w:szCs w:val="17"/>
              </w:rPr>
              <w:t>-25 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404" w14:textId="77777777" w:rsidR="00066C63" w:rsidRDefault="009656F6">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405" w14:textId="77777777" w:rsidR="00066C63" w:rsidRDefault="009656F6">
            <w:pPr>
              <w:jc w:val="right"/>
              <w:textAlignment w:val="bottom"/>
            </w:pPr>
            <w:r>
              <w:rPr>
                <w:rFonts w:ascii="Arial" w:eastAsia="宋体" w:hAnsi="Arial" w:cs="Arial"/>
                <w:color w:val="000000"/>
                <w:sz w:val="17"/>
                <w:szCs w:val="17"/>
              </w:rPr>
              <w:t>-32 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406" w14:textId="77777777" w:rsidR="00066C63" w:rsidRDefault="009656F6">
            <w:pPr>
              <w:jc w:val="right"/>
              <w:textAlignment w:val="bottom"/>
            </w:pPr>
            <w:r>
              <w:rPr>
                <w:rFonts w:ascii="Arial" w:eastAsia="宋体" w:hAnsi="Arial" w:cs="Arial"/>
                <w:color w:val="000000"/>
                <w:sz w:val="17"/>
                <w:szCs w:val="17"/>
              </w:rPr>
              <w:t>%</w:t>
            </w:r>
          </w:p>
        </w:tc>
        <w:tc>
          <w:tcPr>
            <w:tcW w:w="0" w:type="auto"/>
            <w:gridSpan w:val="3"/>
            <w:tcBorders>
              <w:top w:val="single" w:sz="8" w:space="0" w:color="808080"/>
            </w:tcBorders>
            <w:shd w:val="clear" w:color="auto" w:fill="auto"/>
            <w:tcMar>
              <w:top w:w="0" w:type="dxa"/>
              <w:left w:w="20" w:type="dxa"/>
              <w:bottom w:w="0" w:type="dxa"/>
              <w:right w:w="20" w:type="dxa"/>
            </w:tcMar>
          </w:tcPr>
          <w:p w14:paraId="669C7407" w14:textId="77777777" w:rsidR="00066C63" w:rsidRDefault="00066C63">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7408" w14:textId="77777777" w:rsidR="00066C63" w:rsidRDefault="009656F6">
            <w:pPr>
              <w:jc w:val="right"/>
              <w:textAlignment w:val="bottom"/>
            </w:pPr>
            <w:r>
              <w:rPr>
                <w:rFonts w:ascii="Arial" w:eastAsia="宋体" w:hAnsi="Arial" w:cs="Arial"/>
                <w:color w:val="000000"/>
                <w:sz w:val="17"/>
                <w:szCs w:val="17"/>
              </w:rPr>
              <w:t>18 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7409"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40A" w14:textId="77777777" w:rsidR="00066C63" w:rsidRDefault="009656F6">
            <w:pPr>
              <w:jc w:val="right"/>
              <w:textAlignment w:val="bottom"/>
            </w:pPr>
            <w:r>
              <w:rPr>
                <w:rFonts w:ascii="Arial" w:eastAsia="宋体" w:hAnsi="Arial" w:cs="Arial"/>
                <w:color w:val="000000"/>
                <w:sz w:val="17"/>
                <w:szCs w:val="17"/>
              </w:rPr>
              <w:t>24 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40B"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40C" w14:textId="77777777" w:rsidR="00066C63" w:rsidRDefault="009656F6">
            <w:pPr>
              <w:jc w:val="right"/>
              <w:textAlignment w:val="bottom"/>
            </w:pPr>
            <w:r>
              <w:rPr>
                <w:rFonts w:ascii="Arial" w:eastAsia="宋体" w:hAnsi="Arial" w:cs="Arial"/>
                <w:color w:val="000000"/>
                <w:sz w:val="17"/>
                <w:szCs w:val="17"/>
              </w:rPr>
              <w:t>-25 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40D" w14:textId="77777777" w:rsidR="00066C63" w:rsidRDefault="009656F6">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40E" w14:textId="77777777" w:rsidR="00066C63" w:rsidRDefault="009656F6">
            <w:pPr>
              <w:jc w:val="right"/>
              <w:textAlignment w:val="bottom"/>
            </w:pPr>
            <w:r>
              <w:rPr>
                <w:rFonts w:ascii="Arial" w:eastAsia="宋体" w:hAnsi="Arial" w:cs="Arial"/>
                <w:color w:val="000000"/>
                <w:sz w:val="17"/>
                <w:szCs w:val="17"/>
              </w:rPr>
              <w:t>-27 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40F" w14:textId="77777777" w:rsidR="00066C63" w:rsidRDefault="009656F6">
            <w:pPr>
              <w:jc w:val="right"/>
              <w:textAlignment w:val="bottom"/>
            </w:pPr>
            <w:r>
              <w:rPr>
                <w:rFonts w:ascii="Arial" w:eastAsia="宋体" w:hAnsi="Arial" w:cs="Arial"/>
                <w:color w:val="000000"/>
                <w:sz w:val="17"/>
                <w:szCs w:val="17"/>
              </w:rPr>
              <w:t>%</w:t>
            </w:r>
          </w:p>
        </w:tc>
      </w:tr>
      <w:tr w:rsidR="00066C63" w14:paraId="669C7427"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669C7411" w14:textId="77777777" w:rsidR="00066C63" w:rsidRDefault="009656F6">
            <w:pPr>
              <w:textAlignment w:val="bottom"/>
            </w:pPr>
            <w:r>
              <w:rPr>
                <w:rFonts w:ascii="Arial" w:eastAsia="宋体" w:hAnsi="Arial" w:cs="Arial"/>
                <w:b/>
                <w:bCs/>
                <w:color w:val="000000"/>
                <w:sz w:val="17"/>
                <w:szCs w:val="17"/>
              </w:rPr>
              <w:t>TOTAL NIKE BRAND REVENUES</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69C7412"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669C7413" w14:textId="77777777" w:rsidR="00066C63" w:rsidRDefault="009656F6">
            <w:pPr>
              <w:jc w:val="right"/>
              <w:textAlignment w:val="bottom"/>
            </w:pPr>
            <w:r>
              <w:rPr>
                <w:rFonts w:ascii="Arial" w:eastAsia="宋体" w:hAnsi="Arial" w:cs="Arial"/>
                <w:b/>
                <w:bCs/>
                <w:color w:val="000000"/>
                <w:sz w:val="17"/>
                <w:szCs w:val="17"/>
              </w:rPr>
              <w:t>9,773</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69C7414" w14:textId="77777777" w:rsidR="00066C63" w:rsidRDefault="00066C63">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69C7415"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69C7416" w14:textId="77777777" w:rsidR="00066C63" w:rsidRDefault="009656F6">
            <w:pPr>
              <w:jc w:val="right"/>
              <w:textAlignment w:val="bottom"/>
            </w:pPr>
            <w:r>
              <w:rPr>
                <w:rFonts w:ascii="Arial" w:eastAsia="宋体" w:hAnsi="Arial" w:cs="Arial"/>
                <w:b/>
                <w:bCs/>
                <w:color w:val="000000"/>
                <w:sz w:val="17"/>
                <w:szCs w:val="17"/>
              </w:rPr>
              <w:t>9,616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69C7417" w14:textId="77777777" w:rsidR="00066C63" w:rsidRDefault="00066C63">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669C7418" w14:textId="77777777" w:rsidR="00066C63" w:rsidRDefault="009656F6">
            <w:pPr>
              <w:jc w:val="right"/>
              <w:textAlignment w:val="bottom"/>
            </w:pPr>
            <w:r>
              <w:rPr>
                <w:rFonts w:ascii="Arial" w:eastAsia="宋体" w:hAnsi="Arial" w:cs="Arial"/>
                <w:b/>
                <w:bCs/>
                <w:color w:val="000000"/>
                <w:sz w:val="17"/>
                <w:szCs w:val="17"/>
              </w:rPr>
              <w:t>2</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69C7419" w14:textId="77777777" w:rsidR="00066C63" w:rsidRDefault="009656F6">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669C741A" w14:textId="77777777" w:rsidR="00066C63" w:rsidRDefault="009656F6">
            <w:pPr>
              <w:jc w:val="right"/>
              <w:textAlignment w:val="bottom"/>
            </w:pPr>
            <w:r>
              <w:rPr>
                <w:rFonts w:ascii="Arial" w:eastAsia="宋体" w:hAnsi="Arial" w:cs="Arial"/>
                <w:b/>
                <w:bCs/>
                <w:color w:val="000000"/>
                <w:sz w:val="17"/>
                <w:szCs w:val="17"/>
              </w:rPr>
              <w:t>-2</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69C741B" w14:textId="77777777" w:rsidR="00066C63" w:rsidRDefault="009656F6">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tcPr>
          <w:p w14:paraId="669C741C" w14:textId="77777777" w:rsidR="00066C63" w:rsidRDefault="00066C63">
            <w:pPr>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69C741D"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669C741E" w14:textId="77777777" w:rsidR="00066C63" w:rsidRDefault="009656F6">
            <w:pPr>
              <w:jc w:val="right"/>
              <w:textAlignment w:val="bottom"/>
            </w:pPr>
            <w:r>
              <w:rPr>
                <w:rFonts w:ascii="Arial" w:eastAsia="宋体" w:hAnsi="Arial" w:cs="Arial"/>
                <w:b/>
                <w:bCs/>
                <w:color w:val="000000"/>
                <w:sz w:val="17"/>
                <w:szCs w:val="17"/>
              </w:rPr>
              <w:t>30,532</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69C741F" w14:textId="77777777" w:rsidR="00066C63" w:rsidRDefault="00066C63">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69C7420"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69C7421" w14:textId="77777777" w:rsidR="00066C63" w:rsidRDefault="009656F6">
            <w:pPr>
              <w:jc w:val="right"/>
              <w:textAlignment w:val="bottom"/>
            </w:pPr>
            <w:r>
              <w:rPr>
                <w:rFonts w:ascii="Arial" w:eastAsia="宋体" w:hAnsi="Arial" w:cs="Arial"/>
                <w:b/>
                <w:bCs/>
                <w:color w:val="000000"/>
                <w:sz w:val="17"/>
                <w:szCs w:val="17"/>
              </w:rPr>
              <w:t>29,556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69C7422" w14:textId="77777777" w:rsidR="00066C63" w:rsidRDefault="00066C63">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669C7423" w14:textId="77777777" w:rsidR="00066C63" w:rsidRDefault="009656F6">
            <w:pPr>
              <w:jc w:val="right"/>
              <w:textAlignment w:val="bottom"/>
            </w:pPr>
            <w:r>
              <w:rPr>
                <w:rFonts w:ascii="Arial" w:eastAsia="宋体" w:hAnsi="Arial" w:cs="Arial"/>
                <w:b/>
                <w:bCs/>
                <w:color w:val="000000"/>
                <w:sz w:val="17"/>
                <w:szCs w:val="17"/>
              </w:rPr>
              <w:t>3</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69C7424" w14:textId="77777777" w:rsidR="00066C63" w:rsidRDefault="009656F6">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669C7425" w14:textId="77777777" w:rsidR="00066C63" w:rsidRDefault="009656F6">
            <w:pPr>
              <w:jc w:val="right"/>
              <w:textAlignment w:val="bottom"/>
            </w:pPr>
            <w:r>
              <w:rPr>
                <w:rFonts w:ascii="Arial" w:eastAsia="宋体" w:hAnsi="Arial" w:cs="Arial"/>
                <w:b/>
                <w:bCs/>
                <w:color w:val="000000"/>
                <w:sz w:val="17"/>
                <w:szCs w:val="17"/>
              </w:rPr>
              <w:t>2</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69C7426" w14:textId="77777777" w:rsidR="00066C63" w:rsidRDefault="009656F6">
            <w:pPr>
              <w:jc w:val="right"/>
              <w:textAlignment w:val="bottom"/>
            </w:pPr>
            <w:r>
              <w:rPr>
                <w:rFonts w:ascii="Arial" w:eastAsia="宋体" w:hAnsi="Arial" w:cs="Arial"/>
                <w:b/>
                <w:bCs/>
                <w:color w:val="000000"/>
                <w:sz w:val="17"/>
                <w:szCs w:val="17"/>
              </w:rPr>
              <w:t>%</w:t>
            </w:r>
          </w:p>
        </w:tc>
      </w:tr>
    </w:tbl>
    <w:p w14:paraId="669C7428" w14:textId="77777777" w:rsidR="00066C63" w:rsidRDefault="009656F6">
      <w:pPr>
        <w:spacing w:before="60" w:after="60"/>
        <w:ind w:hanging="360"/>
      </w:pPr>
      <w:r>
        <w:rPr>
          <w:rFonts w:ascii="Arial" w:eastAsia="宋体" w:hAnsi="Arial" w:cs="Arial"/>
          <w:i/>
          <w:iCs/>
          <w:color w:val="000000"/>
          <w:sz w:val="14"/>
          <w:szCs w:val="14"/>
        </w:rPr>
        <w:t xml:space="preserve">(1)The percent </w:t>
      </w:r>
      <w:r>
        <w:rPr>
          <w:rFonts w:ascii="Arial" w:eastAsia="宋体" w:hAnsi="Arial" w:cs="Arial"/>
          <w:i/>
          <w:iCs/>
          <w:color w:val="000000"/>
          <w:sz w:val="14"/>
          <w:szCs w:val="14"/>
        </w:rPr>
        <w:t>change excluding currency changes represents a non-GAAP financial measure. See "Use of Non-GAAP Financial Measures" for further information.</w:t>
      </w:r>
    </w:p>
    <w:p w14:paraId="669C7429" w14:textId="77777777" w:rsidR="00066C63" w:rsidRDefault="009656F6">
      <w:pPr>
        <w:spacing w:before="60" w:after="60"/>
        <w:ind w:hanging="360"/>
      </w:pPr>
      <w:r>
        <w:rPr>
          <w:rFonts w:ascii="Arial" w:eastAsia="宋体" w:hAnsi="Arial" w:cs="Arial"/>
          <w:i/>
          <w:iCs/>
          <w:color w:val="000000"/>
          <w:sz w:val="14"/>
          <w:szCs w:val="14"/>
        </w:rPr>
        <w:t xml:space="preserve">(2)Global Brand Divisions revenues include NIKE Brand licensing and other miscellaneous revenues that are not part </w:t>
      </w:r>
      <w:r>
        <w:rPr>
          <w:rFonts w:ascii="Arial" w:eastAsia="宋体" w:hAnsi="Arial" w:cs="Arial"/>
          <w:i/>
          <w:iCs/>
          <w:color w:val="000000"/>
          <w:sz w:val="14"/>
          <w:szCs w:val="14"/>
        </w:rPr>
        <w:t>of a geographic operating segment.</w:t>
      </w:r>
    </w:p>
    <w:p w14:paraId="669C742A" w14:textId="77777777" w:rsidR="00066C63" w:rsidRDefault="009656F6">
      <w:pPr>
        <w:spacing w:before="60" w:after="60"/>
        <w:ind w:hanging="360"/>
      </w:pPr>
      <w:r>
        <w:rPr>
          <w:rFonts w:ascii="Arial" w:eastAsia="宋体" w:hAnsi="Arial" w:cs="Arial"/>
          <w:i/>
          <w:iCs/>
          <w:color w:val="000000"/>
          <w:sz w:val="14"/>
          <w:szCs w:val="14"/>
        </w:rPr>
        <w:t>(3)Corporate revenues primarily consist of foreign currency hedge gains and losses related to revenues generated by entities within the NIKE Brand geographic operating segments and Converse, but managed through our centra</w:t>
      </w:r>
      <w:r>
        <w:rPr>
          <w:rFonts w:ascii="Arial" w:eastAsia="宋体" w:hAnsi="Arial" w:cs="Arial"/>
          <w:i/>
          <w:iCs/>
          <w:color w:val="000000"/>
          <w:sz w:val="14"/>
          <w:szCs w:val="14"/>
        </w:rPr>
        <w:t>l foreign exchange risk management program.</w:t>
      </w:r>
    </w:p>
    <w:p w14:paraId="669C742B" w14:textId="77777777" w:rsidR="00066C63" w:rsidRDefault="009656F6">
      <w:pPr>
        <w:spacing w:before="120"/>
      </w:pPr>
      <w:r>
        <w:rPr>
          <w:rFonts w:ascii="sans-serif" w:eastAsia="sans-serif" w:hAnsi="sans-serif" w:cs="sans-serif"/>
          <w:b/>
          <w:bCs/>
          <w:color w:val="808080"/>
          <w:sz w:val="22"/>
          <w:szCs w:val="22"/>
        </w:rPr>
        <w:t>THIRD QUARTER OF FISCAL 2021 COMPARED TO THIRD QUARTER OF FISCAL 2020</w:t>
      </w:r>
    </w:p>
    <w:p w14:paraId="669C742C" w14:textId="77777777" w:rsidR="00066C63" w:rsidRDefault="009656F6">
      <w:pPr>
        <w:spacing w:after="120"/>
      </w:pPr>
      <w:r>
        <w:rPr>
          <w:rFonts w:ascii="Arial" w:eastAsia="宋体" w:hAnsi="Arial" w:cs="Arial"/>
          <w:color w:val="000000"/>
          <w:sz w:val="17"/>
          <w:szCs w:val="17"/>
        </w:rPr>
        <w:t xml:space="preserve">On a currency-neutral basis, NIKE, Inc. Revenues decreased 1% for the third quarter of fiscal 2021, driven by lower revenues across North </w:t>
      </w:r>
      <w:r>
        <w:rPr>
          <w:rFonts w:ascii="Arial" w:eastAsia="宋体" w:hAnsi="Arial" w:cs="Arial"/>
          <w:color w:val="000000"/>
          <w:sz w:val="17"/>
          <w:szCs w:val="17"/>
        </w:rPr>
        <w:t>America, EMEA and APLA, partially offset by higher revenues in Greater China and Converse. Lower revenues in North America, EMEA and APLA reduced NIKE, Inc. Revenues by approximately, 4, 2 and 1 percentage points, respectively, while higher revenues in Gre</w:t>
      </w:r>
      <w:r>
        <w:rPr>
          <w:rFonts w:ascii="Arial" w:eastAsia="宋体" w:hAnsi="Arial" w:cs="Arial"/>
          <w:color w:val="000000"/>
          <w:sz w:val="17"/>
          <w:szCs w:val="17"/>
        </w:rPr>
        <w:t>ater China contributed approximately 6 percentage points.</w:t>
      </w:r>
    </w:p>
    <w:p w14:paraId="669C742D" w14:textId="77777777" w:rsidR="00066C63" w:rsidRDefault="009656F6">
      <w:pPr>
        <w:spacing w:before="120" w:after="120"/>
      </w:pPr>
      <w:r>
        <w:rPr>
          <w:rFonts w:ascii="Arial" w:eastAsia="宋体" w:hAnsi="Arial" w:cs="Arial"/>
          <w:color w:val="000000"/>
          <w:sz w:val="17"/>
          <w:szCs w:val="17"/>
        </w:rPr>
        <w:t>On a currency-neutral basis, NIKE Brand footwear revenues decreased 1%, driven by declines in nearly all key categories, primarily Running and Football (Soccer), partially offset by growth in the Jo</w:t>
      </w:r>
      <w:r>
        <w:rPr>
          <w:rFonts w:ascii="Arial" w:eastAsia="宋体" w:hAnsi="Arial" w:cs="Arial"/>
          <w:color w:val="000000"/>
          <w:sz w:val="17"/>
          <w:szCs w:val="17"/>
        </w:rPr>
        <w:t>rdan Brand. Unit sales of footwear decreased 12% while higher average selling price (ASP) per pair contributed approximately 11 percentage points, primarily due to higher full-price ASP, on a wholesale equivalent basis, as well as the favorable impact of g</w:t>
      </w:r>
      <w:r>
        <w:rPr>
          <w:rFonts w:ascii="Arial" w:eastAsia="宋体" w:hAnsi="Arial" w:cs="Arial"/>
          <w:color w:val="000000"/>
          <w:sz w:val="17"/>
          <w:szCs w:val="17"/>
        </w:rPr>
        <w:t>rowth in our NIKE Direct business and higher NIKE Direct ASP.</w:t>
      </w:r>
    </w:p>
    <w:p w14:paraId="669C742E" w14:textId="77777777" w:rsidR="00066C63" w:rsidRDefault="009656F6">
      <w:pPr>
        <w:spacing w:before="120" w:after="120"/>
      </w:pPr>
      <w:r>
        <w:rPr>
          <w:rFonts w:ascii="Arial" w:eastAsia="宋体" w:hAnsi="Arial" w:cs="Arial"/>
          <w:color w:val="000000"/>
          <w:sz w:val="17"/>
          <w:szCs w:val="17"/>
        </w:rPr>
        <w:t>Currency-neutral NIKE Brand apparel revenues decreased 1%, reflecting lower revenues in several key categories, most notably Training, partially offset by growth in Sportswear and the Jordan Bra</w:t>
      </w:r>
      <w:r>
        <w:rPr>
          <w:rFonts w:ascii="Arial" w:eastAsia="宋体" w:hAnsi="Arial" w:cs="Arial"/>
          <w:color w:val="000000"/>
          <w:sz w:val="17"/>
          <w:szCs w:val="17"/>
        </w:rPr>
        <w:t xml:space="preserve">nd. Unit sales of apparel decreased 11%, while higher ASP per unit contributed approximately 10 percentage points. Higher ASP per unit was primarily due to higher full-price, off-price and NIKE Direct ASPs, as well as the favorable impact of growth in our </w:t>
      </w:r>
      <w:r>
        <w:rPr>
          <w:rFonts w:ascii="Arial" w:eastAsia="宋体" w:hAnsi="Arial" w:cs="Arial"/>
          <w:color w:val="000000"/>
          <w:sz w:val="17"/>
          <w:szCs w:val="17"/>
        </w:rPr>
        <w:t>NIKE Direct business.</w:t>
      </w:r>
    </w:p>
    <w:p w14:paraId="669C742F" w14:textId="77777777" w:rsidR="00066C63" w:rsidRDefault="009656F6">
      <w:pPr>
        <w:spacing w:before="120" w:after="120"/>
      </w:pPr>
      <w:r>
        <w:rPr>
          <w:rFonts w:ascii="Arial" w:eastAsia="宋体" w:hAnsi="Arial" w:cs="Arial"/>
          <w:color w:val="000000"/>
          <w:sz w:val="17"/>
          <w:szCs w:val="17"/>
        </w:rPr>
        <w:t>On a reported basis, NIKE Direct revenues represented approximately 40% of our total NIKE Brand revenues for the third quarter of fiscal 2021 compared to 34% for the third quarter of fiscal 2020. Digital sales were $2.2 billion for the third quarter of fis</w:t>
      </w:r>
      <w:r>
        <w:rPr>
          <w:rFonts w:ascii="Arial" w:eastAsia="宋体" w:hAnsi="Arial" w:cs="Arial"/>
          <w:color w:val="000000"/>
          <w:sz w:val="17"/>
          <w:szCs w:val="17"/>
        </w:rPr>
        <w:t>cal 2021 compared to $1.4 billion for the third quarter of fiscal 2020. On a currency-neutral basis, NIKE Direct revenues increased 16%, driven by digital sales growth of 54%. Comparable store sales declined 12% as growth in Greater China of 56% was more t</w:t>
      </w:r>
      <w:r>
        <w:rPr>
          <w:rFonts w:ascii="Arial" w:eastAsia="宋体" w:hAnsi="Arial" w:cs="Arial"/>
          <w:color w:val="000000"/>
          <w:sz w:val="17"/>
          <w:szCs w:val="17"/>
        </w:rPr>
        <w:t xml:space="preserve">han offset by reductions in EMEA, North America and APLA, </w:t>
      </w:r>
      <w:r>
        <w:rPr>
          <w:rFonts w:ascii="Arial" w:eastAsia="宋体" w:hAnsi="Arial" w:cs="Arial"/>
          <w:color w:val="212529"/>
          <w:sz w:val="17"/>
          <w:szCs w:val="17"/>
        </w:rPr>
        <w:t>primarily due to reduced physical retail traffic, in part resulting from temporary store closures and safety-related measures in response to COVID-19</w:t>
      </w:r>
      <w:r>
        <w:rPr>
          <w:rFonts w:ascii="Arial" w:eastAsia="宋体" w:hAnsi="Arial" w:cs="Arial"/>
          <w:color w:val="000000"/>
          <w:sz w:val="17"/>
          <w:szCs w:val="17"/>
        </w:rPr>
        <w:t>. Comparable store sales, which exclude digital s</w:t>
      </w:r>
      <w:r>
        <w:rPr>
          <w:rFonts w:ascii="Arial" w:eastAsia="宋体" w:hAnsi="Arial" w:cs="Arial"/>
          <w:color w:val="000000"/>
          <w:sz w:val="17"/>
          <w:szCs w:val="17"/>
        </w:rPr>
        <w:t>ales, comprises revenues from NIKE-owned in-line and factory stores for which all three of the following requirements have been met: (1) the store has been open at least one year, (2) square footage has not changed by more than 15% within the past year and</w:t>
      </w:r>
      <w:r>
        <w:rPr>
          <w:rFonts w:ascii="Arial" w:eastAsia="宋体" w:hAnsi="Arial" w:cs="Arial"/>
          <w:color w:val="000000"/>
          <w:sz w:val="17"/>
          <w:szCs w:val="17"/>
        </w:rPr>
        <w:t xml:space="preserve"> (3) the store has not been permanently repositioned within the past year. Comparable store sales includes revenues from stores that were temporarily closed during the period as a result of COVID-19. Comparable store sales represents a performance measure </w:t>
      </w:r>
      <w:r>
        <w:rPr>
          <w:rFonts w:ascii="Arial" w:eastAsia="宋体" w:hAnsi="Arial" w:cs="Arial"/>
          <w:color w:val="000000"/>
          <w:sz w:val="17"/>
          <w:szCs w:val="17"/>
        </w:rPr>
        <w:t>that we believe is useful information for management and investors in understanding the performance of our established NIKE-owned in-line and factory stores. Management considers this metric when making financial and operating decisions. The method of calc</w:t>
      </w:r>
      <w:r>
        <w:rPr>
          <w:rFonts w:ascii="Arial" w:eastAsia="宋体" w:hAnsi="Arial" w:cs="Arial"/>
          <w:color w:val="000000"/>
          <w:sz w:val="17"/>
          <w:szCs w:val="17"/>
        </w:rPr>
        <w:t xml:space="preserve">ulating </w:t>
      </w:r>
    </w:p>
    <w:p w14:paraId="669C7430" w14:textId="77777777" w:rsidR="00066C63" w:rsidRDefault="009656F6">
      <w:pPr>
        <w:spacing w:before="120" w:after="120"/>
      </w:pPr>
      <w:r>
        <w:rPr>
          <w:rFonts w:ascii="Arial" w:eastAsia="宋体" w:hAnsi="Arial" w:cs="Arial"/>
          <w:color w:val="E87722"/>
          <w:sz w:val="17"/>
          <w:szCs w:val="17"/>
        </w:rPr>
        <w:t>28</w:t>
      </w:r>
      <w:r>
        <w:rPr>
          <w:rFonts w:ascii="sans-serif" w:eastAsia="sans-serif" w:hAnsi="sans-serif" w:cs="sans-serif"/>
          <w:color w:val="000000"/>
          <w:sz w:val="17"/>
          <w:szCs w:val="17"/>
        </w:rPr>
        <w:t xml:space="preserve"> </w:t>
      </w:r>
    </w:p>
    <w:p w14:paraId="669C7431" w14:textId="77777777" w:rsidR="00066C63" w:rsidRDefault="009656F6">
      <w:r>
        <w:pict w14:anchorId="669C7E4C">
          <v:rect id="_x0000_i1054" style="width:415.3pt;height:1.5pt" o:hralign="center" o:hrstd="t" o:hr="t" fillcolor="#a0a0a0" stroked="f"/>
        </w:pict>
      </w:r>
    </w:p>
    <w:p w14:paraId="669C7432" w14:textId="77777777" w:rsidR="00066C63" w:rsidRDefault="00066C63"/>
    <w:p w14:paraId="669C7433" w14:textId="77777777" w:rsidR="00066C63" w:rsidRDefault="009656F6">
      <w:hyperlink r:id="rId99" w:anchor="i1e99cb26debe49fe8b698d0f0eb1273a_7" w:history="1">
        <w:r>
          <w:rPr>
            <w:rStyle w:val="a5"/>
            <w:rFonts w:ascii="sans-serif" w:eastAsia="sans-serif" w:hAnsi="sans-serif" w:cs="sans-serif"/>
            <w:sz w:val="17"/>
            <w:szCs w:val="17"/>
          </w:rPr>
          <w:t>Table of Contents</w:t>
        </w:r>
      </w:hyperlink>
    </w:p>
    <w:p w14:paraId="669C7434" w14:textId="77777777" w:rsidR="00066C63" w:rsidRDefault="00066C63"/>
    <w:p w14:paraId="669C7435" w14:textId="77777777" w:rsidR="00066C63" w:rsidRDefault="009656F6">
      <w:pPr>
        <w:spacing w:before="120" w:after="120"/>
      </w:pPr>
      <w:r>
        <w:rPr>
          <w:rFonts w:ascii="Arial" w:eastAsia="宋体" w:hAnsi="Arial" w:cs="Arial"/>
          <w:color w:val="000000"/>
          <w:sz w:val="17"/>
          <w:szCs w:val="17"/>
        </w:rPr>
        <w:t xml:space="preserve">comparable store sales varies across the retail industry. As a </w:t>
      </w:r>
      <w:r>
        <w:rPr>
          <w:rFonts w:ascii="Arial" w:eastAsia="宋体" w:hAnsi="Arial" w:cs="Arial"/>
          <w:color w:val="000000"/>
          <w:sz w:val="17"/>
          <w:szCs w:val="17"/>
        </w:rPr>
        <w:t>result, our calculation of this metric may not be comparable to similarly titled measures used by other companies.</w:t>
      </w:r>
    </w:p>
    <w:p w14:paraId="669C7436" w14:textId="77777777" w:rsidR="00066C63" w:rsidRDefault="009656F6">
      <w:pPr>
        <w:spacing w:before="120"/>
      </w:pPr>
      <w:r>
        <w:rPr>
          <w:rFonts w:ascii="sans-serif" w:eastAsia="sans-serif" w:hAnsi="sans-serif" w:cs="sans-serif"/>
          <w:b/>
          <w:bCs/>
          <w:color w:val="808080"/>
          <w:sz w:val="22"/>
          <w:szCs w:val="22"/>
        </w:rPr>
        <w:t>FIRST NINE MONTHS OF FISCAL 2021 COMPARED TO FIRST NINE MONTHS OF FISCAL 2020</w:t>
      </w:r>
    </w:p>
    <w:p w14:paraId="669C7437" w14:textId="77777777" w:rsidR="00066C63" w:rsidRDefault="009656F6">
      <w:pPr>
        <w:spacing w:after="120"/>
      </w:pPr>
      <w:r>
        <w:rPr>
          <w:rFonts w:ascii="Arial" w:eastAsia="宋体" w:hAnsi="Arial" w:cs="Arial"/>
          <w:color w:val="000000"/>
          <w:sz w:val="17"/>
          <w:szCs w:val="17"/>
        </w:rPr>
        <w:t>On a currency-neutral basis, NIKE, Inc. Revenues grew 2% for th</w:t>
      </w:r>
      <w:r>
        <w:rPr>
          <w:rFonts w:ascii="Arial" w:eastAsia="宋体" w:hAnsi="Arial" w:cs="Arial"/>
          <w:color w:val="000000"/>
          <w:sz w:val="17"/>
          <w:szCs w:val="17"/>
        </w:rPr>
        <w:t>e first nine months of fiscal 2021, driven by growth in Greater China and EMEA, partially offset by lower revenues in North America and APLA. Higher revenues in Greater China and EMEA contributed to NIKE, Inc.</w:t>
      </w:r>
      <w:r>
        <w:rPr>
          <w:rFonts w:ascii="Arial" w:eastAsia="宋体" w:hAnsi="Arial" w:cs="Arial"/>
          <w:i/>
          <w:iCs/>
          <w:color w:val="000000"/>
          <w:sz w:val="17"/>
          <w:szCs w:val="17"/>
        </w:rPr>
        <w:t xml:space="preserve"> </w:t>
      </w:r>
      <w:r>
        <w:rPr>
          <w:rFonts w:ascii="Arial" w:eastAsia="宋体" w:hAnsi="Arial" w:cs="Arial"/>
          <w:color w:val="000000"/>
          <w:sz w:val="17"/>
          <w:szCs w:val="17"/>
        </w:rPr>
        <w:t>Revenues approximately 4 and 1 percentage poin</w:t>
      </w:r>
      <w:r>
        <w:rPr>
          <w:rFonts w:ascii="Arial" w:eastAsia="宋体" w:hAnsi="Arial" w:cs="Arial"/>
          <w:color w:val="000000"/>
          <w:sz w:val="17"/>
          <w:szCs w:val="17"/>
        </w:rPr>
        <w:t xml:space="preserve">ts, respectively. Lower revenues in North America and APLA reduced NIKE, Inc. Revenues approximately 2 and 1 percentage points, respectively. </w:t>
      </w:r>
    </w:p>
    <w:p w14:paraId="669C7438" w14:textId="77777777" w:rsidR="00066C63" w:rsidRDefault="009656F6">
      <w:pPr>
        <w:spacing w:before="120" w:after="120"/>
      </w:pPr>
      <w:r>
        <w:rPr>
          <w:rFonts w:ascii="Arial" w:eastAsia="宋体" w:hAnsi="Arial" w:cs="Arial"/>
          <w:color w:val="000000"/>
          <w:sz w:val="17"/>
          <w:szCs w:val="17"/>
        </w:rPr>
        <w:t>On a currency-neutral basis, NIKE Brand footwear revenues increased 4%, driven by growth in several key categorie</w:t>
      </w:r>
      <w:r>
        <w:rPr>
          <w:rFonts w:ascii="Arial" w:eastAsia="宋体" w:hAnsi="Arial" w:cs="Arial"/>
          <w:color w:val="000000"/>
          <w:sz w:val="17"/>
          <w:szCs w:val="17"/>
        </w:rPr>
        <w:t>s, led by the Jordan Brand and Sportswear, partially offset by Running and Football (Soccer). Unit sales of footwear decreased 3% and higher ASP per pair contributed approximately 7 percentage points of footwear revenue growth, primarily due to higher full</w:t>
      </w:r>
      <w:r>
        <w:rPr>
          <w:rFonts w:ascii="Arial" w:eastAsia="宋体" w:hAnsi="Arial" w:cs="Arial"/>
          <w:color w:val="000000"/>
          <w:sz w:val="17"/>
          <w:szCs w:val="17"/>
        </w:rPr>
        <w:t>-price ASP and the favorable impact of growth in our NIKE Direct business.</w:t>
      </w:r>
    </w:p>
    <w:p w14:paraId="669C7439" w14:textId="77777777" w:rsidR="00066C63" w:rsidRDefault="009656F6">
      <w:pPr>
        <w:spacing w:before="120" w:after="120"/>
      </w:pPr>
      <w:r>
        <w:rPr>
          <w:rFonts w:ascii="Arial" w:eastAsia="宋体" w:hAnsi="Arial" w:cs="Arial"/>
          <w:color w:val="000000"/>
          <w:sz w:val="17"/>
          <w:szCs w:val="17"/>
        </w:rPr>
        <w:t>Currency-neutral NIKE Brand apparel revenues were flat as growth in several key categories, most notably Sportswear, Football (Soccer) and the Jordan Brand, was offset by declines i</w:t>
      </w:r>
      <w:r>
        <w:rPr>
          <w:rFonts w:ascii="Arial" w:eastAsia="宋体" w:hAnsi="Arial" w:cs="Arial"/>
          <w:color w:val="000000"/>
          <w:sz w:val="17"/>
          <w:szCs w:val="17"/>
        </w:rPr>
        <w:t>n Training and Running. Unit sales of apparel decreased 3%, while higher ASP per unit contributed approximately 3 percentage points. Higher ASP per unit was primarily due to the favorable impact of growth in our NIKE Direct business and higher full-price A</w:t>
      </w:r>
      <w:r>
        <w:rPr>
          <w:rFonts w:ascii="Arial" w:eastAsia="宋体" w:hAnsi="Arial" w:cs="Arial"/>
          <w:color w:val="000000"/>
          <w:sz w:val="17"/>
          <w:szCs w:val="17"/>
        </w:rPr>
        <w:t>SP.</w:t>
      </w:r>
    </w:p>
    <w:p w14:paraId="669C743A" w14:textId="77777777" w:rsidR="00066C63" w:rsidRDefault="009656F6">
      <w:pPr>
        <w:spacing w:before="120" w:after="120"/>
      </w:pPr>
      <w:r>
        <w:rPr>
          <w:rFonts w:ascii="Arial" w:eastAsia="宋体" w:hAnsi="Arial" w:cs="Arial"/>
          <w:color w:val="000000"/>
          <w:sz w:val="17"/>
          <w:szCs w:val="17"/>
        </w:rPr>
        <w:t>On a reported basis, NIKE Direct revenues represented approximately 39% of our total NIKE Brand revenues for the first nine months of fiscal 2021 compared to 33% for the first nine months of fiscal 2020. Digital sales were $6.6 billion for the first ni</w:t>
      </w:r>
      <w:r>
        <w:rPr>
          <w:rFonts w:ascii="Arial" w:eastAsia="宋体" w:hAnsi="Arial" w:cs="Arial"/>
          <w:color w:val="000000"/>
          <w:sz w:val="17"/>
          <w:szCs w:val="17"/>
        </w:rPr>
        <w:t xml:space="preserve">ne months of fiscal 2021 compared to $3.8 billion for the first nine months of fiscal 2020. On a currency-neutral basis, NIKE Direct revenues increased 20% for the first nine months of fiscal 2021, driven by digital sales growth of 71%. This was partially </w:t>
      </w:r>
      <w:r>
        <w:rPr>
          <w:rFonts w:ascii="Arial" w:eastAsia="宋体" w:hAnsi="Arial" w:cs="Arial"/>
          <w:color w:val="000000"/>
          <w:sz w:val="17"/>
          <w:szCs w:val="17"/>
        </w:rPr>
        <w:t xml:space="preserve">offset by a 13% decline in comparable store sales, as growth in Greater China of 30% was more than offset by reductions in North America, EMEA and APLA, </w:t>
      </w:r>
      <w:r>
        <w:rPr>
          <w:rFonts w:ascii="Arial" w:eastAsia="宋体" w:hAnsi="Arial" w:cs="Arial"/>
          <w:color w:val="212529"/>
          <w:sz w:val="17"/>
          <w:szCs w:val="17"/>
        </w:rPr>
        <w:t>primarily due to reduced physical retail traffic, in part resulting from temporary store closures and s</w:t>
      </w:r>
      <w:r>
        <w:rPr>
          <w:rFonts w:ascii="Arial" w:eastAsia="宋体" w:hAnsi="Arial" w:cs="Arial"/>
          <w:color w:val="212529"/>
          <w:sz w:val="17"/>
          <w:szCs w:val="17"/>
        </w:rPr>
        <w:t>afety-related measures in response to COVID-19</w:t>
      </w:r>
      <w:r>
        <w:rPr>
          <w:rFonts w:ascii="Arial" w:eastAsia="宋体" w:hAnsi="Arial" w:cs="Arial"/>
          <w:color w:val="000000"/>
          <w:sz w:val="17"/>
          <w:szCs w:val="17"/>
        </w:rPr>
        <w:t xml:space="preserve">. </w:t>
      </w:r>
    </w:p>
    <w:p w14:paraId="669C743B" w14:textId="77777777" w:rsidR="00066C63" w:rsidRDefault="009656F6">
      <w:pPr>
        <w:spacing w:before="240" w:after="120"/>
      </w:pPr>
      <w:r>
        <w:rPr>
          <w:rFonts w:ascii="sans-serif" w:eastAsia="sans-serif" w:hAnsi="sans-serif" w:cs="sans-serif"/>
          <w:b/>
          <w:bCs/>
          <w:color w:val="000000"/>
          <w:sz w:val="28"/>
          <w:szCs w:val="28"/>
        </w:rPr>
        <w:t>GROSS MARGIN</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1718"/>
        <w:gridCol w:w="36"/>
        <w:gridCol w:w="116"/>
        <w:gridCol w:w="954"/>
        <w:gridCol w:w="172"/>
        <w:gridCol w:w="116"/>
        <w:gridCol w:w="954"/>
        <w:gridCol w:w="172"/>
        <w:gridCol w:w="67"/>
        <w:gridCol w:w="571"/>
        <w:gridCol w:w="172"/>
        <w:gridCol w:w="36"/>
        <w:gridCol w:w="36"/>
        <w:gridCol w:w="36"/>
        <w:gridCol w:w="115"/>
        <w:gridCol w:w="804"/>
        <w:gridCol w:w="172"/>
        <w:gridCol w:w="115"/>
        <w:gridCol w:w="955"/>
        <w:gridCol w:w="172"/>
        <w:gridCol w:w="66"/>
        <w:gridCol w:w="572"/>
        <w:gridCol w:w="172"/>
      </w:tblGrid>
      <w:tr w:rsidR="00066C63" w14:paraId="669C7454" w14:textId="77777777">
        <w:trPr>
          <w:jc w:val="center"/>
        </w:trPr>
        <w:tc>
          <w:tcPr>
            <w:tcW w:w="50" w:type="pct"/>
            <w:shd w:val="clear" w:color="auto" w:fill="auto"/>
          </w:tcPr>
          <w:p w14:paraId="669C743C" w14:textId="77777777" w:rsidR="00066C63" w:rsidRDefault="00066C63">
            <w:pPr>
              <w:rPr>
                <w:rFonts w:ascii="宋体"/>
              </w:rPr>
            </w:pPr>
          </w:p>
        </w:tc>
        <w:tc>
          <w:tcPr>
            <w:tcW w:w="1138" w:type="pct"/>
            <w:shd w:val="clear" w:color="auto" w:fill="auto"/>
          </w:tcPr>
          <w:p w14:paraId="669C743D" w14:textId="77777777" w:rsidR="00066C63" w:rsidRDefault="00066C63">
            <w:pPr>
              <w:rPr>
                <w:rFonts w:ascii="宋体"/>
              </w:rPr>
            </w:pPr>
          </w:p>
        </w:tc>
        <w:tc>
          <w:tcPr>
            <w:tcW w:w="5" w:type="pct"/>
            <w:shd w:val="clear" w:color="auto" w:fill="auto"/>
          </w:tcPr>
          <w:p w14:paraId="669C743E" w14:textId="77777777" w:rsidR="00066C63" w:rsidRDefault="00066C63">
            <w:pPr>
              <w:rPr>
                <w:rFonts w:ascii="宋体"/>
              </w:rPr>
            </w:pPr>
          </w:p>
        </w:tc>
        <w:tc>
          <w:tcPr>
            <w:tcW w:w="50" w:type="pct"/>
            <w:shd w:val="clear" w:color="auto" w:fill="auto"/>
          </w:tcPr>
          <w:p w14:paraId="669C743F" w14:textId="77777777" w:rsidR="00066C63" w:rsidRDefault="00066C63">
            <w:pPr>
              <w:rPr>
                <w:rFonts w:ascii="宋体"/>
              </w:rPr>
            </w:pPr>
          </w:p>
        </w:tc>
        <w:tc>
          <w:tcPr>
            <w:tcW w:w="643" w:type="pct"/>
            <w:shd w:val="clear" w:color="auto" w:fill="auto"/>
          </w:tcPr>
          <w:p w14:paraId="669C7440" w14:textId="77777777" w:rsidR="00066C63" w:rsidRDefault="00066C63">
            <w:pPr>
              <w:rPr>
                <w:rFonts w:ascii="宋体"/>
              </w:rPr>
            </w:pPr>
          </w:p>
        </w:tc>
        <w:tc>
          <w:tcPr>
            <w:tcW w:w="5" w:type="pct"/>
            <w:shd w:val="clear" w:color="auto" w:fill="auto"/>
          </w:tcPr>
          <w:p w14:paraId="669C7441" w14:textId="77777777" w:rsidR="00066C63" w:rsidRDefault="00066C63">
            <w:pPr>
              <w:rPr>
                <w:rFonts w:ascii="宋体"/>
              </w:rPr>
            </w:pPr>
          </w:p>
        </w:tc>
        <w:tc>
          <w:tcPr>
            <w:tcW w:w="50" w:type="pct"/>
            <w:shd w:val="clear" w:color="auto" w:fill="auto"/>
          </w:tcPr>
          <w:p w14:paraId="669C7442" w14:textId="77777777" w:rsidR="00066C63" w:rsidRDefault="00066C63">
            <w:pPr>
              <w:rPr>
                <w:rFonts w:ascii="宋体"/>
              </w:rPr>
            </w:pPr>
          </w:p>
        </w:tc>
        <w:tc>
          <w:tcPr>
            <w:tcW w:w="643" w:type="pct"/>
            <w:shd w:val="clear" w:color="auto" w:fill="auto"/>
          </w:tcPr>
          <w:p w14:paraId="669C7443" w14:textId="77777777" w:rsidR="00066C63" w:rsidRDefault="00066C63">
            <w:pPr>
              <w:rPr>
                <w:rFonts w:ascii="宋体"/>
              </w:rPr>
            </w:pPr>
          </w:p>
        </w:tc>
        <w:tc>
          <w:tcPr>
            <w:tcW w:w="5" w:type="pct"/>
            <w:shd w:val="clear" w:color="auto" w:fill="auto"/>
          </w:tcPr>
          <w:p w14:paraId="669C7444" w14:textId="77777777" w:rsidR="00066C63" w:rsidRDefault="00066C63">
            <w:pPr>
              <w:rPr>
                <w:rFonts w:ascii="宋体"/>
              </w:rPr>
            </w:pPr>
          </w:p>
        </w:tc>
        <w:tc>
          <w:tcPr>
            <w:tcW w:w="50" w:type="pct"/>
            <w:shd w:val="clear" w:color="auto" w:fill="auto"/>
          </w:tcPr>
          <w:p w14:paraId="669C7445" w14:textId="77777777" w:rsidR="00066C63" w:rsidRDefault="00066C63">
            <w:pPr>
              <w:rPr>
                <w:rFonts w:ascii="宋体"/>
              </w:rPr>
            </w:pPr>
          </w:p>
        </w:tc>
        <w:tc>
          <w:tcPr>
            <w:tcW w:w="432" w:type="pct"/>
            <w:shd w:val="clear" w:color="auto" w:fill="auto"/>
          </w:tcPr>
          <w:p w14:paraId="669C7446" w14:textId="77777777" w:rsidR="00066C63" w:rsidRDefault="00066C63">
            <w:pPr>
              <w:rPr>
                <w:rFonts w:ascii="宋体"/>
              </w:rPr>
            </w:pPr>
          </w:p>
        </w:tc>
        <w:tc>
          <w:tcPr>
            <w:tcW w:w="5" w:type="pct"/>
            <w:shd w:val="clear" w:color="auto" w:fill="auto"/>
          </w:tcPr>
          <w:p w14:paraId="669C7447" w14:textId="77777777" w:rsidR="00066C63" w:rsidRDefault="00066C63">
            <w:pPr>
              <w:rPr>
                <w:rFonts w:ascii="宋体"/>
              </w:rPr>
            </w:pPr>
          </w:p>
        </w:tc>
        <w:tc>
          <w:tcPr>
            <w:tcW w:w="5" w:type="pct"/>
            <w:shd w:val="clear" w:color="auto" w:fill="auto"/>
          </w:tcPr>
          <w:p w14:paraId="669C7448" w14:textId="77777777" w:rsidR="00066C63" w:rsidRDefault="00066C63">
            <w:pPr>
              <w:rPr>
                <w:rFonts w:ascii="宋体"/>
              </w:rPr>
            </w:pPr>
          </w:p>
        </w:tc>
        <w:tc>
          <w:tcPr>
            <w:tcW w:w="27" w:type="pct"/>
            <w:shd w:val="clear" w:color="auto" w:fill="auto"/>
          </w:tcPr>
          <w:p w14:paraId="669C7449" w14:textId="77777777" w:rsidR="00066C63" w:rsidRDefault="00066C63">
            <w:pPr>
              <w:rPr>
                <w:rFonts w:ascii="宋体"/>
              </w:rPr>
            </w:pPr>
          </w:p>
        </w:tc>
        <w:tc>
          <w:tcPr>
            <w:tcW w:w="5" w:type="pct"/>
            <w:shd w:val="clear" w:color="auto" w:fill="auto"/>
          </w:tcPr>
          <w:p w14:paraId="669C744A" w14:textId="77777777" w:rsidR="00066C63" w:rsidRDefault="00066C63">
            <w:pPr>
              <w:rPr>
                <w:rFonts w:ascii="宋体"/>
              </w:rPr>
            </w:pPr>
          </w:p>
        </w:tc>
        <w:tc>
          <w:tcPr>
            <w:tcW w:w="50" w:type="pct"/>
            <w:shd w:val="clear" w:color="auto" w:fill="auto"/>
          </w:tcPr>
          <w:p w14:paraId="669C744B" w14:textId="77777777" w:rsidR="00066C63" w:rsidRDefault="00066C63">
            <w:pPr>
              <w:rPr>
                <w:rFonts w:ascii="宋体"/>
              </w:rPr>
            </w:pPr>
          </w:p>
        </w:tc>
        <w:tc>
          <w:tcPr>
            <w:tcW w:w="643" w:type="pct"/>
            <w:shd w:val="clear" w:color="auto" w:fill="auto"/>
          </w:tcPr>
          <w:p w14:paraId="669C744C" w14:textId="77777777" w:rsidR="00066C63" w:rsidRDefault="00066C63">
            <w:pPr>
              <w:rPr>
                <w:rFonts w:ascii="宋体"/>
              </w:rPr>
            </w:pPr>
          </w:p>
        </w:tc>
        <w:tc>
          <w:tcPr>
            <w:tcW w:w="5" w:type="pct"/>
            <w:shd w:val="clear" w:color="auto" w:fill="auto"/>
          </w:tcPr>
          <w:p w14:paraId="669C744D" w14:textId="77777777" w:rsidR="00066C63" w:rsidRDefault="00066C63">
            <w:pPr>
              <w:rPr>
                <w:rFonts w:ascii="宋体"/>
              </w:rPr>
            </w:pPr>
          </w:p>
        </w:tc>
        <w:tc>
          <w:tcPr>
            <w:tcW w:w="50" w:type="pct"/>
            <w:shd w:val="clear" w:color="auto" w:fill="auto"/>
          </w:tcPr>
          <w:p w14:paraId="669C744E" w14:textId="77777777" w:rsidR="00066C63" w:rsidRDefault="00066C63">
            <w:pPr>
              <w:rPr>
                <w:rFonts w:ascii="宋体"/>
              </w:rPr>
            </w:pPr>
          </w:p>
        </w:tc>
        <w:tc>
          <w:tcPr>
            <w:tcW w:w="643" w:type="pct"/>
            <w:shd w:val="clear" w:color="auto" w:fill="auto"/>
          </w:tcPr>
          <w:p w14:paraId="669C744F" w14:textId="77777777" w:rsidR="00066C63" w:rsidRDefault="00066C63">
            <w:pPr>
              <w:rPr>
                <w:rFonts w:ascii="宋体"/>
              </w:rPr>
            </w:pPr>
          </w:p>
        </w:tc>
        <w:tc>
          <w:tcPr>
            <w:tcW w:w="5" w:type="pct"/>
            <w:shd w:val="clear" w:color="auto" w:fill="auto"/>
          </w:tcPr>
          <w:p w14:paraId="669C7450" w14:textId="77777777" w:rsidR="00066C63" w:rsidRDefault="00066C63">
            <w:pPr>
              <w:rPr>
                <w:rFonts w:ascii="宋体"/>
              </w:rPr>
            </w:pPr>
          </w:p>
        </w:tc>
        <w:tc>
          <w:tcPr>
            <w:tcW w:w="50" w:type="pct"/>
            <w:shd w:val="clear" w:color="auto" w:fill="auto"/>
          </w:tcPr>
          <w:p w14:paraId="669C7451" w14:textId="77777777" w:rsidR="00066C63" w:rsidRDefault="00066C63">
            <w:pPr>
              <w:rPr>
                <w:rFonts w:ascii="宋体"/>
              </w:rPr>
            </w:pPr>
          </w:p>
        </w:tc>
        <w:tc>
          <w:tcPr>
            <w:tcW w:w="433" w:type="pct"/>
            <w:shd w:val="clear" w:color="auto" w:fill="auto"/>
          </w:tcPr>
          <w:p w14:paraId="669C7452" w14:textId="77777777" w:rsidR="00066C63" w:rsidRDefault="00066C63">
            <w:pPr>
              <w:rPr>
                <w:rFonts w:ascii="宋体"/>
              </w:rPr>
            </w:pPr>
          </w:p>
        </w:tc>
        <w:tc>
          <w:tcPr>
            <w:tcW w:w="5" w:type="pct"/>
            <w:shd w:val="clear" w:color="auto" w:fill="auto"/>
          </w:tcPr>
          <w:p w14:paraId="669C7453" w14:textId="77777777" w:rsidR="00066C63" w:rsidRDefault="00066C63">
            <w:pPr>
              <w:rPr>
                <w:rFonts w:ascii="宋体"/>
              </w:rPr>
            </w:pPr>
          </w:p>
        </w:tc>
      </w:tr>
      <w:tr w:rsidR="00066C63" w14:paraId="669C7459" w14:textId="77777777">
        <w:trPr>
          <w:jc w:val="center"/>
        </w:trPr>
        <w:tc>
          <w:tcPr>
            <w:tcW w:w="0" w:type="auto"/>
            <w:gridSpan w:val="3"/>
            <w:shd w:val="clear" w:color="auto" w:fill="auto"/>
            <w:tcMar>
              <w:top w:w="0" w:type="dxa"/>
              <w:left w:w="20" w:type="dxa"/>
              <w:bottom w:w="0" w:type="dxa"/>
              <w:right w:w="20" w:type="dxa"/>
            </w:tcMar>
          </w:tcPr>
          <w:p w14:paraId="669C7455" w14:textId="77777777" w:rsidR="00066C63" w:rsidRDefault="00066C63">
            <w:pPr>
              <w:rPr>
                <w:rFonts w:ascii="宋体"/>
              </w:rPr>
            </w:pPr>
          </w:p>
        </w:tc>
        <w:tc>
          <w:tcPr>
            <w:tcW w:w="0" w:type="auto"/>
            <w:gridSpan w:val="9"/>
            <w:shd w:val="clear" w:color="auto" w:fill="auto"/>
            <w:tcMar>
              <w:top w:w="40" w:type="dxa"/>
              <w:left w:w="20" w:type="dxa"/>
              <w:bottom w:w="40" w:type="dxa"/>
              <w:right w:w="20" w:type="dxa"/>
            </w:tcMar>
            <w:vAlign w:val="bottom"/>
          </w:tcPr>
          <w:p w14:paraId="669C7456" w14:textId="77777777" w:rsidR="00066C63" w:rsidRDefault="009656F6">
            <w:pPr>
              <w:jc w:val="center"/>
              <w:textAlignment w:val="bottom"/>
            </w:pPr>
            <w:r>
              <w:rPr>
                <w:rFonts w:ascii="sans-serif" w:eastAsia="sans-serif" w:hAnsi="sans-serif" w:cs="sans-serif"/>
                <w:b/>
                <w:bCs/>
                <w:color w:val="000000"/>
                <w:sz w:val="17"/>
                <w:szCs w:val="17"/>
              </w:rPr>
              <w:t xml:space="preserve">THREE MONTHS ENDED </w:t>
            </w:r>
          </w:p>
        </w:tc>
        <w:tc>
          <w:tcPr>
            <w:tcW w:w="0" w:type="auto"/>
            <w:gridSpan w:val="3"/>
            <w:shd w:val="clear" w:color="auto" w:fill="auto"/>
            <w:tcMar>
              <w:top w:w="0" w:type="dxa"/>
              <w:left w:w="20" w:type="dxa"/>
              <w:bottom w:w="0" w:type="dxa"/>
              <w:right w:w="20" w:type="dxa"/>
            </w:tcMar>
          </w:tcPr>
          <w:p w14:paraId="669C7457" w14:textId="77777777" w:rsidR="00066C63" w:rsidRDefault="00066C63">
            <w:pPr>
              <w:rPr>
                <w:rFonts w:ascii="宋体"/>
              </w:rPr>
            </w:pPr>
          </w:p>
        </w:tc>
        <w:tc>
          <w:tcPr>
            <w:tcW w:w="0" w:type="auto"/>
            <w:gridSpan w:val="9"/>
            <w:shd w:val="clear" w:color="auto" w:fill="auto"/>
            <w:tcMar>
              <w:top w:w="40" w:type="dxa"/>
              <w:left w:w="20" w:type="dxa"/>
              <w:bottom w:w="40" w:type="dxa"/>
              <w:right w:w="20" w:type="dxa"/>
            </w:tcMar>
            <w:vAlign w:val="bottom"/>
          </w:tcPr>
          <w:p w14:paraId="669C7458" w14:textId="77777777" w:rsidR="00066C63" w:rsidRDefault="009656F6">
            <w:pPr>
              <w:jc w:val="center"/>
              <w:textAlignment w:val="bottom"/>
            </w:pPr>
            <w:r>
              <w:rPr>
                <w:rFonts w:ascii="sans-serif" w:eastAsia="sans-serif" w:hAnsi="sans-serif" w:cs="sans-serif"/>
                <w:b/>
                <w:bCs/>
                <w:color w:val="000000"/>
                <w:sz w:val="17"/>
                <w:szCs w:val="17"/>
              </w:rPr>
              <w:t xml:space="preserve">NINE MONTHS ENDED </w:t>
            </w:r>
          </w:p>
        </w:tc>
      </w:tr>
      <w:tr w:rsidR="00066C63" w14:paraId="669C7462" w14:textId="77777777">
        <w:trPr>
          <w:jc w:val="center"/>
        </w:trPr>
        <w:tc>
          <w:tcPr>
            <w:tcW w:w="0" w:type="auto"/>
            <w:gridSpan w:val="3"/>
            <w:shd w:val="clear" w:color="auto" w:fill="auto"/>
            <w:tcMar>
              <w:top w:w="40" w:type="dxa"/>
              <w:left w:w="20" w:type="dxa"/>
              <w:bottom w:w="40" w:type="dxa"/>
              <w:right w:w="20" w:type="dxa"/>
            </w:tcMar>
            <w:vAlign w:val="bottom"/>
          </w:tcPr>
          <w:p w14:paraId="669C745A" w14:textId="77777777" w:rsidR="00066C63" w:rsidRDefault="009656F6">
            <w:pPr>
              <w:spacing w:before="120" w:after="120"/>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45B" w14:textId="77777777" w:rsidR="00066C63" w:rsidRDefault="009656F6">
            <w:pPr>
              <w:jc w:val="center"/>
              <w:textAlignment w:val="bottom"/>
            </w:pPr>
            <w:r>
              <w:rPr>
                <w:rFonts w:ascii="sans-serif" w:eastAsia="sans-serif" w:hAnsi="sans-serif" w:cs="sans-serif"/>
                <w:b/>
                <w:bCs/>
                <w:color w:val="000000"/>
                <w:sz w:val="17"/>
                <w:szCs w:val="17"/>
              </w:rPr>
              <w:t>FEBRUARY 28, 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45C" w14:textId="77777777" w:rsidR="00066C63" w:rsidRDefault="009656F6">
            <w:pPr>
              <w:jc w:val="center"/>
              <w:textAlignment w:val="bottom"/>
            </w:pPr>
            <w:r>
              <w:rPr>
                <w:rFonts w:ascii="sans-serif" w:eastAsia="sans-serif" w:hAnsi="sans-serif" w:cs="sans-serif"/>
                <w:b/>
                <w:bCs/>
                <w:color w:val="000000"/>
                <w:sz w:val="17"/>
                <w:szCs w:val="17"/>
              </w:rPr>
              <w:t>FEBRUARY 29, 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45D" w14:textId="77777777" w:rsidR="00066C63" w:rsidRDefault="009656F6">
            <w:pPr>
              <w:jc w:val="right"/>
              <w:textAlignment w:val="bottom"/>
            </w:pPr>
            <w:r>
              <w:rPr>
                <w:rFonts w:ascii="sans-serif" w:eastAsia="sans-serif" w:hAnsi="sans-serif" w:cs="sans-serif"/>
                <w:b/>
                <w:bCs/>
                <w:color w:val="000000"/>
                <w:sz w:val="17"/>
                <w:szCs w:val="17"/>
              </w:rPr>
              <w:t>% CHANGE</w:t>
            </w:r>
          </w:p>
        </w:tc>
        <w:tc>
          <w:tcPr>
            <w:tcW w:w="0" w:type="auto"/>
            <w:gridSpan w:val="3"/>
            <w:shd w:val="clear" w:color="auto" w:fill="auto"/>
            <w:tcMar>
              <w:top w:w="0" w:type="dxa"/>
              <w:left w:w="20" w:type="dxa"/>
              <w:bottom w:w="0" w:type="dxa"/>
              <w:right w:w="20" w:type="dxa"/>
            </w:tcMar>
          </w:tcPr>
          <w:p w14:paraId="669C745E" w14:textId="77777777" w:rsidR="00066C63" w:rsidRDefault="00066C63">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45F" w14:textId="77777777" w:rsidR="00066C63" w:rsidRDefault="009656F6">
            <w:pPr>
              <w:jc w:val="center"/>
              <w:textAlignment w:val="bottom"/>
            </w:pPr>
            <w:r>
              <w:rPr>
                <w:rFonts w:ascii="sans-serif" w:eastAsia="sans-serif" w:hAnsi="sans-serif" w:cs="sans-serif"/>
                <w:b/>
                <w:bCs/>
                <w:color w:val="000000"/>
                <w:sz w:val="17"/>
                <w:szCs w:val="17"/>
              </w:rPr>
              <w:t>FEBRUARY 28, 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460" w14:textId="77777777" w:rsidR="00066C63" w:rsidRDefault="009656F6">
            <w:pPr>
              <w:jc w:val="center"/>
              <w:textAlignment w:val="bottom"/>
            </w:pPr>
            <w:r>
              <w:rPr>
                <w:rFonts w:ascii="sans-serif" w:eastAsia="sans-serif" w:hAnsi="sans-serif" w:cs="sans-serif"/>
                <w:b/>
                <w:bCs/>
                <w:color w:val="000000"/>
                <w:sz w:val="17"/>
                <w:szCs w:val="17"/>
              </w:rPr>
              <w:t>FEBRUARY 29, 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461" w14:textId="77777777" w:rsidR="00066C63" w:rsidRDefault="009656F6">
            <w:pPr>
              <w:jc w:val="right"/>
              <w:textAlignment w:val="bottom"/>
            </w:pPr>
            <w:r>
              <w:rPr>
                <w:rFonts w:ascii="sans-serif" w:eastAsia="sans-serif" w:hAnsi="sans-serif" w:cs="sans-serif"/>
                <w:b/>
                <w:bCs/>
                <w:color w:val="000000"/>
                <w:sz w:val="17"/>
                <w:szCs w:val="17"/>
              </w:rPr>
              <w:t>% CHANGE</w:t>
            </w:r>
          </w:p>
        </w:tc>
      </w:tr>
      <w:tr w:rsidR="00066C63" w14:paraId="669C7475"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463" w14:textId="77777777" w:rsidR="00066C63" w:rsidRDefault="009656F6">
            <w:pPr>
              <w:textAlignment w:val="bottom"/>
            </w:pPr>
            <w:r>
              <w:rPr>
                <w:rFonts w:ascii="Arial" w:eastAsia="宋体" w:hAnsi="Arial" w:cs="Arial"/>
                <w:color w:val="000000"/>
                <w:sz w:val="17"/>
                <w:szCs w:val="17"/>
              </w:rPr>
              <w:t>Gross profit</w:t>
            </w:r>
          </w:p>
        </w:tc>
        <w:tc>
          <w:tcPr>
            <w:tcW w:w="0" w:type="auto"/>
            <w:tcBorders>
              <w:top w:val="single" w:sz="8" w:space="0" w:color="E87722"/>
            </w:tcBorders>
            <w:shd w:val="clear" w:color="auto" w:fill="FFF1E7"/>
            <w:tcMar>
              <w:top w:w="40" w:type="dxa"/>
              <w:left w:w="20" w:type="dxa"/>
              <w:bottom w:w="40" w:type="dxa"/>
              <w:right w:w="0" w:type="dxa"/>
            </w:tcMar>
            <w:vAlign w:val="bottom"/>
          </w:tcPr>
          <w:p w14:paraId="669C7464"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669C7465" w14:textId="77777777" w:rsidR="00066C63" w:rsidRDefault="009656F6">
            <w:pPr>
              <w:jc w:val="right"/>
              <w:textAlignment w:val="bottom"/>
            </w:pPr>
            <w:r>
              <w:rPr>
                <w:rFonts w:ascii="Arial" w:eastAsia="宋体" w:hAnsi="Arial" w:cs="Arial"/>
                <w:color w:val="000000"/>
                <w:sz w:val="17"/>
                <w:szCs w:val="17"/>
              </w:rPr>
              <w:t>4,719 </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7466" w14:textId="77777777" w:rsidR="00066C63" w:rsidRDefault="00066C63">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69C7467"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69C7468" w14:textId="77777777" w:rsidR="00066C63" w:rsidRDefault="009656F6">
            <w:pPr>
              <w:jc w:val="right"/>
              <w:textAlignment w:val="bottom"/>
            </w:pPr>
            <w:r>
              <w:rPr>
                <w:rFonts w:ascii="Arial" w:eastAsia="宋体" w:hAnsi="Arial" w:cs="Arial"/>
                <w:color w:val="000000"/>
                <w:sz w:val="17"/>
                <w:szCs w:val="17"/>
              </w:rPr>
              <w:t>4,473 </w:t>
            </w:r>
          </w:p>
        </w:tc>
        <w:tc>
          <w:tcPr>
            <w:tcW w:w="0" w:type="auto"/>
            <w:tcBorders>
              <w:top w:val="single" w:sz="8" w:space="0" w:color="E87722"/>
            </w:tcBorders>
            <w:shd w:val="clear" w:color="auto" w:fill="auto"/>
            <w:tcMar>
              <w:top w:w="40" w:type="dxa"/>
              <w:left w:w="0" w:type="dxa"/>
              <w:bottom w:w="40" w:type="dxa"/>
              <w:right w:w="20" w:type="dxa"/>
            </w:tcMar>
            <w:vAlign w:val="bottom"/>
          </w:tcPr>
          <w:p w14:paraId="669C7469" w14:textId="77777777" w:rsidR="00066C63" w:rsidRDefault="00066C63">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746A" w14:textId="77777777" w:rsidR="00066C63" w:rsidRDefault="009656F6">
            <w:pPr>
              <w:jc w:val="right"/>
              <w:textAlignment w:val="bottom"/>
            </w:pPr>
            <w:r>
              <w:rPr>
                <w:rFonts w:ascii="Arial" w:eastAsia="宋体" w:hAnsi="Arial" w:cs="Arial"/>
                <w:color w:val="000000"/>
                <w:sz w:val="17"/>
                <w:szCs w:val="17"/>
              </w:rPr>
              <w:t>5 </w:t>
            </w:r>
          </w:p>
        </w:tc>
        <w:tc>
          <w:tcPr>
            <w:tcW w:w="0" w:type="auto"/>
            <w:tcBorders>
              <w:top w:val="single" w:sz="8" w:space="0" w:color="E87722"/>
            </w:tcBorders>
            <w:shd w:val="clear" w:color="auto" w:fill="auto"/>
            <w:tcMar>
              <w:top w:w="40" w:type="dxa"/>
              <w:left w:w="0" w:type="dxa"/>
              <w:bottom w:w="40" w:type="dxa"/>
              <w:right w:w="20" w:type="dxa"/>
            </w:tcMar>
            <w:vAlign w:val="bottom"/>
          </w:tcPr>
          <w:p w14:paraId="669C746B" w14:textId="77777777" w:rsidR="00066C63" w:rsidRDefault="009656F6">
            <w:pPr>
              <w:textAlignment w:val="bottom"/>
            </w:pPr>
            <w:r>
              <w:rPr>
                <w:rFonts w:ascii="Arial" w:eastAsia="宋体" w:hAnsi="Arial" w:cs="Arial"/>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tcPr>
          <w:p w14:paraId="669C746C" w14:textId="77777777" w:rsidR="00066C63" w:rsidRDefault="00066C63">
            <w:pPr>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669C746D"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669C746E" w14:textId="77777777" w:rsidR="00066C63" w:rsidRDefault="009656F6">
            <w:pPr>
              <w:jc w:val="right"/>
              <w:textAlignment w:val="bottom"/>
            </w:pPr>
            <w:r>
              <w:rPr>
                <w:rFonts w:ascii="Arial" w:eastAsia="宋体" w:hAnsi="Arial" w:cs="Arial"/>
                <w:color w:val="000000"/>
                <w:sz w:val="17"/>
                <w:szCs w:val="17"/>
              </w:rPr>
              <w:t>14,307 </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746F" w14:textId="77777777" w:rsidR="00066C63" w:rsidRDefault="00066C63">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69C7470"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69C7471" w14:textId="77777777" w:rsidR="00066C63" w:rsidRDefault="009656F6">
            <w:pPr>
              <w:jc w:val="right"/>
              <w:textAlignment w:val="bottom"/>
            </w:pPr>
            <w:r>
              <w:rPr>
                <w:rFonts w:ascii="Arial" w:eastAsia="宋体" w:hAnsi="Arial" w:cs="Arial"/>
                <w:color w:val="000000"/>
                <w:sz w:val="17"/>
                <w:szCs w:val="17"/>
              </w:rPr>
              <w:t>13,888 </w:t>
            </w:r>
          </w:p>
        </w:tc>
        <w:tc>
          <w:tcPr>
            <w:tcW w:w="0" w:type="auto"/>
            <w:tcBorders>
              <w:top w:val="single" w:sz="8" w:space="0" w:color="E87722"/>
            </w:tcBorders>
            <w:shd w:val="clear" w:color="auto" w:fill="auto"/>
            <w:tcMar>
              <w:top w:w="40" w:type="dxa"/>
              <w:left w:w="0" w:type="dxa"/>
              <w:bottom w:w="40" w:type="dxa"/>
              <w:right w:w="20" w:type="dxa"/>
            </w:tcMar>
            <w:vAlign w:val="bottom"/>
          </w:tcPr>
          <w:p w14:paraId="669C7472" w14:textId="77777777" w:rsidR="00066C63" w:rsidRDefault="00066C63">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7473" w14:textId="77777777" w:rsidR="00066C63" w:rsidRDefault="009656F6">
            <w:pPr>
              <w:jc w:val="right"/>
              <w:textAlignment w:val="bottom"/>
            </w:pPr>
            <w:r>
              <w:rPr>
                <w:rFonts w:ascii="Arial" w:eastAsia="宋体" w:hAnsi="Arial" w:cs="Arial"/>
                <w:color w:val="000000"/>
                <w:sz w:val="17"/>
                <w:szCs w:val="17"/>
              </w:rPr>
              <w:t>3 </w:t>
            </w:r>
          </w:p>
        </w:tc>
        <w:tc>
          <w:tcPr>
            <w:tcW w:w="0" w:type="auto"/>
            <w:tcBorders>
              <w:top w:val="single" w:sz="8" w:space="0" w:color="E87722"/>
            </w:tcBorders>
            <w:shd w:val="clear" w:color="auto" w:fill="auto"/>
            <w:tcMar>
              <w:top w:w="40" w:type="dxa"/>
              <w:left w:w="0" w:type="dxa"/>
              <w:bottom w:w="40" w:type="dxa"/>
              <w:right w:w="20" w:type="dxa"/>
            </w:tcMar>
            <w:vAlign w:val="bottom"/>
          </w:tcPr>
          <w:p w14:paraId="669C7474" w14:textId="77777777" w:rsidR="00066C63" w:rsidRDefault="009656F6">
            <w:pPr>
              <w:textAlignment w:val="bottom"/>
            </w:pPr>
            <w:r>
              <w:rPr>
                <w:rFonts w:ascii="Arial" w:eastAsia="宋体" w:hAnsi="Arial" w:cs="Arial"/>
                <w:color w:val="000000"/>
                <w:sz w:val="17"/>
                <w:szCs w:val="17"/>
              </w:rPr>
              <w:t>%</w:t>
            </w:r>
          </w:p>
        </w:tc>
      </w:tr>
      <w:tr w:rsidR="00066C63" w14:paraId="669C7482" w14:textId="77777777">
        <w:trPr>
          <w:jc w:val="center"/>
        </w:trPr>
        <w:tc>
          <w:tcPr>
            <w:tcW w:w="0" w:type="auto"/>
            <w:gridSpan w:val="3"/>
            <w:tcBorders>
              <w:top w:val="single" w:sz="8" w:space="0" w:color="808080"/>
              <w:bottom w:val="single" w:sz="8" w:space="0" w:color="E87722"/>
            </w:tcBorders>
            <w:shd w:val="clear" w:color="auto" w:fill="auto"/>
            <w:tcMar>
              <w:top w:w="40" w:type="dxa"/>
              <w:left w:w="20" w:type="dxa"/>
              <w:bottom w:w="40" w:type="dxa"/>
              <w:right w:w="20" w:type="dxa"/>
            </w:tcMar>
            <w:vAlign w:val="bottom"/>
          </w:tcPr>
          <w:p w14:paraId="669C7476" w14:textId="77777777" w:rsidR="00066C63" w:rsidRDefault="009656F6">
            <w:pPr>
              <w:textAlignment w:val="bottom"/>
            </w:pPr>
            <w:r>
              <w:rPr>
                <w:rFonts w:ascii="Arial" w:eastAsia="宋体" w:hAnsi="Arial" w:cs="Arial"/>
                <w:color w:val="000000"/>
                <w:sz w:val="17"/>
                <w:szCs w:val="17"/>
              </w:rPr>
              <w:t>Gross margin</w:t>
            </w:r>
          </w:p>
        </w:tc>
        <w:tc>
          <w:tcPr>
            <w:tcW w:w="0" w:type="auto"/>
            <w:gridSpan w:val="2"/>
            <w:tcBorders>
              <w:top w:val="single" w:sz="8" w:space="0" w:color="808080"/>
              <w:bottom w:val="single" w:sz="8" w:space="0" w:color="E87722"/>
            </w:tcBorders>
            <w:shd w:val="clear" w:color="auto" w:fill="FFF1E7"/>
            <w:tcMar>
              <w:top w:w="40" w:type="dxa"/>
              <w:left w:w="20" w:type="dxa"/>
              <w:bottom w:w="40" w:type="dxa"/>
              <w:right w:w="0" w:type="dxa"/>
            </w:tcMar>
            <w:vAlign w:val="bottom"/>
          </w:tcPr>
          <w:p w14:paraId="669C7477" w14:textId="77777777" w:rsidR="00066C63" w:rsidRDefault="009656F6">
            <w:pPr>
              <w:jc w:val="right"/>
              <w:textAlignment w:val="bottom"/>
            </w:pPr>
            <w:r>
              <w:rPr>
                <w:rFonts w:ascii="Arial" w:eastAsia="宋体" w:hAnsi="Arial" w:cs="Arial"/>
                <w:color w:val="000000"/>
                <w:sz w:val="17"/>
                <w:szCs w:val="17"/>
              </w:rPr>
              <w:t>45.6 </w:t>
            </w:r>
          </w:p>
        </w:tc>
        <w:tc>
          <w:tcPr>
            <w:tcW w:w="0" w:type="auto"/>
            <w:tcBorders>
              <w:top w:val="single" w:sz="8" w:space="0" w:color="808080"/>
              <w:bottom w:val="single" w:sz="8" w:space="0" w:color="E87722"/>
            </w:tcBorders>
            <w:shd w:val="clear" w:color="auto" w:fill="FFF1E7"/>
            <w:tcMar>
              <w:top w:w="40" w:type="dxa"/>
              <w:left w:w="0" w:type="dxa"/>
              <w:bottom w:w="40" w:type="dxa"/>
              <w:right w:w="20" w:type="dxa"/>
            </w:tcMar>
            <w:vAlign w:val="bottom"/>
          </w:tcPr>
          <w:p w14:paraId="669C7478" w14:textId="77777777" w:rsidR="00066C63" w:rsidRDefault="009656F6">
            <w:pPr>
              <w:jc w:val="right"/>
              <w:textAlignment w:val="bottom"/>
            </w:pPr>
            <w:r>
              <w:rPr>
                <w:rFonts w:ascii="Arial" w:eastAsia="宋体" w:hAnsi="Arial" w:cs="Arial"/>
                <w:color w:val="000000"/>
                <w:sz w:val="17"/>
                <w:szCs w:val="17"/>
              </w:rPr>
              <w:t>%</w:t>
            </w:r>
          </w:p>
        </w:tc>
        <w:tc>
          <w:tcPr>
            <w:tcW w:w="0" w:type="auto"/>
            <w:gridSpan w:val="2"/>
            <w:tcBorders>
              <w:top w:val="single" w:sz="8" w:space="0" w:color="808080"/>
              <w:bottom w:val="single" w:sz="8" w:space="0" w:color="E87722"/>
            </w:tcBorders>
            <w:shd w:val="clear" w:color="auto" w:fill="auto"/>
            <w:tcMar>
              <w:top w:w="40" w:type="dxa"/>
              <w:left w:w="20" w:type="dxa"/>
              <w:bottom w:w="40" w:type="dxa"/>
              <w:right w:w="0" w:type="dxa"/>
            </w:tcMar>
            <w:vAlign w:val="bottom"/>
          </w:tcPr>
          <w:p w14:paraId="669C7479" w14:textId="77777777" w:rsidR="00066C63" w:rsidRDefault="009656F6">
            <w:pPr>
              <w:jc w:val="right"/>
              <w:textAlignment w:val="bottom"/>
            </w:pPr>
            <w:r>
              <w:rPr>
                <w:rFonts w:ascii="Arial" w:eastAsia="宋体" w:hAnsi="Arial" w:cs="Arial"/>
                <w:color w:val="000000"/>
                <w:sz w:val="17"/>
                <w:szCs w:val="17"/>
              </w:rPr>
              <w:t>44.3 </w:t>
            </w:r>
          </w:p>
        </w:tc>
        <w:tc>
          <w:tcPr>
            <w:tcW w:w="0" w:type="auto"/>
            <w:tcBorders>
              <w:top w:val="single" w:sz="8" w:space="0" w:color="808080"/>
              <w:bottom w:val="single" w:sz="8" w:space="0" w:color="E87722"/>
            </w:tcBorders>
            <w:shd w:val="clear" w:color="auto" w:fill="auto"/>
            <w:tcMar>
              <w:top w:w="40" w:type="dxa"/>
              <w:left w:w="0" w:type="dxa"/>
              <w:bottom w:w="40" w:type="dxa"/>
              <w:right w:w="20" w:type="dxa"/>
            </w:tcMar>
            <w:vAlign w:val="bottom"/>
          </w:tcPr>
          <w:p w14:paraId="669C747A" w14:textId="77777777" w:rsidR="00066C63" w:rsidRDefault="009656F6">
            <w:pPr>
              <w:jc w:val="right"/>
              <w:textAlignment w:val="bottom"/>
            </w:pPr>
            <w:r>
              <w:rPr>
                <w:rFonts w:ascii="Arial" w:eastAsia="宋体" w:hAnsi="Arial" w:cs="Arial"/>
                <w:color w:val="000000"/>
                <w:sz w:val="17"/>
                <w:szCs w:val="17"/>
              </w:rPr>
              <w:t>%</w:t>
            </w:r>
          </w:p>
        </w:tc>
        <w:tc>
          <w:tcPr>
            <w:tcW w:w="0" w:type="auto"/>
            <w:gridSpan w:val="3"/>
            <w:tcBorders>
              <w:top w:val="single" w:sz="8" w:space="0" w:color="808080"/>
              <w:bottom w:val="single" w:sz="8" w:space="0" w:color="E87722"/>
            </w:tcBorders>
            <w:shd w:val="clear" w:color="auto" w:fill="auto"/>
            <w:tcMar>
              <w:top w:w="40" w:type="dxa"/>
              <w:left w:w="20" w:type="dxa"/>
              <w:bottom w:w="40" w:type="dxa"/>
              <w:right w:w="20" w:type="dxa"/>
            </w:tcMar>
          </w:tcPr>
          <w:p w14:paraId="669C747B" w14:textId="77777777" w:rsidR="00066C63" w:rsidRDefault="009656F6">
            <w:pPr>
              <w:jc w:val="right"/>
              <w:textAlignment w:val="top"/>
            </w:pPr>
            <w:r>
              <w:rPr>
                <w:rFonts w:ascii="Arial" w:eastAsia="宋体" w:hAnsi="Arial" w:cs="Arial"/>
                <w:color w:val="000000"/>
                <w:sz w:val="17"/>
                <w:szCs w:val="17"/>
              </w:rPr>
              <w:t>130 bps</w:t>
            </w:r>
          </w:p>
        </w:tc>
        <w:tc>
          <w:tcPr>
            <w:tcW w:w="0" w:type="auto"/>
            <w:gridSpan w:val="3"/>
            <w:tcBorders>
              <w:top w:val="single" w:sz="8" w:space="0" w:color="808080"/>
              <w:bottom w:val="single" w:sz="8" w:space="0" w:color="E87722"/>
            </w:tcBorders>
            <w:shd w:val="clear" w:color="auto" w:fill="auto"/>
            <w:tcMar>
              <w:top w:w="0" w:type="dxa"/>
              <w:left w:w="20" w:type="dxa"/>
              <w:bottom w:w="0" w:type="dxa"/>
              <w:right w:w="20" w:type="dxa"/>
            </w:tcMar>
          </w:tcPr>
          <w:p w14:paraId="669C747C" w14:textId="77777777" w:rsidR="00066C63" w:rsidRDefault="00066C63">
            <w:pPr>
              <w:rPr>
                <w:rFonts w:ascii="宋体"/>
              </w:rPr>
            </w:pPr>
          </w:p>
        </w:tc>
        <w:tc>
          <w:tcPr>
            <w:tcW w:w="0" w:type="auto"/>
            <w:gridSpan w:val="2"/>
            <w:tcBorders>
              <w:top w:val="single" w:sz="8" w:space="0" w:color="808080"/>
              <w:bottom w:val="single" w:sz="8" w:space="0" w:color="E87722"/>
            </w:tcBorders>
            <w:shd w:val="clear" w:color="auto" w:fill="FFF1E7"/>
            <w:tcMar>
              <w:top w:w="40" w:type="dxa"/>
              <w:left w:w="20" w:type="dxa"/>
              <w:bottom w:w="40" w:type="dxa"/>
              <w:right w:w="0" w:type="dxa"/>
            </w:tcMar>
            <w:vAlign w:val="bottom"/>
          </w:tcPr>
          <w:p w14:paraId="669C747D" w14:textId="77777777" w:rsidR="00066C63" w:rsidRDefault="009656F6">
            <w:pPr>
              <w:jc w:val="right"/>
              <w:textAlignment w:val="bottom"/>
            </w:pPr>
            <w:r>
              <w:rPr>
                <w:rFonts w:ascii="Arial" w:eastAsia="宋体" w:hAnsi="Arial" w:cs="Arial"/>
                <w:color w:val="000000"/>
                <w:sz w:val="17"/>
                <w:szCs w:val="17"/>
              </w:rPr>
              <w:t>44.4 </w:t>
            </w:r>
          </w:p>
        </w:tc>
        <w:tc>
          <w:tcPr>
            <w:tcW w:w="0" w:type="auto"/>
            <w:tcBorders>
              <w:top w:val="single" w:sz="8" w:space="0" w:color="808080"/>
              <w:bottom w:val="single" w:sz="8" w:space="0" w:color="E87722"/>
            </w:tcBorders>
            <w:shd w:val="clear" w:color="auto" w:fill="FFF1E7"/>
            <w:tcMar>
              <w:top w:w="40" w:type="dxa"/>
              <w:left w:w="0" w:type="dxa"/>
              <w:bottom w:w="40" w:type="dxa"/>
              <w:right w:w="20" w:type="dxa"/>
            </w:tcMar>
            <w:vAlign w:val="bottom"/>
          </w:tcPr>
          <w:p w14:paraId="669C747E" w14:textId="77777777" w:rsidR="00066C63" w:rsidRDefault="009656F6">
            <w:pPr>
              <w:jc w:val="right"/>
              <w:textAlignment w:val="bottom"/>
            </w:pPr>
            <w:r>
              <w:rPr>
                <w:rFonts w:ascii="Arial" w:eastAsia="宋体" w:hAnsi="Arial" w:cs="Arial"/>
                <w:color w:val="000000"/>
                <w:sz w:val="17"/>
                <w:szCs w:val="17"/>
              </w:rPr>
              <w:t>%</w:t>
            </w:r>
          </w:p>
        </w:tc>
        <w:tc>
          <w:tcPr>
            <w:tcW w:w="0" w:type="auto"/>
            <w:gridSpan w:val="2"/>
            <w:tcBorders>
              <w:top w:val="single" w:sz="8" w:space="0" w:color="808080"/>
              <w:bottom w:val="single" w:sz="8" w:space="0" w:color="E87722"/>
            </w:tcBorders>
            <w:shd w:val="clear" w:color="auto" w:fill="auto"/>
            <w:tcMar>
              <w:top w:w="40" w:type="dxa"/>
              <w:left w:w="20" w:type="dxa"/>
              <w:bottom w:w="40" w:type="dxa"/>
              <w:right w:w="0" w:type="dxa"/>
            </w:tcMar>
            <w:vAlign w:val="bottom"/>
          </w:tcPr>
          <w:p w14:paraId="669C747F" w14:textId="77777777" w:rsidR="00066C63" w:rsidRDefault="009656F6">
            <w:pPr>
              <w:jc w:val="right"/>
              <w:textAlignment w:val="bottom"/>
            </w:pPr>
            <w:r>
              <w:rPr>
                <w:rFonts w:ascii="Arial" w:eastAsia="宋体" w:hAnsi="Arial" w:cs="Arial"/>
                <w:color w:val="000000"/>
                <w:sz w:val="17"/>
                <w:szCs w:val="17"/>
              </w:rPr>
              <w:t>44.7 </w:t>
            </w:r>
          </w:p>
        </w:tc>
        <w:tc>
          <w:tcPr>
            <w:tcW w:w="0" w:type="auto"/>
            <w:tcBorders>
              <w:top w:val="single" w:sz="8" w:space="0" w:color="808080"/>
              <w:bottom w:val="single" w:sz="8" w:space="0" w:color="E87722"/>
            </w:tcBorders>
            <w:shd w:val="clear" w:color="auto" w:fill="auto"/>
            <w:tcMar>
              <w:top w:w="40" w:type="dxa"/>
              <w:left w:w="0" w:type="dxa"/>
              <w:bottom w:w="40" w:type="dxa"/>
              <w:right w:w="20" w:type="dxa"/>
            </w:tcMar>
            <w:vAlign w:val="bottom"/>
          </w:tcPr>
          <w:p w14:paraId="669C7480" w14:textId="77777777" w:rsidR="00066C63" w:rsidRDefault="009656F6">
            <w:pPr>
              <w:jc w:val="right"/>
              <w:textAlignment w:val="bottom"/>
            </w:pPr>
            <w:r>
              <w:rPr>
                <w:rFonts w:ascii="Arial" w:eastAsia="宋体" w:hAnsi="Arial" w:cs="Arial"/>
                <w:color w:val="000000"/>
                <w:sz w:val="17"/>
                <w:szCs w:val="17"/>
              </w:rPr>
              <w:t>%</w:t>
            </w:r>
          </w:p>
        </w:tc>
        <w:tc>
          <w:tcPr>
            <w:tcW w:w="0" w:type="auto"/>
            <w:gridSpan w:val="3"/>
            <w:tcBorders>
              <w:top w:val="single" w:sz="8" w:space="0" w:color="808080"/>
              <w:bottom w:val="single" w:sz="8" w:space="0" w:color="E87722"/>
            </w:tcBorders>
            <w:shd w:val="clear" w:color="auto" w:fill="auto"/>
            <w:tcMar>
              <w:top w:w="40" w:type="dxa"/>
              <w:left w:w="20" w:type="dxa"/>
              <w:bottom w:w="40" w:type="dxa"/>
              <w:right w:w="20" w:type="dxa"/>
            </w:tcMar>
          </w:tcPr>
          <w:p w14:paraId="669C7481" w14:textId="77777777" w:rsidR="00066C63" w:rsidRDefault="009656F6">
            <w:pPr>
              <w:jc w:val="right"/>
              <w:textAlignment w:val="top"/>
            </w:pPr>
            <w:r>
              <w:rPr>
                <w:rFonts w:ascii="Arial" w:eastAsia="宋体" w:hAnsi="Arial" w:cs="Arial"/>
                <w:color w:val="000000"/>
                <w:sz w:val="17"/>
                <w:szCs w:val="17"/>
              </w:rPr>
              <w:t>(30) bps</w:t>
            </w:r>
          </w:p>
        </w:tc>
      </w:tr>
    </w:tbl>
    <w:p w14:paraId="669C7483" w14:textId="77777777" w:rsidR="00066C63" w:rsidRDefault="009656F6">
      <w:pPr>
        <w:spacing w:before="120" w:after="120"/>
      </w:pPr>
      <w:r>
        <w:rPr>
          <w:rFonts w:ascii="Arial" w:eastAsia="宋体" w:hAnsi="Arial" w:cs="Arial"/>
          <w:color w:val="000000"/>
          <w:sz w:val="17"/>
          <w:szCs w:val="17"/>
        </w:rPr>
        <w:t>For the third quarter of fiscal 2021, our consolidated gross margin was 130 basis points higher than the prior year period and primarily reflected the following factors:</w:t>
      </w:r>
    </w:p>
    <w:p w14:paraId="669C7484" w14:textId="77777777" w:rsidR="00066C63" w:rsidRDefault="009656F6">
      <w:pPr>
        <w:spacing w:before="60" w:after="60"/>
        <w:ind w:hanging="360"/>
      </w:pPr>
      <w:r>
        <w:rPr>
          <w:rFonts w:ascii="Arial" w:eastAsia="宋体" w:hAnsi="Arial" w:cs="Arial"/>
          <w:color w:val="E87722"/>
          <w:sz w:val="17"/>
          <w:szCs w:val="17"/>
        </w:rPr>
        <w:t>•</w:t>
      </w:r>
      <w:r>
        <w:rPr>
          <w:rFonts w:ascii="Arial" w:eastAsia="宋体" w:hAnsi="Arial" w:cs="Arial"/>
          <w:color w:val="000000"/>
          <w:sz w:val="17"/>
          <w:szCs w:val="17"/>
        </w:rPr>
        <w:t>Higher NIKE Brand full-price product margins across both our wholesale and NIKE Direct businesses, on a wholesale equivalent basis. Specifically, higher full-price ASP, net of discounts, (increasing gross margin approximately 270 basis points) was only par</w:t>
      </w:r>
      <w:r>
        <w:rPr>
          <w:rFonts w:ascii="Arial" w:eastAsia="宋体" w:hAnsi="Arial" w:cs="Arial"/>
          <w:color w:val="000000"/>
          <w:sz w:val="17"/>
          <w:szCs w:val="17"/>
        </w:rPr>
        <w:t xml:space="preserve">tially offset by higher product costs (decreasing gross margin approximately 100 basis points); </w:t>
      </w:r>
    </w:p>
    <w:p w14:paraId="669C7485" w14:textId="77777777" w:rsidR="00066C63" w:rsidRDefault="009656F6">
      <w:pPr>
        <w:spacing w:before="60" w:after="60"/>
        <w:ind w:hanging="360"/>
      </w:pPr>
      <w:r>
        <w:rPr>
          <w:rFonts w:ascii="Arial" w:eastAsia="宋体" w:hAnsi="Arial" w:cs="Arial"/>
          <w:color w:val="E87722"/>
          <w:sz w:val="17"/>
          <w:szCs w:val="17"/>
        </w:rPr>
        <w:t>•</w:t>
      </w:r>
      <w:r>
        <w:rPr>
          <w:rFonts w:ascii="Arial" w:eastAsia="宋体" w:hAnsi="Arial" w:cs="Arial"/>
          <w:color w:val="000000"/>
          <w:sz w:val="17"/>
          <w:szCs w:val="17"/>
        </w:rPr>
        <w:t xml:space="preserve">The favorable impact of growth in our higher margin NIKE Direct business was offset by promotional activity (impacting gross margin by 0 basis points); and </w:t>
      </w:r>
    </w:p>
    <w:p w14:paraId="669C7486" w14:textId="77777777" w:rsidR="00066C63" w:rsidRDefault="009656F6">
      <w:pPr>
        <w:spacing w:before="60" w:after="60"/>
        <w:ind w:hanging="360"/>
      </w:pPr>
      <w:r>
        <w:rPr>
          <w:rFonts w:ascii="Arial" w:eastAsia="宋体" w:hAnsi="Arial" w:cs="Arial"/>
          <w:color w:val="E87722"/>
          <w:sz w:val="17"/>
          <w:szCs w:val="17"/>
        </w:rPr>
        <w:t>•</w:t>
      </w:r>
      <w:r>
        <w:rPr>
          <w:rFonts w:ascii="Arial" w:eastAsia="宋体" w:hAnsi="Arial" w:cs="Arial"/>
          <w:color w:val="000000"/>
          <w:sz w:val="17"/>
          <w:szCs w:val="17"/>
        </w:rPr>
        <w:t>Unfavorable changes in net foreign currency exchange rates, including hedges, (decreasing gross margin approximately 50 basis points).</w:t>
      </w:r>
    </w:p>
    <w:p w14:paraId="669C7487" w14:textId="77777777" w:rsidR="00066C63" w:rsidRDefault="009656F6">
      <w:pPr>
        <w:spacing w:before="60" w:after="60"/>
      </w:pPr>
      <w:r>
        <w:rPr>
          <w:rFonts w:ascii="Arial" w:eastAsia="宋体" w:hAnsi="Arial" w:cs="Arial"/>
          <w:color w:val="000000"/>
          <w:sz w:val="17"/>
          <w:szCs w:val="17"/>
        </w:rPr>
        <w:t>For the first nine months of fiscal 2021, our consolidated gross margin was 30 basis points lower than the prior year per</w:t>
      </w:r>
      <w:r>
        <w:rPr>
          <w:rFonts w:ascii="Arial" w:eastAsia="宋体" w:hAnsi="Arial" w:cs="Arial"/>
          <w:color w:val="000000"/>
          <w:sz w:val="17"/>
          <w:szCs w:val="17"/>
        </w:rPr>
        <w:t>iod, primarily reflecting the following factors:</w:t>
      </w:r>
    </w:p>
    <w:p w14:paraId="669C7488" w14:textId="77777777" w:rsidR="00066C63" w:rsidRDefault="009656F6">
      <w:pPr>
        <w:spacing w:before="60" w:after="60"/>
        <w:ind w:hanging="360"/>
      </w:pPr>
      <w:r>
        <w:rPr>
          <w:rFonts w:ascii="Arial" w:eastAsia="宋体" w:hAnsi="Arial" w:cs="Arial"/>
          <w:color w:val="E87722"/>
          <w:sz w:val="17"/>
          <w:szCs w:val="17"/>
        </w:rPr>
        <w:t>•</w:t>
      </w:r>
      <w:r>
        <w:rPr>
          <w:rFonts w:ascii="Arial" w:eastAsia="宋体" w:hAnsi="Arial" w:cs="Arial"/>
          <w:color w:val="000000"/>
          <w:sz w:val="17"/>
          <w:szCs w:val="17"/>
        </w:rPr>
        <w:t>Higher NIKE Brand full-price product margins across both our wholesale and NIKE Direct businesses, on a wholesale equivalent basis. Specifically, higher full-price ASP, net of discounts, (increasing gross m</w:t>
      </w:r>
      <w:r>
        <w:rPr>
          <w:rFonts w:ascii="Arial" w:eastAsia="宋体" w:hAnsi="Arial" w:cs="Arial"/>
          <w:color w:val="000000"/>
          <w:sz w:val="17"/>
          <w:szCs w:val="17"/>
        </w:rPr>
        <w:t>argin approximately 160 basis points) was only partially offset by higher product costs (decreasing gross margin approximately 40 basis points);</w:t>
      </w:r>
    </w:p>
    <w:p w14:paraId="669C7489" w14:textId="77777777" w:rsidR="00066C63" w:rsidRDefault="009656F6">
      <w:pPr>
        <w:spacing w:before="60" w:after="60"/>
        <w:ind w:hanging="360"/>
      </w:pPr>
      <w:r>
        <w:rPr>
          <w:rFonts w:ascii="Arial" w:eastAsia="宋体" w:hAnsi="Arial" w:cs="Arial"/>
          <w:color w:val="E87722"/>
          <w:sz w:val="17"/>
          <w:szCs w:val="17"/>
        </w:rPr>
        <w:t>•</w:t>
      </w:r>
      <w:r>
        <w:rPr>
          <w:rFonts w:ascii="Arial" w:eastAsia="宋体" w:hAnsi="Arial" w:cs="Arial"/>
          <w:color w:val="000000"/>
          <w:sz w:val="17"/>
          <w:szCs w:val="17"/>
        </w:rPr>
        <w:t>The favorable impact of growth in our higher margin NIKE Direct business was more than offset by higher promot</w:t>
      </w:r>
      <w:r>
        <w:rPr>
          <w:rFonts w:ascii="Arial" w:eastAsia="宋体" w:hAnsi="Arial" w:cs="Arial"/>
          <w:color w:val="000000"/>
          <w:sz w:val="17"/>
          <w:szCs w:val="17"/>
        </w:rPr>
        <w:t>ions to reduce excess inventory as a result of COVID-19 (decreasing gross margin approximately 80 basis points);</w:t>
      </w:r>
    </w:p>
    <w:p w14:paraId="669C748A" w14:textId="77777777" w:rsidR="00066C63" w:rsidRDefault="009656F6">
      <w:pPr>
        <w:spacing w:before="60" w:after="60"/>
        <w:ind w:hanging="360"/>
      </w:pPr>
      <w:r>
        <w:rPr>
          <w:rFonts w:ascii="Arial" w:eastAsia="宋体" w:hAnsi="Arial" w:cs="Arial"/>
          <w:color w:val="E87722"/>
          <w:sz w:val="17"/>
          <w:szCs w:val="17"/>
        </w:rPr>
        <w:t>•</w:t>
      </w:r>
      <w:r>
        <w:rPr>
          <w:rFonts w:ascii="Arial" w:eastAsia="宋体" w:hAnsi="Arial" w:cs="Arial"/>
          <w:color w:val="000000"/>
          <w:sz w:val="17"/>
          <w:szCs w:val="17"/>
        </w:rPr>
        <w:t xml:space="preserve">Lower mix of full-price sales (decreasing gross margin approximately 30 basis points); and </w:t>
      </w:r>
    </w:p>
    <w:p w14:paraId="669C748B" w14:textId="77777777" w:rsidR="00066C63" w:rsidRDefault="009656F6">
      <w:pPr>
        <w:spacing w:before="60" w:after="60"/>
        <w:ind w:hanging="360"/>
      </w:pPr>
      <w:r>
        <w:rPr>
          <w:rFonts w:ascii="Arial" w:eastAsia="宋体" w:hAnsi="Arial" w:cs="Arial"/>
          <w:color w:val="E87722"/>
          <w:sz w:val="17"/>
          <w:szCs w:val="17"/>
        </w:rPr>
        <w:t>•</w:t>
      </w:r>
      <w:r>
        <w:rPr>
          <w:rFonts w:ascii="Arial" w:eastAsia="宋体" w:hAnsi="Arial" w:cs="Arial"/>
          <w:color w:val="000000"/>
          <w:sz w:val="17"/>
          <w:szCs w:val="17"/>
        </w:rPr>
        <w:t>Unfavorable changes in net foreign currency excha</w:t>
      </w:r>
      <w:r>
        <w:rPr>
          <w:rFonts w:ascii="Arial" w:eastAsia="宋体" w:hAnsi="Arial" w:cs="Arial"/>
          <w:color w:val="000000"/>
          <w:sz w:val="17"/>
          <w:szCs w:val="17"/>
        </w:rPr>
        <w:t xml:space="preserve">nge rates, including hedges, (decreasing gross margin approximately 40 basis points). </w:t>
      </w:r>
    </w:p>
    <w:p w14:paraId="669C748C" w14:textId="77777777" w:rsidR="00066C63" w:rsidRDefault="00066C63">
      <w:pPr>
        <w:spacing w:before="60" w:after="60"/>
      </w:pPr>
    </w:p>
    <w:p w14:paraId="669C748D" w14:textId="77777777" w:rsidR="00066C63" w:rsidRDefault="009656F6">
      <w:pPr>
        <w:spacing w:before="120" w:after="120"/>
        <w:jc w:val="right"/>
      </w:pPr>
      <w:r>
        <w:rPr>
          <w:rFonts w:ascii="Arial" w:eastAsia="宋体" w:hAnsi="Arial" w:cs="Arial"/>
          <w:color w:val="E87722"/>
          <w:sz w:val="17"/>
          <w:szCs w:val="17"/>
        </w:rPr>
        <w:t>29</w:t>
      </w:r>
    </w:p>
    <w:p w14:paraId="669C748E" w14:textId="77777777" w:rsidR="00066C63" w:rsidRDefault="009656F6">
      <w:r>
        <w:pict w14:anchorId="669C7E4D">
          <v:rect id="_x0000_i1055" style="width:415.3pt;height:1.5pt" o:hralign="center" o:hrstd="t" o:hr="t" fillcolor="#a0a0a0" stroked="f"/>
        </w:pict>
      </w:r>
    </w:p>
    <w:p w14:paraId="669C748F" w14:textId="77777777" w:rsidR="00066C63" w:rsidRDefault="00066C63"/>
    <w:p w14:paraId="669C7490" w14:textId="77777777" w:rsidR="00066C63" w:rsidRDefault="009656F6">
      <w:hyperlink r:id="rId100" w:anchor="i1e99cb26debe49fe8b698d0f0eb1273a_7" w:history="1">
        <w:r>
          <w:rPr>
            <w:rStyle w:val="a5"/>
            <w:rFonts w:ascii="sans-serif" w:eastAsia="sans-serif" w:hAnsi="sans-serif" w:cs="sans-serif"/>
            <w:sz w:val="17"/>
            <w:szCs w:val="17"/>
          </w:rPr>
          <w:t>Table of Cont</w:t>
        </w:r>
        <w:r>
          <w:rPr>
            <w:rStyle w:val="a5"/>
            <w:rFonts w:ascii="sans-serif" w:eastAsia="sans-serif" w:hAnsi="sans-serif" w:cs="sans-serif"/>
            <w:sz w:val="17"/>
            <w:szCs w:val="17"/>
          </w:rPr>
          <w:t>ents</w:t>
        </w:r>
      </w:hyperlink>
    </w:p>
    <w:p w14:paraId="669C7491" w14:textId="77777777" w:rsidR="00066C63" w:rsidRDefault="00066C63"/>
    <w:p w14:paraId="669C7492" w14:textId="77777777" w:rsidR="00066C63" w:rsidRDefault="009656F6">
      <w:pPr>
        <w:spacing w:before="240" w:after="120"/>
      </w:pPr>
      <w:r>
        <w:rPr>
          <w:rFonts w:ascii="sans-serif" w:eastAsia="sans-serif" w:hAnsi="sans-serif" w:cs="sans-serif"/>
          <w:b/>
          <w:bCs/>
          <w:color w:val="000000"/>
          <w:sz w:val="28"/>
          <w:szCs w:val="28"/>
        </w:rPr>
        <w:t>TOTAL SELLING AND ADMINISTRATIVE EXPENSE</w:t>
      </w:r>
    </w:p>
    <w:tbl>
      <w:tblPr>
        <w:tblW w:w="5000" w:type="pct"/>
        <w:tblCellMar>
          <w:top w:w="15" w:type="dxa"/>
          <w:left w:w="15" w:type="dxa"/>
          <w:bottom w:w="15" w:type="dxa"/>
          <w:right w:w="15" w:type="dxa"/>
        </w:tblCellMar>
        <w:tblLook w:val="04A0" w:firstRow="1" w:lastRow="0" w:firstColumn="1" w:lastColumn="0" w:noHBand="0" w:noVBand="1"/>
      </w:tblPr>
      <w:tblGrid>
        <w:gridCol w:w="42"/>
        <w:gridCol w:w="1906"/>
        <w:gridCol w:w="38"/>
        <w:gridCol w:w="116"/>
        <w:gridCol w:w="923"/>
        <w:gridCol w:w="172"/>
        <w:gridCol w:w="116"/>
        <w:gridCol w:w="923"/>
        <w:gridCol w:w="172"/>
        <w:gridCol w:w="77"/>
        <w:gridCol w:w="560"/>
        <w:gridCol w:w="172"/>
        <w:gridCol w:w="36"/>
        <w:gridCol w:w="36"/>
        <w:gridCol w:w="36"/>
        <w:gridCol w:w="116"/>
        <w:gridCol w:w="728"/>
        <w:gridCol w:w="172"/>
        <w:gridCol w:w="116"/>
        <w:gridCol w:w="898"/>
        <w:gridCol w:w="172"/>
        <w:gridCol w:w="77"/>
        <w:gridCol w:w="560"/>
        <w:gridCol w:w="172"/>
      </w:tblGrid>
      <w:tr w:rsidR="00066C63" w14:paraId="669C74AB" w14:textId="77777777">
        <w:tc>
          <w:tcPr>
            <w:tcW w:w="50" w:type="pct"/>
            <w:shd w:val="clear" w:color="auto" w:fill="auto"/>
          </w:tcPr>
          <w:p w14:paraId="669C7493" w14:textId="77777777" w:rsidR="00066C63" w:rsidRDefault="00066C63">
            <w:pPr>
              <w:rPr>
                <w:rFonts w:ascii="宋体"/>
              </w:rPr>
            </w:pPr>
          </w:p>
        </w:tc>
        <w:tc>
          <w:tcPr>
            <w:tcW w:w="1273" w:type="pct"/>
            <w:shd w:val="clear" w:color="auto" w:fill="auto"/>
          </w:tcPr>
          <w:p w14:paraId="669C7494" w14:textId="77777777" w:rsidR="00066C63" w:rsidRDefault="00066C63">
            <w:pPr>
              <w:rPr>
                <w:rFonts w:ascii="宋体"/>
              </w:rPr>
            </w:pPr>
          </w:p>
        </w:tc>
        <w:tc>
          <w:tcPr>
            <w:tcW w:w="5" w:type="pct"/>
            <w:shd w:val="clear" w:color="auto" w:fill="auto"/>
          </w:tcPr>
          <w:p w14:paraId="669C7495" w14:textId="77777777" w:rsidR="00066C63" w:rsidRDefault="00066C63">
            <w:pPr>
              <w:rPr>
                <w:rFonts w:ascii="宋体"/>
              </w:rPr>
            </w:pPr>
          </w:p>
        </w:tc>
        <w:tc>
          <w:tcPr>
            <w:tcW w:w="50" w:type="pct"/>
            <w:shd w:val="clear" w:color="auto" w:fill="auto"/>
          </w:tcPr>
          <w:p w14:paraId="669C7496" w14:textId="77777777" w:rsidR="00066C63" w:rsidRDefault="00066C63">
            <w:pPr>
              <w:rPr>
                <w:rFonts w:ascii="宋体"/>
              </w:rPr>
            </w:pPr>
          </w:p>
        </w:tc>
        <w:tc>
          <w:tcPr>
            <w:tcW w:w="643" w:type="pct"/>
            <w:shd w:val="clear" w:color="auto" w:fill="auto"/>
          </w:tcPr>
          <w:p w14:paraId="669C7497" w14:textId="77777777" w:rsidR="00066C63" w:rsidRDefault="00066C63">
            <w:pPr>
              <w:rPr>
                <w:rFonts w:ascii="宋体"/>
              </w:rPr>
            </w:pPr>
          </w:p>
        </w:tc>
        <w:tc>
          <w:tcPr>
            <w:tcW w:w="5" w:type="pct"/>
            <w:shd w:val="clear" w:color="auto" w:fill="auto"/>
          </w:tcPr>
          <w:p w14:paraId="669C7498" w14:textId="77777777" w:rsidR="00066C63" w:rsidRDefault="00066C63">
            <w:pPr>
              <w:rPr>
                <w:rFonts w:ascii="宋体"/>
              </w:rPr>
            </w:pPr>
          </w:p>
        </w:tc>
        <w:tc>
          <w:tcPr>
            <w:tcW w:w="50" w:type="pct"/>
            <w:shd w:val="clear" w:color="auto" w:fill="auto"/>
          </w:tcPr>
          <w:p w14:paraId="669C7499" w14:textId="77777777" w:rsidR="00066C63" w:rsidRDefault="00066C63">
            <w:pPr>
              <w:rPr>
                <w:rFonts w:ascii="宋体"/>
              </w:rPr>
            </w:pPr>
          </w:p>
        </w:tc>
        <w:tc>
          <w:tcPr>
            <w:tcW w:w="643" w:type="pct"/>
            <w:shd w:val="clear" w:color="auto" w:fill="auto"/>
          </w:tcPr>
          <w:p w14:paraId="669C749A" w14:textId="77777777" w:rsidR="00066C63" w:rsidRDefault="00066C63">
            <w:pPr>
              <w:rPr>
                <w:rFonts w:ascii="宋体"/>
              </w:rPr>
            </w:pPr>
          </w:p>
        </w:tc>
        <w:tc>
          <w:tcPr>
            <w:tcW w:w="5" w:type="pct"/>
            <w:shd w:val="clear" w:color="auto" w:fill="auto"/>
          </w:tcPr>
          <w:p w14:paraId="669C749B" w14:textId="77777777" w:rsidR="00066C63" w:rsidRDefault="00066C63">
            <w:pPr>
              <w:rPr>
                <w:rFonts w:ascii="宋体"/>
              </w:rPr>
            </w:pPr>
          </w:p>
        </w:tc>
        <w:tc>
          <w:tcPr>
            <w:tcW w:w="50" w:type="pct"/>
            <w:shd w:val="clear" w:color="auto" w:fill="auto"/>
          </w:tcPr>
          <w:p w14:paraId="669C749C" w14:textId="77777777" w:rsidR="00066C63" w:rsidRDefault="00066C63">
            <w:pPr>
              <w:rPr>
                <w:rFonts w:ascii="宋体"/>
              </w:rPr>
            </w:pPr>
          </w:p>
        </w:tc>
        <w:tc>
          <w:tcPr>
            <w:tcW w:w="365" w:type="pct"/>
            <w:shd w:val="clear" w:color="auto" w:fill="auto"/>
          </w:tcPr>
          <w:p w14:paraId="669C749D" w14:textId="77777777" w:rsidR="00066C63" w:rsidRDefault="00066C63">
            <w:pPr>
              <w:rPr>
                <w:rFonts w:ascii="宋体"/>
              </w:rPr>
            </w:pPr>
          </w:p>
        </w:tc>
        <w:tc>
          <w:tcPr>
            <w:tcW w:w="5" w:type="pct"/>
            <w:shd w:val="clear" w:color="auto" w:fill="auto"/>
          </w:tcPr>
          <w:p w14:paraId="669C749E" w14:textId="77777777" w:rsidR="00066C63" w:rsidRDefault="00066C63">
            <w:pPr>
              <w:rPr>
                <w:rFonts w:ascii="宋体"/>
              </w:rPr>
            </w:pPr>
          </w:p>
        </w:tc>
        <w:tc>
          <w:tcPr>
            <w:tcW w:w="5" w:type="pct"/>
            <w:shd w:val="clear" w:color="auto" w:fill="auto"/>
          </w:tcPr>
          <w:p w14:paraId="669C749F" w14:textId="77777777" w:rsidR="00066C63" w:rsidRDefault="00066C63">
            <w:pPr>
              <w:rPr>
                <w:rFonts w:ascii="宋体"/>
              </w:rPr>
            </w:pPr>
          </w:p>
        </w:tc>
        <w:tc>
          <w:tcPr>
            <w:tcW w:w="27" w:type="pct"/>
            <w:shd w:val="clear" w:color="auto" w:fill="auto"/>
          </w:tcPr>
          <w:p w14:paraId="669C74A0" w14:textId="77777777" w:rsidR="00066C63" w:rsidRDefault="00066C63">
            <w:pPr>
              <w:rPr>
                <w:rFonts w:ascii="宋体"/>
              </w:rPr>
            </w:pPr>
          </w:p>
        </w:tc>
        <w:tc>
          <w:tcPr>
            <w:tcW w:w="5" w:type="pct"/>
            <w:shd w:val="clear" w:color="auto" w:fill="auto"/>
          </w:tcPr>
          <w:p w14:paraId="669C74A1" w14:textId="77777777" w:rsidR="00066C63" w:rsidRDefault="00066C63">
            <w:pPr>
              <w:rPr>
                <w:rFonts w:ascii="宋体"/>
              </w:rPr>
            </w:pPr>
          </w:p>
        </w:tc>
        <w:tc>
          <w:tcPr>
            <w:tcW w:w="50" w:type="pct"/>
            <w:shd w:val="clear" w:color="auto" w:fill="auto"/>
          </w:tcPr>
          <w:p w14:paraId="669C74A2" w14:textId="77777777" w:rsidR="00066C63" w:rsidRDefault="00066C63">
            <w:pPr>
              <w:rPr>
                <w:rFonts w:ascii="宋体"/>
              </w:rPr>
            </w:pPr>
          </w:p>
        </w:tc>
        <w:tc>
          <w:tcPr>
            <w:tcW w:w="643" w:type="pct"/>
            <w:shd w:val="clear" w:color="auto" w:fill="auto"/>
          </w:tcPr>
          <w:p w14:paraId="669C74A3" w14:textId="77777777" w:rsidR="00066C63" w:rsidRDefault="00066C63">
            <w:pPr>
              <w:rPr>
                <w:rFonts w:ascii="宋体"/>
              </w:rPr>
            </w:pPr>
          </w:p>
        </w:tc>
        <w:tc>
          <w:tcPr>
            <w:tcW w:w="5" w:type="pct"/>
            <w:shd w:val="clear" w:color="auto" w:fill="auto"/>
          </w:tcPr>
          <w:p w14:paraId="669C74A4" w14:textId="77777777" w:rsidR="00066C63" w:rsidRDefault="00066C63">
            <w:pPr>
              <w:rPr>
                <w:rFonts w:ascii="宋体"/>
              </w:rPr>
            </w:pPr>
          </w:p>
        </w:tc>
        <w:tc>
          <w:tcPr>
            <w:tcW w:w="50" w:type="pct"/>
            <w:shd w:val="clear" w:color="auto" w:fill="auto"/>
          </w:tcPr>
          <w:p w14:paraId="669C74A5" w14:textId="77777777" w:rsidR="00066C63" w:rsidRDefault="00066C63">
            <w:pPr>
              <w:rPr>
                <w:rFonts w:ascii="宋体"/>
              </w:rPr>
            </w:pPr>
          </w:p>
        </w:tc>
        <w:tc>
          <w:tcPr>
            <w:tcW w:w="643" w:type="pct"/>
            <w:shd w:val="clear" w:color="auto" w:fill="auto"/>
          </w:tcPr>
          <w:p w14:paraId="669C74A6" w14:textId="77777777" w:rsidR="00066C63" w:rsidRDefault="00066C63">
            <w:pPr>
              <w:rPr>
                <w:rFonts w:ascii="宋体"/>
              </w:rPr>
            </w:pPr>
          </w:p>
        </w:tc>
        <w:tc>
          <w:tcPr>
            <w:tcW w:w="5" w:type="pct"/>
            <w:shd w:val="clear" w:color="auto" w:fill="auto"/>
          </w:tcPr>
          <w:p w14:paraId="669C74A7" w14:textId="77777777" w:rsidR="00066C63" w:rsidRDefault="00066C63">
            <w:pPr>
              <w:rPr>
                <w:rFonts w:ascii="宋体"/>
              </w:rPr>
            </w:pPr>
          </w:p>
        </w:tc>
        <w:tc>
          <w:tcPr>
            <w:tcW w:w="50" w:type="pct"/>
            <w:shd w:val="clear" w:color="auto" w:fill="auto"/>
          </w:tcPr>
          <w:p w14:paraId="669C74A8" w14:textId="77777777" w:rsidR="00066C63" w:rsidRDefault="00066C63">
            <w:pPr>
              <w:rPr>
                <w:rFonts w:ascii="宋体"/>
              </w:rPr>
            </w:pPr>
          </w:p>
        </w:tc>
        <w:tc>
          <w:tcPr>
            <w:tcW w:w="365" w:type="pct"/>
            <w:shd w:val="clear" w:color="auto" w:fill="auto"/>
          </w:tcPr>
          <w:p w14:paraId="669C74A9" w14:textId="77777777" w:rsidR="00066C63" w:rsidRDefault="00066C63">
            <w:pPr>
              <w:rPr>
                <w:rFonts w:ascii="宋体"/>
              </w:rPr>
            </w:pPr>
          </w:p>
        </w:tc>
        <w:tc>
          <w:tcPr>
            <w:tcW w:w="5" w:type="pct"/>
            <w:shd w:val="clear" w:color="auto" w:fill="auto"/>
          </w:tcPr>
          <w:p w14:paraId="669C74AA" w14:textId="77777777" w:rsidR="00066C63" w:rsidRDefault="00066C63">
            <w:pPr>
              <w:rPr>
                <w:rFonts w:ascii="宋体"/>
              </w:rPr>
            </w:pPr>
          </w:p>
        </w:tc>
      </w:tr>
      <w:tr w:rsidR="00066C63" w14:paraId="669C74B0" w14:textId="77777777">
        <w:tc>
          <w:tcPr>
            <w:tcW w:w="0" w:type="auto"/>
            <w:gridSpan w:val="3"/>
            <w:shd w:val="clear" w:color="auto" w:fill="auto"/>
            <w:tcMar>
              <w:top w:w="0" w:type="dxa"/>
              <w:left w:w="20" w:type="dxa"/>
              <w:bottom w:w="0" w:type="dxa"/>
              <w:right w:w="20" w:type="dxa"/>
            </w:tcMar>
          </w:tcPr>
          <w:p w14:paraId="669C74AC" w14:textId="77777777" w:rsidR="00066C63" w:rsidRDefault="00066C63">
            <w:pPr>
              <w:rPr>
                <w:rFonts w:ascii="宋体"/>
              </w:rPr>
            </w:pPr>
          </w:p>
        </w:tc>
        <w:tc>
          <w:tcPr>
            <w:tcW w:w="0" w:type="auto"/>
            <w:gridSpan w:val="9"/>
            <w:shd w:val="clear" w:color="auto" w:fill="auto"/>
            <w:tcMar>
              <w:top w:w="40" w:type="dxa"/>
              <w:left w:w="20" w:type="dxa"/>
              <w:bottom w:w="40" w:type="dxa"/>
              <w:right w:w="20" w:type="dxa"/>
            </w:tcMar>
            <w:vAlign w:val="bottom"/>
          </w:tcPr>
          <w:p w14:paraId="669C74AD" w14:textId="77777777" w:rsidR="00066C63" w:rsidRDefault="009656F6">
            <w:pPr>
              <w:jc w:val="center"/>
              <w:textAlignment w:val="bottom"/>
            </w:pPr>
            <w:r>
              <w:rPr>
                <w:rFonts w:ascii="sans-serif" w:eastAsia="sans-serif" w:hAnsi="sans-serif" w:cs="sans-serif"/>
                <w:b/>
                <w:bCs/>
                <w:color w:val="000000"/>
                <w:sz w:val="17"/>
                <w:szCs w:val="17"/>
              </w:rPr>
              <w:t xml:space="preserve">THREE MONTHS ENDED </w:t>
            </w:r>
          </w:p>
        </w:tc>
        <w:tc>
          <w:tcPr>
            <w:tcW w:w="0" w:type="auto"/>
            <w:gridSpan w:val="3"/>
            <w:shd w:val="clear" w:color="auto" w:fill="auto"/>
            <w:tcMar>
              <w:top w:w="0" w:type="dxa"/>
              <w:left w:w="20" w:type="dxa"/>
              <w:bottom w:w="0" w:type="dxa"/>
              <w:right w:w="20" w:type="dxa"/>
            </w:tcMar>
          </w:tcPr>
          <w:p w14:paraId="669C74AE" w14:textId="77777777" w:rsidR="00066C63" w:rsidRDefault="00066C63">
            <w:pPr>
              <w:rPr>
                <w:rFonts w:ascii="宋体"/>
              </w:rPr>
            </w:pPr>
          </w:p>
        </w:tc>
        <w:tc>
          <w:tcPr>
            <w:tcW w:w="0" w:type="auto"/>
            <w:gridSpan w:val="9"/>
            <w:shd w:val="clear" w:color="auto" w:fill="auto"/>
            <w:tcMar>
              <w:top w:w="40" w:type="dxa"/>
              <w:left w:w="20" w:type="dxa"/>
              <w:bottom w:w="40" w:type="dxa"/>
              <w:right w:w="20" w:type="dxa"/>
            </w:tcMar>
            <w:vAlign w:val="bottom"/>
          </w:tcPr>
          <w:p w14:paraId="669C74AF" w14:textId="77777777" w:rsidR="00066C63" w:rsidRDefault="009656F6">
            <w:pPr>
              <w:jc w:val="center"/>
              <w:textAlignment w:val="bottom"/>
            </w:pPr>
            <w:r>
              <w:rPr>
                <w:rFonts w:ascii="sans-serif" w:eastAsia="sans-serif" w:hAnsi="sans-serif" w:cs="sans-serif"/>
                <w:b/>
                <w:bCs/>
                <w:color w:val="000000"/>
                <w:sz w:val="17"/>
                <w:szCs w:val="17"/>
              </w:rPr>
              <w:t xml:space="preserve">NINE MONTHS ENDED </w:t>
            </w:r>
          </w:p>
        </w:tc>
      </w:tr>
      <w:tr w:rsidR="00066C63" w14:paraId="669C74B9" w14:textId="77777777">
        <w:tc>
          <w:tcPr>
            <w:tcW w:w="0" w:type="auto"/>
            <w:gridSpan w:val="3"/>
            <w:shd w:val="clear" w:color="auto" w:fill="auto"/>
            <w:tcMar>
              <w:top w:w="40" w:type="dxa"/>
              <w:left w:w="20" w:type="dxa"/>
              <w:bottom w:w="40" w:type="dxa"/>
              <w:right w:w="20" w:type="dxa"/>
            </w:tcMar>
            <w:vAlign w:val="bottom"/>
          </w:tcPr>
          <w:p w14:paraId="669C74B1" w14:textId="77777777" w:rsidR="00066C63" w:rsidRDefault="009656F6">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4B2" w14:textId="77777777" w:rsidR="00066C63" w:rsidRDefault="009656F6">
            <w:pPr>
              <w:jc w:val="center"/>
              <w:textAlignment w:val="bottom"/>
            </w:pPr>
            <w:r>
              <w:rPr>
                <w:rFonts w:ascii="sans-serif" w:eastAsia="sans-serif" w:hAnsi="sans-serif" w:cs="sans-serif"/>
                <w:b/>
                <w:bCs/>
                <w:color w:val="000000"/>
                <w:sz w:val="17"/>
                <w:szCs w:val="17"/>
              </w:rPr>
              <w:t>FEBRUARY 28, 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4B3" w14:textId="77777777" w:rsidR="00066C63" w:rsidRDefault="009656F6">
            <w:pPr>
              <w:jc w:val="center"/>
              <w:textAlignment w:val="bottom"/>
            </w:pPr>
            <w:r>
              <w:rPr>
                <w:rFonts w:ascii="sans-serif" w:eastAsia="sans-serif" w:hAnsi="sans-serif" w:cs="sans-serif"/>
                <w:b/>
                <w:bCs/>
                <w:color w:val="000000"/>
                <w:sz w:val="17"/>
                <w:szCs w:val="17"/>
              </w:rPr>
              <w:t>FEBRUARY 29, 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4B4" w14:textId="77777777" w:rsidR="00066C63" w:rsidRDefault="009656F6">
            <w:pPr>
              <w:jc w:val="right"/>
              <w:textAlignment w:val="bottom"/>
            </w:pPr>
            <w:r>
              <w:rPr>
                <w:rFonts w:ascii="sans-serif" w:eastAsia="sans-serif" w:hAnsi="sans-serif" w:cs="sans-serif"/>
                <w:b/>
                <w:bCs/>
                <w:color w:val="000000"/>
                <w:sz w:val="17"/>
                <w:szCs w:val="17"/>
              </w:rPr>
              <w:t>% CHANGE</w:t>
            </w:r>
          </w:p>
        </w:tc>
        <w:tc>
          <w:tcPr>
            <w:tcW w:w="0" w:type="auto"/>
            <w:gridSpan w:val="3"/>
            <w:shd w:val="clear" w:color="auto" w:fill="auto"/>
            <w:tcMar>
              <w:top w:w="0" w:type="dxa"/>
              <w:left w:w="20" w:type="dxa"/>
              <w:bottom w:w="0" w:type="dxa"/>
              <w:right w:w="20" w:type="dxa"/>
            </w:tcMar>
          </w:tcPr>
          <w:p w14:paraId="669C74B5" w14:textId="77777777" w:rsidR="00066C63" w:rsidRDefault="00066C63">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4B6" w14:textId="77777777" w:rsidR="00066C63" w:rsidRDefault="009656F6">
            <w:pPr>
              <w:jc w:val="center"/>
              <w:textAlignment w:val="bottom"/>
            </w:pPr>
            <w:r>
              <w:rPr>
                <w:rFonts w:ascii="sans-serif" w:eastAsia="sans-serif" w:hAnsi="sans-serif" w:cs="sans-serif"/>
                <w:b/>
                <w:bCs/>
                <w:color w:val="000000"/>
                <w:sz w:val="17"/>
                <w:szCs w:val="17"/>
              </w:rPr>
              <w:t>FEBRUARY 28, 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4B7" w14:textId="77777777" w:rsidR="00066C63" w:rsidRDefault="009656F6">
            <w:pPr>
              <w:jc w:val="center"/>
              <w:textAlignment w:val="bottom"/>
            </w:pPr>
            <w:r>
              <w:rPr>
                <w:rFonts w:ascii="sans-serif" w:eastAsia="sans-serif" w:hAnsi="sans-serif" w:cs="sans-serif"/>
                <w:b/>
                <w:bCs/>
                <w:color w:val="000000"/>
                <w:sz w:val="17"/>
                <w:szCs w:val="17"/>
              </w:rPr>
              <w:t>FEBRUARY 29, 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4B8" w14:textId="77777777" w:rsidR="00066C63" w:rsidRDefault="009656F6">
            <w:pPr>
              <w:jc w:val="right"/>
              <w:textAlignment w:val="bottom"/>
            </w:pPr>
            <w:r>
              <w:rPr>
                <w:rFonts w:ascii="sans-serif" w:eastAsia="sans-serif" w:hAnsi="sans-serif" w:cs="sans-serif"/>
                <w:b/>
                <w:bCs/>
                <w:color w:val="000000"/>
                <w:sz w:val="17"/>
                <w:szCs w:val="17"/>
              </w:rPr>
              <w:t>% CHANGE</w:t>
            </w:r>
          </w:p>
        </w:tc>
      </w:tr>
      <w:tr w:rsidR="00066C63" w14:paraId="669C74CC"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4BA" w14:textId="77777777" w:rsidR="00066C63" w:rsidRDefault="009656F6">
            <w:pPr>
              <w:textAlignment w:val="bottom"/>
            </w:pPr>
            <w:r>
              <w:rPr>
                <w:rFonts w:ascii="Arial" w:eastAsia="宋体" w:hAnsi="Arial" w:cs="Arial"/>
                <w:color w:val="000000"/>
                <w:sz w:val="17"/>
                <w:szCs w:val="17"/>
              </w:rPr>
              <w:t>Demand creation expense</w:t>
            </w:r>
            <w:r>
              <w:rPr>
                <w:rFonts w:ascii="Arial" w:eastAsia="宋体" w:hAnsi="Arial" w:cs="Arial"/>
                <w:color w:val="000000"/>
                <w:sz w:val="11"/>
                <w:szCs w:val="11"/>
              </w:rPr>
              <w:t>(1)</w:t>
            </w:r>
          </w:p>
        </w:tc>
        <w:tc>
          <w:tcPr>
            <w:tcW w:w="0" w:type="auto"/>
            <w:tcBorders>
              <w:top w:val="single" w:sz="8" w:space="0" w:color="E87722"/>
            </w:tcBorders>
            <w:shd w:val="clear" w:color="auto" w:fill="FFF1E7"/>
            <w:tcMar>
              <w:top w:w="40" w:type="dxa"/>
              <w:left w:w="20" w:type="dxa"/>
              <w:bottom w:w="40" w:type="dxa"/>
              <w:right w:w="0" w:type="dxa"/>
            </w:tcMar>
            <w:vAlign w:val="bottom"/>
          </w:tcPr>
          <w:p w14:paraId="669C74BB"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669C74BC" w14:textId="77777777" w:rsidR="00066C63" w:rsidRDefault="009656F6">
            <w:pPr>
              <w:jc w:val="right"/>
              <w:textAlignment w:val="bottom"/>
            </w:pPr>
            <w:r>
              <w:rPr>
                <w:rFonts w:ascii="Arial" w:eastAsia="宋体" w:hAnsi="Arial" w:cs="Arial"/>
                <w:color w:val="000000"/>
                <w:sz w:val="17"/>
                <w:szCs w:val="17"/>
              </w:rPr>
              <w:t>711 </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74BD" w14:textId="77777777" w:rsidR="00066C63" w:rsidRDefault="00066C63">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69C74BE"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69C74BF" w14:textId="77777777" w:rsidR="00066C63" w:rsidRDefault="009656F6">
            <w:pPr>
              <w:jc w:val="right"/>
              <w:textAlignment w:val="bottom"/>
            </w:pPr>
            <w:r>
              <w:rPr>
                <w:rFonts w:ascii="Arial" w:eastAsia="宋体" w:hAnsi="Arial" w:cs="Arial"/>
                <w:color w:val="000000"/>
                <w:sz w:val="17"/>
                <w:szCs w:val="17"/>
              </w:rPr>
              <w:t>870 </w:t>
            </w:r>
          </w:p>
        </w:tc>
        <w:tc>
          <w:tcPr>
            <w:tcW w:w="0" w:type="auto"/>
            <w:tcBorders>
              <w:top w:val="single" w:sz="8" w:space="0" w:color="E87722"/>
            </w:tcBorders>
            <w:shd w:val="clear" w:color="auto" w:fill="auto"/>
            <w:tcMar>
              <w:top w:w="40" w:type="dxa"/>
              <w:left w:w="0" w:type="dxa"/>
              <w:bottom w:w="40" w:type="dxa"/>
              <w:right w:w="20" w:type="dxa"/>
            </w:tcMar>
            <w:vAlign w:val="bottom"/>
          </w:tcPr>
          <w:p w14:paraId="669C74C0" w14:textId="77777777" w:rsidR="00066C63" w:rsidRDefault="00066C63">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74C1" w14:textId="77777777" w:rsidR="00066C63" w:rsidRDefault="009656F6">
            <w:pPr>
              <w:jc w:val="right"/>
              <w:textAlignment w:val="bottom"/>
            </w:pPr>
            <w:r>
              <w:rPr>
                <w:rFonts w:ascii="Arial" w:eastAsia="宋体" w:hAnsi="Arial" w:cs="Arial"/>
                <w:color w:val="000000"/>
                <w:sz w:val="17"/>
                <w:szCs w:val="17"/>
              </w:rPr>
              <w:t>-18 </w:t>
            </w:r>
          </w:p>
        </w:tc>
        <w:tc>
          <w:tcPr>
            <w:tcW w:w="0" w:type="auto"/>
            <w:tcBorders>
              <w:top w:val="single" w:sz="8" w:space="0" w:color="E87722"/>
            </w:tcBorders>
            <w:shd w:val="clear" w:color="auto" w:fill="auto"/>
            <w:tcMar>
              <w:top w:w="40" w:type="dxa"/>
              <w:left w:w="0" w:type="dxa"/>
              <w:bottom w:w="40" w:type="dxa"/>
              <w:right w:w="20" w:type="dxa"/>
            </w:tcMar>
            <w:vAlign w:val="bottom"/>
          </w:tcPr>
          <w:p w14:paraId="669C74C2" w14:textId="77777777" w:rsidR="00066C63" w:rsidRDefault="009656F6">
            <w:pPr>
              <w:textAlignment w:val="bottom"/>
            </w:pPr>
            <w:r>
              <w:rPr>
                <w:rFonts w:ascii="Arial" w:eastAsia="宋体" w:hAnsi="Arial" w:cs="Arial"/>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tcPr>
          <w:p w14:paraId="669C74C3" w14:textId="77777777" w:rsidR="00066C63" w:rsidRDefault="00066C63">
            <w:pPr>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669C74C4"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669C74C5" w14:textId="77777777" w:rsidR="00066C63" w:rsidRDefault="009656F6">
            <w:pPr>
              <w:jc w:val="right"/>
              <w:textAlignment w:val="bottom"/>
            </w:pPr>
            <w:r>
              <w:rPr>
                <w:rFonts w:ascii="Arial" w:eastAsia="宋体" w:hAnsi="Arial" w:cs="Arial"/>
                <w:color w:val="000000"/>
                <w:sz w:val="17"/>
                <w:szCs w:val="17"/>
              </w:rPr>
              <w:t>2,117 </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74C6" w14:textId="77777777" w:rsidR="00066C63" w:rsidRDefault="00066C63">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69C74C7"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69C74C8" w14:textId="77777777" w:rsidR="00066C63" w:rsidRDefault="009656F6">
            <w:pPr>
              <w:jc w:val="right"/>
              <w:textAlignment w:val="bottom"/>
            </w:pPr>
            <w:r>
              <w:rPr>
                <w:rFonts w:ascii="Arial" w:eastAsia="宋体" w:hAnsi="Arial" w:cs="Arial"/>
                <w:color w:val="000000"/>
                <w:sz w:val="17"/>
                <w:szCs w:val="17"/>
              </w:rPr>
              <w:t>2,769 </w:t>
            </w:r>
          </w:p>
        </w:tc>
        <w:tc>
          <w:tcPr>
            <w:tcW w:w="0" w:type="auto"/>
            <w:tcBorders>
              <w:top w:val="single" w:sz="8" w:space="0" w:color="E87722"/>
            </w:tcBorders>
            <w:shd w:val="clear" w:color="auto" w:fill="auto"/>
            <w:tcMar>
              <w:top w:w="40" w:type="dxa"/>
              <w:left w:w="0" w:type="dxa"/>
              <w:bottom w:w="40" w:type="dxa"/>
              <w:right w:w="20" w:type="dxa"/>
            </w:tcMar>
            <w:vAlign w:val="bottom"/>
          </w:tcPr>
          <w:p w14:paraId="669C74C9" w14:textId="77777777" w:rsidR="00066C63" w:rsidRDefault="00066C63">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74CA" w14:textId="77777777" w:rsidR="00066C63" w:rsidRDefault="009656F6">
            <w:pPr>
              <w:jc w:val="right"/>
              <w:textAlignment w:val="bottom"/>
            </w:pPr>
            <w:r>
              <w:rPr>
                <w:rFonts w:ascii="Arial" w:eastAsia="宋体" w:hAnsi="Arial" w:cs="Arial"/>
                <w:color w:val="000000"/>
                <w:sz w:val="17"/>
                <w:szCs w:val="17"/>
              </w:rPr>
              <w:t>-24 </w:t>
            </w:r>
          </w:p>
        </w:tc>
        <w:tc>
          <w:tcPr>
            <w:tcW w:w="0" w:type="auto"/>
            <w:tcBorders>
              <w:top w:val="single" w:sz="8" w:space="0" w:color="E87722"/>
            </w:tcBorders>
            <w:shd w:val="clear" w:color="auto" w:fill="auto"/>
            <w:tcMar>
              <w:top w:w="40" w:type="dxa"/>
              <w:left w:w="0" w:type="dxa"/>
              <w:bottom w:w="40" w:type="dxa"/>
              <w:right w:w="20" w:type="dxa"/>
            </w:tcMar>
            <w:vAlign w:val="bottom"/>
          </w:tcPr>
          <w:p w14:paraId="669C74CB" w14:textId="77777777" w:rsidR="00066C63" w:rsidRDefault="009656F6">
            <w:pPr>
              <w:textAlignment w:val="bottom"/>
            </w:pPr>
            <w:r>
              <w:rPr>
                <w:rFonts w:ascii="Arial" w:eastAsia="宋体" w:hAnsi="Arial" w:cs="Arial"/>
                <w:color w:val="000000"/>
                <w:sz w:val="17"/>
                <w:szCs w:val="17"/>
              </w:rPr>
              <w:t>%</w:t>
            </w:r>
          </w:p>
        </w:tc>
      </w:tr>
      <w:tr w:rsidR="00066C63" w14:paraId="669C74DB"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74CD" w14:textId="77777777" w:rsidR="00066C63" w:rsidRDefault="009656F6">
            <w:pPr>
              <w:textAlignment w:val="bottom"/>
            </w:pPr>
            <w:r>
              <w:rPr>
                <w:rFonts w:ascii="Arial" w:eastAsia="宋体" w:hAnsi="Arial" w:cs="Arial"/>
                <w:color w:val="000000"/>
                <w:sz w:val="17"/>
                <w:szCs w:val="17"/>
              </w:rPr>
              <w:t>Operating overhead expense</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74CE" w14:textId="77777777" w:rsidR="00066C63" w:rsidRDefault="009656F6">
            <w:pPr>
              <w:jc w:val="right"/>
              <w:textAlignment w:val="bottom"/>
            </w:pPr>
            <w:r>
              <w:rPr>
                <w:rFonts w:ascii="Arial" w:eastAsia="宋体" w:hAnsi="Arial" w:cs="Arial"/>
                <w:color w:val="000000"/>
                <w:sz w:val="17"/>
                <w:szCs w:val="17"/>
              </w:rPr>
              <w:t>2,330 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74CF"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4D0" w14:textId="77777777" w:rsidR="00066C63" w:rsidRDefault="009656F6">
            <w:pPr>
              <w:jc w:val="right"/>
              <w:textAlignment w:val="bottom"/>
            </w:pPr>
            <w:r>
              <w:rPr>
                <w:rFonts w:ascii="Arial" w:eastAsia="宋体" w:hAnsi="Arial" w:cs="Arial"/>
                <w:color w:val="000000"/>
                <w:sz w:val="17"/>
                <w:szCs w:val="17"/>
              </w:rPr>
              <w:t>2,413 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4D1"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4D2" w14:textId="77777777" w:rsidR="00066C63" w:rsidRDefault="009656F6">
            <w:pPr>
              <w:jc w:val="right"/>
              <w:textAlignment w:val="bottom"/>
            </w:pPr>
            <w:r>
              <w:rPr>
                <w:rFonts w:ascii="Arial" w:eastAsia="宋体" w:hAnsi="Arial" w:cs="Arial"/>
                <w:color w:val="000000"/>
                <w:sz w:val="17"/>
                <w:szCs w:val="17"/>
              </w:rPr>
              <w:t>-3 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4D3" w14:textId="77777777" w:rsidR="00066C63" w:rsidRDefault="009656F6">
            <w:pPr>
              <w:textAlignment w:val="bottom"/>
            </w:pPr>
            <w:r>
              <w:rPr>
                <w:rFonts w:ascii="Arial" w:eastAsia="宋体" w:hAnsi="Arial" w:cs="Arial"/>
                <w:color w:val="000000"/>
                <w:sz w:val="17"/>
                <w:szCs w:val="17"/>
              </w:rPr>
              <w:t>%</w:t>
            </w:r>
          </w:p>
        </w:tc>
        <w:tc>
          <w:tcPr>
            <w:tcW w:w="0" w:type="auto"/>
            <w:gridSpan w:val="3"/>
            <w:tcBorders>
              <w:top w:val="single" w:sz="8" w:space="0" w:color="808080"/>
            </w:tcBorders>
            <w:shd w:val="clear" w:color="auto" w:fill="auto"/>
            <w:tcMar>
              <w:top w:w="0" w:type="dxa"/>
              <w:left w:w="20" w:type="dxa"/>
              <w:bottom w:w="0" w:type="dxa"/>
              <w:right w:w="20" w:type="dxa"/>
            </w:tcMar>
          </w:tcPr>
          <w:p w14:paraId="669C74D4" w14:textId="77777777" w:rsidR="00066C63" w:rsidRDefault="00066C63">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74D5" w14:textId="77777777" w:rsidR="00066C63" w:rsidRDefault="009656F6">
            <w:pPr>
              <w:jc w:val="right"/>
              <w:textAlignment w:val="bottom"/>
            </w:pPr>
            <w:r>
              <w:rPr>
                <w:rFonts w:ascii="Arial" w:eastAsia="宋体" w:hAnsi="Arial" w:cs="Arial"/>
                <w:color w:val="000000"/>
                <w:sz w:val="17"/>
                <w:szCs w:val="17"/>
              </w:rPr>
              <w:t>7,166 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74D6"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4D7" w14:textId="77777777" w:rsidR="00066C63" w:rsidRDefault="009656F6">
            <w:pPr>
              <w:jc w:val="right"/>
              <w:textAlignment w:val="bottom"/>
            </w:pPr>
            <w:r>
              <w:rPr>
                <w:rFonts w:ascii="Arial" w:eastAsia="宋体" w:hAnsi="Arial" w:cs="Arial"/>
                <w:color w:val="000000"/>
                <w:sz w:val="17"/>
                <w:szCs w:val="17"/>
              </w:rPr>
              <w:t>7,166 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4D8"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4D9" w14:textId="77777777" w:rsidR="00066C63" w:rsidRDefault="009656F6">
            <w:pPr>
              <w:jc w:val="right"/>
              <w:textAlignment w:val="bottom"/>
            </w:pPr>
            <w:r>
              <w:rPr>
                <w:rFonts w:ascii="Arial" w:eastAsia="宋体" w:hAnsi="Arial" w:cs="Arial"/>
                <w:color w:val="000000"/>
                <w:sz w:val="17"/>
                <w:szCs w:val="17"/>
              </w:rPr>
              <w:t>0 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4DA" w14:textId="77777777" w:rsidR="00066C63" w:rsidRDefault="009656F6">
            <w:pPr>
              <w:textAlignment w:val="bottom"/>
            </w:pPr>
            <w:r>
              <w:rPr>
                <w:rFonts w:ascii="Arial" w:eastAsia="宋体" w:hAnsi="Arial" w:cs="Arial"/>
                <w:color w:val="000000"/>
                <w:sz w:val="17"/>
                <w:szCs w:val="17"/>
              </w:rPr>
              <w:t>%</w:t>
            </w:r>
          </w:p>
        </w:tc>
      </w:tr>
      <w:tr w:rsidR="00066C63" w14:paraId="669C74EE"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4DC" w14:textId="77777777" w:rsidR="00066C63" w:rsidRDefault="009656F6">
            <w:pPr>
              <w:textAlignment w:val="bottom"/>
            </w:pPr>
            <w:r>
              <w:rPr>
                <w:rFonts w:ascii="Arial" w:eastAsia="宋体" w:hAnsi="Arial" w:cs="Arial"/>
                <w:color w:val="000000"/>
                <w:sz w:val="17"/>
                <w:szCs w:val="17"/>
              </w:rPr>
              <w:t>Total selling and administrative expense</w:t>
            </w:r>
          </w:p>
        </w:tc>
        <w:tc>
          <w:tcPr>
            <w:tcW w:w="0" w:type="auto"/>
            <w:tcBorders>
              <w:top w:val="single" w:sz="8" w:space="0" w:color="E87722"/>
            </w:tcBorders>
            <w:shd w:val="clear" w:color="auto" w:fill="FFF1E7"/>
            <w:tcMar>
              <w:top w:w="40" w:type="dxa"/>
              <w:left w:w="20" w:type="dxa"/>
              <w:bottom w:w="40" w:type="dxa"/>
              <w:right w:w="0" w:type="dxa"/>
            </w:tcMar>
            <w:vAlign w:val="bottom"/>
          </w:tcPr>
          <w:p w14:paraId="669C74DD"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669C74DE" w14:textId="77777777" w:rsidR="00066C63" w:rsidRDefault="009656F6">
            <w:pPr>
              <w:jc w:val="right"/>
              <w:textAlignment w:val="bottom"/>
            </w:pPr>
            <w:r>
              <w:rPr>
                <w:rFonts w:ascii="Arial" w:eastAsia="宋体" w:hAnsi="Arial" w:cs="Arial"/>
                <w:color w:val="000000"/>
                <w:sz w:val="17"/>
                <w:szCs w:val="17"/>
              </w:rPr>
              <w:t>3,041 </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74DF" w14:textId="77777777" w:rsidR="00066C63" w:rsidRDefault="00066C63">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69C74E0"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69C74E1" w14:textId="77777777" w:rsidR="00066C63" w:rsidRDefault="009656F6">
            <w:pPr>
              <w:jc w:val="right"/>
              <w:textAlignment w:val="bottom"/>
            </w:pPr>
            <w:r>
              <w:rPr>
                <w:rFonts w:ascii="Arial" w:eastAsia="宋体" w:hAnsi="Arial" w:cs="Arial"/>
                <w:color w:val="000000"/>
                <w:sz w:val="17"/>
                <w:szCs w:val="17"/>
              </w:rPr>
              <w:t>3,283 </w:t>
            </w:r>
          </w:p>
        </w:tc>
        <w:tc>
          <w:tcPr>
            <w:tcW w:w="0" w:type="auto"/>
            <w:tcBorders>
              <w:top w:val="single" w:sz="8" w:space="0" w:color="E87722"/>
            </w:tcBorders>
            <w:shd w:val="clear" w:color="auto" w:fill="auto"/>
            <w:tcMar>
              <w:top w:w="40" w:type="dxa"/>
              <w:left w:w="0" w:type="dxa"/>
              <w:bottom w:w="40" w:type="dxa"/>
              <w:right w:w="20" w:type="dxa"/>
            </w:tcMar>
            <w:vAlign w:val="bottom"/>
          </w:tcPr>
          <w:p w14:paraId="669C74E2" w14:textId="77777777" w:rsidR="00066C63" w:rsidRDefault="00066C63">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74E3" w14:textId="77777777" w:rsidR="00066C63" w:rsidRDefault="009656F6">
            <w:pPr>
              <w:jc w:val="right"/>
              <w:textAlignment w:val="bottom"/>
            </w:pPr>
            <w:r>
              <w:rPr>
                <w:rFonts w:ascii="Arial" w:eastAsia="宋体" w:hAnsi="Arial" w:cs="Arial"/>
                <w:color w:val="000000"/>
                <w:sz w:val="17"/>
                <w:szCs w:val="17"/>
              </w:rPr>
              <w:t>-7 </w:t>
            </w:r>
          </w:p>
        </w:tc>
        <w:tc>
          <w:tcPr>
            <w:tcW w:w="0" w:type="auto"/>
            <w:tcBorders>
              <w:top w:val="single" w:sz="8" w:space="0" w:color="E87722"/>
            </w:tcBorders>
            <w:shd w:val="clear" w:color="auto" w:fill="auto"/>
            <w:tcMar>
              <w:top w:w="40" w:type="dxa"/>
              <w:left w:w="0" w:type="dxa"/>
              <w:bottom w:w="40" w:type="dxa"/>
              <w:right w:w="20" w:type="dxa"/>
            </w:tcMar>
            <w:vAlign w:val="bottom"/>
          </w:tcPr>
          <w:p w14:paraId="669C74E4" w14:textId="77777777" w:rsidR="00066C63" w:rsidRDefault="009656F6">
            <w:pPr>
              <w:jc w:val="right"/>
              <w:textAlignment w:val="bottom"/>
            </w:pPr>
            <w:r>
              <w:rPr>
                <w:rFonts w:ascii="Arial" w:eastAsia="宋体" w:hAnsi="Arial" w:cs="Arial"/>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tcPr>
          <w:p w14:paraId="669C74E5" w14:textId="77777777" w:rsidR="00066C63" w:rsidRDefault="00066C63">
            <w:pPr>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669C74E6"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669C74E7" w14:textId="77777777" w:rsidR="00066C63" w:rsidRDefault="009656F6">
            <w:pPr>
              <w:jc w:val="right"/>
              <w:textAlignment w:val="bottom"/>
            </w:pPr>
            <w:r>
              <w:rPr>
                <w:rFonts w:ascii="Arial" w:eastAsia="宋体" w:hAnsi="Arial" w:cs="Arial"/>
                <w:color w:val="000000"/>
                <w:sz w:val="17"/>
                <w:szCs w:val="17"/>
              </w:rPr>
              <w:t>9,283 </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74E8" w14:textId="77777777" w:rsidR="00066C63" w:rsidRDefault="00066C63">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69C74E9"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69C74EA" w14:textId="77777777" w:rsidR="00066C63" w:rsidRDefault="009656F6">
            <w:pPr>
              <w:jc w:val="right"/>
              <w:textAlignment w:val="bottom"/>
            </w:pPr>
            <w:r>
              <w:rPr>
                <w:rFonts w:ascii="Arial" w:eastAsia="宋体" w:hAnsi="Arial" w:cs="Arial"/>
                <w:color w:val="000000"/>
                <w:sz w:val="17"/>
                <w:szCs w:val="17"/>
              </w:rPr>
              <w:t>9,935 </w:t>
            </w:r>
          </w:p>
        </w:tc>
        <w:tc>
          <w:tcPr>
            <w:tcW w:w="0" w:type="auto"/>
            <w:tcBorders>
              <w:top w:val="single" w:sz="8" w:space="0" w:color="E87722"/>
            </w:tcBorders>
            <w:shd w:val="clear" w:color="auto" w:fill="auto"/>
            <w:tcMar>
              <w:top w:w="40" w:type="dxa"/>
              <w:left w:w="0" w:type="dxa"/>
              <w:bottom w:w="40" w:type="dxa"/>
              <w:right w:w="20" w:type="dxa"/>
            </w:tcMar>
            <w:vAlign w:val="bottom"/>
          </w:tcPr>
          <w:p w14:paraId="669C74EB" w14:textId="77777777" w:rsidR="00066C63" w:rsidRDefault="00066C63">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74EC" w14:textId="77777777" w:rsidR="00066C63" w:rsidRDefault="009656F6">
            <w:pPr>
              <w:jc w:val="right"/>
              <w:textAlignment w:val="bottom"/>
            </w:pPr>
            <w:r>
              <w:rPr>
                <w:rFonts w:ascii="Arial" w:eastAsia="宋体" w:hAnsi="Arial" w:cs="Arial"/>
                <w:color w:val="000000"/>
                <w:sz w:val="17"/>
                <w:szCs w:val="17"/>
              </w:rPr>
              <w:t>-7 </w:t>
            </w:r>
          </w:p>
        </w:tc>
        <w:tc>
          <w:tcPr>
            <w:tcW w:w="0" w:type="auto"/>
            <w:tcBorders>
              <w:top w:val="single" w:sz="8" w:space="0" w:color="E87722"/>
            </w:tcBorders>
            <w:shd w:val="clear" w:color="auto" w:fill="auto"/>
            <w:tcMar>
              <w:top w:w="40" w:type="dxa"/>
              <w:left w:w="0" w:type="dxa"/>
              <w:bottom w:w="40" w:type="dxa"/>
              <w:right w:w="20" w:type="dxa"/>
            </w:tcMar>
            <w:vAlign w:val="bottom"/>
          </w:tcPr>
          <w:p w14:paraId="669C74ED" w14:textId="77777777" w:rsidR="00066C63" w:rsidRDefault="009656F6">
            <w:pPr>
              <w:jc w:val="right"/>
              <w:textAlignment w:val="bottom"/>
            </w:pPr>
            <w:r>
              <w:rPr>
                <w:rFonts w:ascii="Arial" w:eastAsia="宋体" w:hAnsi="Arial" w:cs="Arial"/>
                <w:color w:val="000000"/>
                <w:sz w:val="17"/>
                <w:szCs w:val="17"/>
              </w:rPr>
              <w:t>%</w:t>
            </w:r>
          </w:p>
        </w:tc>
      </w:tr>
      <w:tr w:rsidR="00066C63" w14:paraId="669C74FB" w14:textId="77777777">
        <w:tc>
          <w:tcPr>
            <w:tcW w:w="0" w:type="auto"/>
            <w:gridSpan w:val="3"/>
            <w:tcBorders>
              <w:top w:val="single" w:sz="8" w:space="0" w:color="808080"/>
              <w:bottom w:val="single" w:sz="8" w:space="0" w:color="E87722"/>
            </w:tcBorders>
            <w:shd w:val="clear" w:color="auto" w:fill="auto"/>
            <w:tcMar>
              <w:top w:w="40" w:type="dxa"/>
              <w:left w:w="155" w:type="dxa"/>
              <w:bottom w:w="40" w:type="dxa"/>
              <w:right w:w="20" w:type="dxa"/>
            </w:tcMar>
            <w:vAlign w:val="bottom"/>
          </w:tcPr>
          <w:p w14:paraId="669C74EF" w14:textId="77777777" w:rsidR="00066C63" w:rsidRDefault="009656F6">
            <w:pPr>
              <w:textAlignment w:val="bottom"/>
            </w:pPr>
            <w:r>
              <w:rPr>
                <w:rFonts w:ascii="Arial" w:eastAsia="宋体" w:hAnsi="Arial" w:cs="Arial"/>
                <w:color w:val="000000"/>
                <w:sz w:val="17"/>
                <w:szCs w:val="17"/>
              </w:rPr>
              <w:t>% of revenues</w:t>
            </w:r>
          </w:p>
        </w:tc>
        <w:tc>
          <w:tcPr>
            <w:tcW w:w="0" w:type="auto"/>
            <w:gridSpan w:val="2"/>
            <w:tcBorders>
              <w:top w:val="single" w:sz="8" w:space="0" w:color="808080"/>
              <w:bottom w:val="single" w:sz="8" w:space="0" w:color="E87722"/>
            </w:tcBorders>
            <w:shd w:val="clear" w:color="auto" w:fill="FFF1E7"/>
            <w:tcMar>
              <w:top w:w="40" w:type="dxa"/>
              <w:left w:w="20" w:type="dxa"/>
              <w:bottom w:w="40" w:type="dxa"/>
              <w:right w:w="0" w:type="dxa"/>
            </w:tcMar>
            <w:vAlign w:val="bottom"/>
          </w:tcPr>
          <w:p w14:paraId="669C74F0" w14:textId="77777777" w:rsidR="00066C63" w:rsidRDefault="009656F6">
            <w:pPr>
              <w:jc w:val="right"/>
              <w:textAlignment w:val="bottom"/>
            </w:pPr>
            <w:r>
              <w:rPr>
                <w:rFonts w:ascii="Arial" w:eastAsia="宋体" w:hAnsi="Arial" w:cs="Arial"/>
                <w:color w:val="000000"/>
                <w:sz w:val="17"/>
                <w:szCs w:val="17"/>
              </w:rPr>
              <w:t>29.4 </w:t>
            </w:r>
          </w:p>
        </w:tc>
        <w:tc>
          <w:tcPr>
            <w:tcW w:w="0" w:type="auto"/>
            <w:tcBorders>
              <w:top w:val="single" w:sz="8" w:space="0" w:color="808080"/>
              <w:bottom w:val="single" w:sz="8" w:space="0" w:color="E87722"/>
            </w:tcBorders>
            <w:shd w:val="clear" w:color="auto" w:fill="FFF1E7"/>
            <w:tcMar>
              <w:top w:w="40" w:type="dxa"/>
              <w:left w:w="0" w:type="dxa"/>
              <w:bottom w:w="40" w:type="dxa"/>
              <w:right w:w="20" w:type="dxa"/>
            </w:tcMar>
            <w:vAlign w:val="bottom"/>
          </w:tcPr>
          <w:p w14:paraId="669C74F1" w14:textId="77777777" w:rsidR="00066C63" w:rsidRDefault="009656F6">
            <w:pPr>
              <w:jc w:val="right"/>
              <w:textAlignment w:val="bottom"/>
            </w:pPr>
            <w:r>
              <w:rPr>
                <w:rFonts w:ascii="Arial" w:eastAsia="宋体" w:hAnsi="Arial" w:cs="Arial"/>
                <w:color w:val="000000"/>
                <w:sz w:val="17"/>
                <w:szCs w:val="17"/>
              </w:rPr>
              <w:t>%</w:t>
            </w:r>
          </w:p>
        </w:tc>
        <w:tc>
          <w:tcPr>
            <w:tcW w:w="0" w:type="auto"/>
            <w:gridSpan w:val="2"/>
            <w:tcBorders>
              <w:top w:val="single" w:sz="8" w:space="0" w:color="808080"/>
              <w:bottom w:val="single" w:sz="8" w:space="0" w:color="E87722"/>
            </w:tcBorders>
            <w:shd w:val="clear" w:color="auto" w:fill="auto"/>
            <w:tcMar>
              <w:top w:w="40" w:type="dxa"/>
              <w:left w:w="20" w:type="dxa"/>
              <w:bottom w:w="40" w:type="dxa"/>
              <w:right w:w="0" w:type="dxa"/>
            </w:tcMar>
            <w:vAlign w:val="bottom"/>
          </w:tcPr>
          <w:p w14:paraId="669C74F2" w14:textId="77777777" w:rsidR="00066C63" w:rsidRDefault="009656F6">
            <w:pPr>
              <w:jc w:val="right"/>
              <w:textAlignment w:val="bottom"/>
            </w:pPr>
            <w:r>
              <w:rPr>
                <w:rFonts w:ascii="Arial" w:eastAsia="宋体" w:hAnsi="Arial" w:cs="Arial"/>
                <w:color w:val="000000"/>
                <w:sz w:val="17"/>
                <w:szCs w:val="17"/>
              </w:rPr>
              <w:t>32.5 </w:t>
            </w:r>
          </w:p>
        </w:tc>
        <w:tc>
          <w:tcPr>
            <w:tcW w:w="0" w:type="auto"/>
            <w:tcBorders>
              <w:top w:val="single" w:sz="8" w:space="0" w:color="808080"/>
              <w:bottom w:val="single" w:sz="8" w:space="0" w:color="E87722"/>
            </w:tcBorders>
            <w:shd w:val="clear" w:color="auto" w:fill="auto"/>
            <w:tcMar>
              <w:top w:w="40" w:type="dxa"/>
              <w:left w:w="0" w:type="dxa"/>
              <w:bottom w:w="40" w:type="dxa"/>
              <w:right w:w="20" w:type="dxa"/>
            </w:tcMar>
            <w:vAlign w:val="bottom"/>
          </w:tcPr>
          <w:p w14:paraId="669C74F3" w14:textId="77777777" w:rsidR="00066C63" w:rsidRDefault="009656F6">
            <w:pPr>
              <w:jc w:val="right"/>
              <w:textAlignment w:val="bottom"/>
            </w:pPr>
            <w:r>
              <w:rPr>
                <w:rFonts w:ascii="Arial" w:eastAsia="宋体" w:hAnsi="Arial" w:cs="Arial"/>
                <w:color w:val="000000"/>
                <w:sz w:val="17"/>
                <w:szCs w:val="17"/>
              </w:rPr>
              <w:t>%</w:t>
            </w:r>
          </w:p>
        </w:tc>
        <w:tc>
          <w:tcPr>
            <w:tcW w:w="0" w:type="auto"/>
            <w:gridSpan w:val="3"/>
            <w:tcBorders>
              <w:top w:val="single" w:sz="8" w:space="0" w:color="808080"/>
              <w:bottom w:val="single" w:sz="8" w:space="0" w:color="E87722"/>
            </w:tcBorders>
            <w:shd w:val="clear" w:color="auto" w:fill="auto"/>
            <w:tcMar>
              <w:top w:w="40" w:type="dxa"/>
              <w:left w:w="20" w:type="dxa"/>
              <w:bottom w:w="40" w:type="dxa"/>
              <w:right w:w="20" w:type="dxa"/>
            </w:tcMar>
          </w:tcPr>
          <w:p w14:paraId="669C74F4" w14:textId="77777777" w:rsidR="00066C63" w:rsidRDefault="009656F6">
            <w:pPr>
              <w:jc w:val="right"/>
              <w:textAlignment w:val="top"/>
            </w:pPr>
            <w:r>
              <w:rPr>
                <w:rFonts w:ascii="Arial" w:eastAsia="宋体" w:hAnsi="Arial" w:cs="Arial"/>
                <w:color w:val="000000"/>
                <w:sz w:val="17"/>
                <w:szCs w:val="17"/>
              </w:rPr>
              <w:t>(310) bps</w:t>
            </w:r>
          </w:p>
        </w:tc>
        <w:tc>
          <w:tcPr>
            <w:tcW w:w="0" w:type="auto"/>
            <w:gridSpan w:val="3"/>
            <w:tcBorders>
              <w:top w:val="single" w:sz="8" w:space="0" w:color="808080"/>
              <w:bottom w:val="single" w:sz="8" w:space="0" w:color="E87722"/>
            </w:tcBorders>
            <w:shd w:val="clear" w:color="auto" w:fill="auto"/>
            <w:tcMar>
              <w:top w:w="0" w:type="dxa"/>
              <w:left w:w="20" w:type="dxa"/>
              <w:bottom w:w="0" w:type="dxa"/>
              <w:right w:w="20" w:type="dxa"/>
            </w:tcMar>
          </w:tcPr>
          <w:p w14:paraId="669C74F5" w14:textId="77777777" w:rsidR="00066C63" w:rsidRDefault="00066C63">
            <w:pPr>
              <w:rPr>
                <w:rFonts w:ascii="宋体"/>
              </w:rPr>
            </w:pPr>
          </w:p>
        </w:tc>
        <w:tc>
          <w:tcPr>
            <w:tcW w:w="0" w:type="auto"/>
            <w:gridSpan w:val="2"/>
            <w:tcBorders>
              <w:top w:val="single" w:sz="8" w:space="0" w:color="808080"/>
              <w:bottom w:val="single" w:sz="8" w:space="0" w:color="E87722"/>
            </w:tcBorders>
            <w:shd w:val="clear" w:color="auto" w:fill="FFF1E7"/>
            <w:tcMar>
              <w:top w:w="40" w:type="dxa"/>
              <w:left w:w="20" w:type="dxa"/>
              <w:bottom w:w="40" w:type="dxa"/>
              <w:right w:w="0" w:type="dxa"/>
            </w:tcMar>
            <w:vAlign w:val="bottom"/>
          </w:tcPr>
          <w:p w14:paraId="669C74F6" w14:textId="77777777" w:rsidR="00066C63" w:rsidRDefault="009656F6">
            <w:pPr>
              <w:jc w:val="right"/>
              <w:textAlignment w:val="bottom"/>
            </w:pPr>
            <w:r>
              <w:rPr>
                <w:rFonts w:ascii="Arial" w:eastAsia="宋体" w:hAnsi="Arial" w:cs="Arial"/>
                <w:color w:val="000000"/>
                <w:sz w:val="17"/>
                <w:szCs w:val="17"/>
              </w:rPr>
              <w:t>28.8 </w:t>
            </w:r>
          </w:p>
        </w:tc>
        <w:tc>
          <w:tcPr>
            <w:tcW w:w="0" w:type="auto"/>
            <w:tcBorders>
              <w:top w:val="single" w:sz="8" w:space="0" w:color="808080"/>
              <w:bottom w:val="single" w:sz="8" w:space="0" w:color="E87722"/>
            </w:tcBorders>
            <w:shd w:val="clear" w:color="auto" w:fill="FFF1E7"/>
            <w:tcMar>
              <w:top w:w="40" w:type="dxa"/>
              <w:left w:w="0" w:type="dxa"/>
              <w:bottom w:w="40" w:type="dxa"/>
              <w:right w:w="20" w:type="dxa"/>
            </w:tcMar>
            <w:vAlign w:val="bottom"/>
          </w:tcPr>
          <w:p w14:paraId="669C74F7" w14:textId="77777777" w:rsidR="00066C63" w:rsidRDefault="009656F6">
            <w:pPr>
              <w:jc w:val="right"/>
              <w:textAlignment w:val="bottom"/>
            </w:pPr>
            <w:r>
              <w:rPr>
                <w:rFonts w:ascii="Arial" w:eastAsia="宋体" w:hAnsi="Arial" w:cs="Arial"/>
                <w:color w:val="000000"/>
                <w:sz w:val="17"/>
                <w:szCs w:val="17"/>
              </w:rPr>
              <w:t>%</w:t>
            </w:r>
          </w:p>
        </w:tc>
        <w:tc>
          <w:tcPr>
            <w:tcW w:w="0" w:type="auto"/>
            <w:gridSpan w:val="2"/>
            <w:tcBorders>
              <w:top w:val="single" w:sz="8" w:space="0" w:color="808080"/>
              <w:bottom w:val="single" w:sz="8" w:space="0" w:color="E87722"/>
            </w:tcBorders>
            <w:shd w:val="clear" w:color="auto" w:fill="auto"/>
            <w:tcMar>
              <w:top w:w="40" w:type="dxa"/>
              <w:left w:w="20" w:type="dxa"/>
              <w:bottom w:w="40" w:type="dxa"/>
              <w:right w:w="0" w:type="dxa"/>
            </w:tcMar>
            <w:vAlign w:val="bottom"/>
          </w:tcPr>
          <w:p w14:paraId="669C74F8" w14:textId="77777777" w:rsidR="00066C63" w:rsidRDefault="009656F6">
            <w:pPr>
              <w:jc w:val="right"/>
              <w:textAlignment w:val="bottom"/>
            </w:pPr>
            <w:r>
              <w:rPr>
                <w:rFonts w:ascii="Arial" w:eastAsia="宋体" w:hAnsi="Arial" w:cs="Arial"/>
                <w:color w:val="000000"/>
                <w:sz w:val="17"/>
                <w:szCs w:val="17"/>
              </w:rPr>
              <w:t>32.0 </w:t>
            </w:r>
          </w:p>
        </w:tc>
        <w:tc>
          <w:tcPr>
            <w:tcW w:w="0" w:type="auto"/>
            <w:tcBorders>
              <w:top w:val="single" w:sz="8" w:space="0" w:color="808080"/>
              <w:bottom w:val="single" w:sz="8" w:space="0" w:color="E87722"/>
            </w:tcBorders>
            <w:shd w:val="clear" w:color="auto" w:fill="auto"/>
            <w:tcMar>
              <w:top w:w="40" w:type="dxa"/>
              <w:left w:w="0" w:type="dxa"/>
              <w:bottom w:w="40" w:type="dxa"/>
              <w:right w:w="20" w:type="dxa"/>
            </w:tcMar>
            <w:vAlign w:val="bottom"/>
          </w:tcPr>
          <w:p w14:paraId="669C74F9" w14:textId="77777777" w:rsidR="00066C63" w:rsidRDefault="009656F6">
            <w:pPr>
              <w:jc w:val="right"/>
              <w:textAlignment w:val="bottom"/>
            </w:pPr>
            <w:r>
              <w:rPr>
                <w:rFonts w:ascii="Arial" w:eastAsia="宋体" w:hAnsi="Arial" w:cs="Arial"/>
                <w:color w:val="000000"/>
                <w:sz w:val="17"/>
                <w:szCs w:val="17"/>
              </w:rPr>
              <w:t>%</w:t>
            </w:r>
          </w:p>
        </w:tc>
        <w:tc>
          <w:tcPr>
            <w:tcW w:w="0" w:type="auto"/>
            <w:gridSpan w:val="3"/>
            <w:tcBorders>
              <w:top w:val="single" w:sz="8" w:space="0" w:color="808080"/>
              <w:bottom w:val="single" w:sz="8" w:space="0" w:color="E87722"/>
            </w:tcBorders>
            <w:shd w:val="clear" w:color="auto" w:fill="auto"/>
            <w:tcMar>
              <w:top w:w="40" w:type="dxa"/>
              <w:left w:w="20" w:type="dxa"/>
              <w:bottom w:w="40" w:type="dxa"/>
              <w:right w:w="20" w:type="dxa"/>
            </w:tcMar>
          </w:tcPr>
          <w:p w14:paraId="669C74FA" w14:textId="77777777" w:rsidR="00066C63" w:rsidRDefault="009656F6">
            <w:pPr>
              <w:jc w:val="right"/>
              <w:textAlignment w:val="top"/>
            </w:pPr>
            <w:r>
              <w:rPr>
                <w:rFonts w:ascii="Arial" w:eastAsia="宋体" w:hAnsi="Arial" w:cs="Arial"/>
                <w:color w:val="000000"/>
                <w:sz w:val="17"/>
                <w:szCs w:val="17"/>
              </w:rPr>
              <w:t>(320) bps</w:t>
            </w:r>
          </w:p>
        </w:tc>
      </w:tr>
    </w:tbl>
    <w:p w14:paraId="669C74FC" w14:textId="77777777" w:rsidR="00066C63" w:rsidRDefault="009656F6">
      <w:pPr>
        <w:spacing w:before="60" w:after="60"/>
        <w:ind w:hanging="360"/>
      </w:pPr>
      <w:r>
        <w:rPr>
          <w:rFonts w:ascii="Arial" w:eastAsia="宋体" w:hAnsi="Arial" w:cs="Arial"/>
          <w:i/>
          <w:iCs/>
          <w:color w:val="000000"/>
          <w:sz w:val="14"/>
          <w:szCs w:val="14"/>
        </w:rPr>
        <w:t xml:space="preserve">(1)Demand creation expense consists of advertising and promotion costs, including costs of endorsement contracts, complimentary product, television, digital and print advertising and media costs, brand events and retail brand </w:t>
      </w:r>
      <w:r>
        <w:rPr>
          <w:rFonts w:ascii="Arial" w:eastAsia="宋体" w:hAnsi="Arial" w:cs="Arial"/>
          <w:i/>
          <w:iCs/>
          <w:color w:val="000000"/>
          <w:sz w:val="14"/>
          <w:szCs w:val="14"/>
        </w:rPr>
        <w:t>presentation.</w:t>
      </w:r>
    </w:p>
    <w:p w14:paraId="669C74FD" w14:textId="77777777" w:rsidR="00066C63" w:rsidRDefault="009656F6">
      <w:pPr>
        <w:spacing w:before="120"/>
      </w:pPr>
      <w:r>
        <w:rPr>
          <w:rFonts w:ascii="sans-serif" w:eastAsia="sans-serif" w:hAnsi="sans-serif" w:cs="sans-serif"/>
          <w:b/>
          <w:bCs/>
          <w:color w:val="808080"/>
          <w:sz w:val="22"/>
          <w:szCs w:val="22"/>
        </w:rPr>
        <w:t>THIRD QUARTER OF FISCAL 2021 COMPARED TO THIRD QUARTER OF FISCAL 2020</w:t>
      </w:r>
    </w:p>
    <w:p w14:paraId="669C74FE" w14:textId="77777777" w:rsidR="00066C63" w:rsidRDefault="009656F6">
      <w:r>
        <w:rPr>
          <w:rFonts w:ascii="Arial" w:eastAsia="宋体" w:hAnsi="Arial" w:cs="Arial"/>
          <w:color w:val="000000"/>
          <w:sz w:val="17"/>
          <w:szCs w:val="17"/>
        </w:rPr>
        <w:t>Demand creation expense decreased 18% for the third quarter of fiscal 2021 primarily due to lower advertising and marketing expense for brand events and our retail operatio</w:t>
      </w:r>
      <w:r>
        <w:rPr>
          <w:rFonts w:ascii="Arial" w:eastAsia="宋体" w:hAnsi="Arial" w:cs="Arial"/>
          <w:color w:val="000000"/>
          <w:sz w:val="17"/>
          <w:szCs w:val="17"/>
        </w:rPr>
        <w:t>ns. This activity was partially offset by an increase in digital marketing to support heightened digital demand. Changes in foreign currency exchange rates increased Demand creation expense by approximately 2 percentage points.</w:t>
      </w:r>
    </w:p>
    <w:p w14:paraId="669C74FF" w14:textId="77777777" w:rsidR="00066C63" w:rsidRDefault="009656F6">
      <w:pPr>
        <w:spacing w:before="120" w:after="120"/>
      </w:pPr>
      <w:r>
        <w:rPr>
          <w:rFonts w:ascii="Arial" w:eastAsia="宋体" w:hAnsi="Arial" w:cs="Arial"/>
          <w:color w:val="000000"/>
          <w:sz w:val="17"/>
          <w:szCs w:val="17"/>
        </w:rPr>
        <w:t>Operating overhead expense d</w:t>
      </w:r>
      <w:r>
        <w:rPr>
          <w:rFonts w:ascii="Arial" w:eastAsia="宋体" w:hAnsi="Arial" w:cs="Arial"/>
          <w:color w:val="000000"/>
          <w:sz w:val="17"/>
          <w:szCs w:val="17"/>
        </w:rPr>
        <w:t>ecreased 3% primarily due to lower wage-related costs, continued disciplined expense management and lower bad debt expense, partially offset by continued investments in digital capabilities to support our Consumer Direct Acceleration strategy. Changes in f</w:t>
      </w:r>
      <w:r>
        <w:rPr>
          <w:rFonts w:ascii="Arial" w:eastAsia="宋体" w:hAnsi="Arial" w:cs="Arial"/>
          <w:color w:val="000000"/>
          <w:sz w:val="17"/>
          <w:szCs w:val="17"/>
        </w:rPr>
        <w:t>oreign currency exchange rates increased Operating overhead expense by approximately 2 percentage points.</w:t>
      </w:r>
    </w:p>
    <w:p w14:paraId="669C7500" w14:textId="77777777" w:rsidR="00066C63" w:rsidRDefault="009656F6">
      <w:pPr>
        <w:spacing w:before="120"/>
      </w:pPr>
      <w:r>
        <w:rPr>
          <w:rFonts w:ascii="sans-serif" w:eastAsia="sans-serif" w:hAnsi="sans-serif" w:cs="sans-serif"/>
          <w:b/>
          <w:bCs/>
          <w:color w:val="808080"/>
          <w:sz w:val="22"/>
          <w:szCs w:val="22"/>
        </w:rPr>
        <w:t>FIRST NINE MONTHS OF FISCAL 2021 COMPARED TO FIRST NINE MONTHS OF FISCAL 2020</w:t>
      </w:r>
    </w:p>
    <w:p w14:paraId="669C7501" w14:textId="77777777" w:rsidR="00066C63" w:rsidRDefault="009656F6">
      <w:r>
        <w:rPr>
          <w:rFonts w:ascii="Arial" w:eastAsia="宋体" w:hAnsi="Arial" w:cs="Arial"/>
          <w:color w:val="000000"/>
          <w:sz w:val="17"/>
          <w:szCs w:val="17"/>
        </w:rPr>
        <w:t xml:space="preserve">Demand creation expense decreased 24% for the first nine months of </w:t>
      </w:r>
      <w:r>
        <w:rPr>
          <w:rFonts w:ascii="Arial" w:eastAsia="宋体" w:hAnsi="Arial" w:cs="Arial"/>
          <w:color w:val="000000"/>
          <w:sz w:val="17"/>
          <w:szCs w:val="17"/>
        </w:rPr>
        <w:t xml:space="preserve">fiscal 2021, driven by lower advertising and marketing expense for brand events and our retail operations, as well as lower sports marketing expense, primarily as a result of COVID-19. This activity was partially offset by an increase in digital marketing </w:t>
      </w:r>
      <w:r>
        <w:rPr>
          <w:rFonts w:ascii="Arial" w:eastAsia="宋体" w:hAnsi="Arial" w:cs="Arial"/>
          <w:color w:val="000000"/>
          <w:sz w:val="17"/>
          <w:szCs w:val="17"/>
        </w:rPr>
        <w:t>to support heightened digital demand. Changes in foreign currency exchange rates increased Demand creation expense by approximately 1 percentage point.</w:t>
      </w:r>
    </w:p>
    <w:p w14:paraId="669C7502" w14:textId="77777777" w:rsidR="00066C63" w:rsidRDefault="009656F6">
      <w:pPr>
        <w:spacing w:before="120" w:after="120"/>
      </w:pPr>
      <w:r>
        <w:rPr>
          <w:rFonts w:ascii="Arial" w:eastAsia="宋体" w:hAnsi="Arial" w:cs="Arial"/>
          <w:color w:val="000000"/>
          <w:sz w:val="17"/>
          <w:szCs w:val="17"/>
        </w:rPr>
        <w:t xml:space="preserve">Operating overhead expense was flat, as lower travel and related expenses as well as lower wage-related </w:t>
      </w:r>
      <w:r>
        <w:rPr>
          <w:rFonts w:ascii="Arial" w:eastAsia="宋体" w:hAnsi="Arial" w:cs="Arial"/>
          <w:color w:val="000000"/>
          <w:sz w:val="17"/>
          <w:szCs w:val="17"/>
        </w:rPr>
        <w:t xml:space="preserve">costs were offset by $208 million of restructuring-related costs associated with changes to our organizational model announced in July 2020, as well as our continued investments in digital capabilities. Changes in foreign currency exchange rates increased </w:t>
      </w:r>
      <w:r>
        <w:rPr>
          <w:rFonts w:ascii="Arial" w:eastAsia="宋体" w:hAnsi="Arial" w:cs="Arial"/>
          <w:color w:val="000000"/>
          <w:sz w:val="17"/>
          <w:szCs w:val="17"/>
        </w:rPr>
        <w:t>Operating overhead expense by approximately 1 percentage point.</w:t>
      </w:r>
    </w:p>
    <w:p w14:paraId="669C7503" w14:textId="77777777" w:rsidR="00066C63" w:rsidRDefault="009656F6">
      <w:pPr>
        <w:spacing w:before="120" w:after="120"/>
      </w:pPr>
      <w:r>
        <w:rPr>
          <w:rFonts w:ascii="Arial" w:eastAsia="宋体" w:hAnsi="Arial" w:cs="Arial"/>
          <w:color w:val="000000"/>
          <w:sz w:val="17"/>
          <w:szCs w:val="17"/>
        </w:rPr>
        <w:t>For more information related to our organizational realignment and related costs, see Note 14 — Restructuring within the accompanying Notes to the Unaudited Condensed Consolidated Financial St</w:t>
      </w:r>
      <w:r>
        <w:rPr>
          <w:rFonts w:ascii="Arial" w:eastAsia="宋体" w:hAnsi="Arial" w:cs="Arial"/>
          <w:color w:val="000000"/>
          <w:sz w:val="17"/>
          <w:szCs w:val="17"/>
        </w:rPr>
        <w:t>atements.</w:t>
      </w:r>
    </w:p>
    <w:p w14:paraId="669C7504" w14:textId="77777777" w:rsidR="00066C63" w:rsidRDefault="009656F6">
      <w:pPr>
        <w:spacing w:before="240" w:after="120"/>
      </w:pPr>
      <w:r>
        <w:rPr>
          <w:rFonts w:ascii="sans-serif" w:eastAsia="sans-serif" w:hAnsi="sans-serif" w:cs="sans-serif"/>
          <w:b/>
          <w:bCs/>
          <w:color w:val="000000"/>
          <w:sz w:val="28"/>
          <w:szCs w:val="28"/>
        </w:rPr>
        <w:t>OTHER (INCOME) EXPENSE, NET</w:t>
      </w:r>
    </w:p>
    <w:tbl>
      <w:tblPr>
        <w:tblW w:w="5000" w:type="pct"/>
        <w:tblCellMar>
          <w:top w:w="15" w:type="dxa"/>
          <w:left w:w="15" w:type="dxa"/>
          <w:bottom w:w="15" w:type="dxa"/>
          <w:right w:w="15" w:type="dxa"/>
        </w:tblCellMar>
        <w:tblLook w:val="04A0" w:firstRow="1" w:lastRow="0" w:firstColumn="1" w:lastColumn="0" w:noHBand="0" w:noVBand="1"/>
      </w:tblPr>
      <w:tblGrid>
        <w:gridCol w:w="38"/>
        <w:gridCol w:w="3473"/>
        <w:gridCol w:w="37"/>
        <w:gridCol w:w="116"/>
        <w:gridCol w:w="1017"/>
        <w:gridCol w:w="37"/>
        <w:gridCol w:w="116"/>
        <w:gridCol w:w="1017"/>
        <w:gridCol w:w="37"/>
        <w:gridCol w:w="36"/>
        <w:gridCol w:w="36"/>
        <w:gridCol w:w="36"/>
        <w:gridCol w:w="116"/>
        <w:gridCol w:w="1017"/>
        <w:gridCol w:w="36"/>
        <w:gridCol w:w="116"/>
        <w:gridCol w:w="1018"/>
        <w:gridCol w:w="37"/>
      </w:tblGrid>
      <w:tr w:rsidR="00066C63" w14:paraId="669C7517" w14:textId="77777777">
        <w:tc>
          <w:tcPr>
            <w:tcW w:w="50" w:type="pct"/>
            <w:shd w:val="clear" w:color="auto" w:fill="auto"/>
          </w:tcPr>
          <w:p w14:paraId="669C7505" w14:textId="77777777" w:rsidR="00066C63" w:rsidRDefault="00066C63">
            <w:pPr>
              <w:rPr>
                <w:rFonts w:ascii="宋体"/>
              </w:rPr>
            </w:pPr>
          </w:p>
        </w:tc>
        <w:tc>
          <w:tcPr>
            <w:tcW w:w="2122" w:type="pct"/>
            <w:shd w:val="clear" w:color="auto" w:fill="auto"/>
          </w:tcPr>
          <w:p w14:paraId="669C7506" w14:textId="77777777" w:rsidR="00066C63" w:rsidRDefault="00066C63">
            <w:pPr>
              <w:rPr>
                <w:rFonts w:ascii="宋体"/>
              </w:rPr>
            </w:pPr>
          </w:p>
        </w:tc>
        <w:tc>
          <w:tcPr>
            <w:tcW w:w="5" w:type="pct"/>
            <w:shd w:val="clear" w:color="auto" w:fill="auto"/>
          </w:tcPr>
          <w:p w14:paraId="669C7507" w14:textId="77777777" w:rsidR="00066C63" w:rsidRDefault="00066C63">
            <w:pPr>
              <w:rPr>
                <w:rFonts w:ascii="宋体"/>
              </w:rPr>
            </w:pPr>
          </w:p>
        </w:tc>
        <w:tc>
          <w:tcPr>
            <w:tcW w:w="50" w:type="pct"/>
            <w:shd w:val="clear" w:color="auto" w:fill="auto"/>
          </w:tcPr>
          <w:p w14:paraId="669C7508" w14:textId="77777777" w:rsidR="00066C63" w:rsidRDefault="00066C63">
            <w:pPr>
              <w:rPr>
                <w:rFonts w:ascii="宋体"/>
              </w:rPr>
            </w:pPr>
          </w:p>
        </w:tc>
        <w:tc>
          <w:tcPr>
            <w:tcW w:w="643" w:type="pct"/>
            <w:shd w:val="clear" w:color="auto" w:fill="auto"/>
          </w:tcPr>
          <w:p w14:paraId="669C7509" w14:textId="77777777" w:rsidR="00066C63" w:rsidRDefault="00066C63">
            <w:pPr>
              <w:rPr>
                <w:rFonts w:ascii="宋体"/>
              </w:rPr>
            </w:pPr>
          </w:p>
        </w:tc>
        <w:tc>
          <w:tcPr>
            <w:tcW w:w="5" w:type="pct"/>
            <w:shd w:val="clear" w:color="auto" w:fill="auto"/>
          </w:tcPr>
          <w:p w14:paraId="669C750A" w14:textId="77777777" w:rsidR="00066C63" w:rsidRDefault="00066C63">
            <w:pPr>
              <w:rPr>
                <w:rFonts w:ascii="宋体"/>
              </w:rPr>
            </w:pPr>
          </w:p>
        </w:tc>
        <w:tc>
          <w:tcPr>
            <w:tcW w:w="50" w:type="pct"/>
            <w:shd w:val="clear" w:color="auto" w:fill="auto"/>
          </w:tcPr>
          <w:p w14:paraId="669C750B" w14:textId="77777777" w:rsidR="00066C63" w:rsidRDefault="00066C63">
            <w:pPr>
              <w:rPr>
                <w:rFonts w:ascii="宋体"/>
              </w:rPr>
            </w:pPr>
          </w:p>
        </w:tc>
        <w:tc>
          <w:tcPr>
            <w:tcW w:w="643" w:type="pct"/>
            <w:shd w:val="clear" w:color="auto" w:fill="auto"/>
          </w:tcPr>
          <w:p w14:paraId="669C750C" w14:textId="77777777" w:rsidR="00066C63" w:rsidRDefault="00066C63">
            <w:pPr>
              <w:rPr>
                <w:rFonts w:ascii="宋体"/>
              </w:rPr>
            </w:pPr>
          </w:p>
        </w:tc>
        <w:tc>
          <w:tcPr>
            <w:tcW w:w="5" w:type="pct"/>
            <w:shd w:val="clear" w:color="auto" w:fill="auto"/>
          </w:tcPr>
          <w:p w14:paraId="669C750D" w14:textId="77777777" w:rsidR="00066C63" w:rsidRDefault="00066C63">
            <w:pPr>
              <w:rPr>
                <w:rFonts w:ascii="宋体"/>
              </w:rPr>
            </w:pPr>
          </w:p>
        </w:tc>
        <w:tc>
          <w:tcPr>
            <w:tcW w:w="5" w:type="pct"/>
            <w:shd w:val="clear" w:color="auto" w:fill="auto"/>
          </w:tcPr>
          <w:p w14:paraId="669C750E" w14:textId="77777777" w:rsidR="00066C63" w:rsidRDefault="00066C63">
            <w:pPr>
              <w:rPr>
                <w:rFonts w:ascii="宋体"/>
              </w:rPr>
            </w:pPr>
          </w:p>
        </w:tc>
        <w:tc>
          <w:tcPr>
            <w:tcW w:w="20" w:type="pct"/>
            <w:shd w:val="clear" w:color="auto" w:fill="auto"/>
          </w:tcPr>
          <w:p w14:paraId="669C750F" w14:textId="77777777" w:rsidR="00066C63" w:rsidRDefault="00066C63">
            <w:pPr>
              <w:rPr>
                <w:rFonts w:ascii="宋体"/>
              </w:rPr>
            </w:pPr>
          </w:p>
        </w:tc>
        <w:tc>
          <w:tcPr>
            <w:tcW w:w="5" w:type="pct"/>
            <w:shd w:val="clear" w:color="auto" w:fill="auto"/>
          </w:tcPr>
          <w:p w14:paraId="669C7510" w14:textId="77777777" w:rsidR="00066C63" w:rsidRDefault="00066C63">
            <w:pPr>
              <w:rPr>
                <w:rFonts w:ascii="宋体"/>
              </w:rPr>
            </w:pPr>
          </w:p>
        </w:tc>
        <w:tc>
          <w:tcPr>
            <w:tcW w:w="50" w:type="pct"/>
            <w:shd w:val="clear" w:color="auto" w:fill="auto"/>
          </w:tcPr>
          <w:p w14:paraId="669C7511" w14:textId="77777777" w:rsidR="00066C63" w:rsidRDefault="00066C63">
            <w:pPr>
              <w:rPr>
                <w:rFonts w:ascii="宋体"/>
              </w:rPr>
            </w:pPr>
          </w:p>
        </w:tc>
        <w:tc>
          <w:tcPr>
            <w:tcW w:w="643" w:type="pct"/>
            <w:shd w:val="clear" w:color="auto" w:fill="auto"/>
          </w:tcPr>
          <w:p w14:paraId="669C7512" w14:textId="77777777" w:rsidR="00066C63" w:rsidRDefault="00066C63">
            <w:pPr>
              <w:rPr>
                <w:rFonts w:ascii="宋体"/>
              </w:rPr>
            </w:pPr>
          </w:p>
        </w:tc>
        <w:tc>
          <w:tcPr>
            <w:tcW w:w="5" w:type="pct"/>
            <w:shd w:val="clear" w:color="auto" w:fill="auto"/>
          </w:tcPr>
          <w:p w14:paraId="669C7513" w14:textId="77777777" w:rsidR="00066C63" w:rsidRDefault="00066C63">
            <w:pPr>
              <w:rPr>
                <w:rFonts w:ascii="宋体"/>
              </w:rPr>
            </w:pPr>
          </w:p>
        </w:tc>
        <w:tc>
          <w:tcPr>
            <w:tcW w:w="50" w:type="pct"/>
            <w:shd w:val="clear" w:color="auto" w:fill="auto"/>
          </w:tcPr>
          <w:p w14:paraId="669C7514" w14:textId="77777777" w:rsidR="00066C63" w:rsidRDefault="00066C63">
            <w:pPr>
              <w:rPr>
                <w:rFonts w:ascii="宋体"/>
              </w:rPr>
            </w:pPr>
          </w:p>
        </w:tc>
        <w:tc>
          <w:tcPr>
            <w:tcW w:w="643" w:type="pct"/>
            <w:shd w:val="clear" w:color="auto" w:fill="auto"/>
          </w:tcPr>
          <w:p w14:paraId="669C7515" w14:textId="77777777" w:rsidR="00066C63" w:rsidRDefault="00066C63">
            <w:pPr>
              <w:rPr>
                <w:rFonts w:ascii="宋体"/>
              </w:rPr>
            </w:pPr>
          </w:p>
        </w:tc>
        <w:tc>
          <w:tcPr>
            <w:tcW w:w="5" w:type="pct"/>
            <w:shd w:val="clear" w:color="auto" w:fill="auto"/>
          </w:tcPr>
          <w:p w14:paraId="669C7516" w14:textId="77777777" w:rsidR="00066C63" w:rsidRDefault="00066C63">
            <w:pPr>
              <w:rPr>
                <w:rFonts w:ascii="宋体"/>
              </w:rPr>
            </w:pPr>
          </w:p>
        </w:tc>
      </w:tr>
      <w:tr w:rsidR="00066C63" w14:paraId="669C751C" w14:textId="77777777">
        <w:tc>
          <w:tcPr>
            <w:tcW w:w="0" w:type="auto"/>
            <w:gridSpan w:val="3"/>
            <w:shd w:val="clear" w:color="auto" w:fill="auto"/>
            <w:tcMar>
              <w:top w:w="0" w:type="dxa"/>
              <w:left w:w="20" w:type="dxa"/>
              <w:bottom w:w="0" w:type="dxa"/>
              <w:right w:w="20" w:type="dxa"/>
            </w:tcMar>
          </w:tcPr>
          <w:p w14:paraId="669C7518" w14:textId="77777777" w:rsidR="00066C63" w:rsidRDefault="00066C63">
            <w:pPr>
              <w:rPr>
                <w:rFonts w:ascii="宋体"/>
              </w:rPr>
            </w:pPr>
          </w:p>
        </w:tc>
        <w:tc>
          <w:tcPr>
            <w:tcW w:w="0" w:type="auto"/>
            <w:gridSpan w:val="6"/>
            <w:shd w:val="clear" w:color="auto" w:fill="auto"/>
            <w:tcMar>
              <w:top w:w="40" w:type="dxa"/>
              <w:left w:w="20" w:type="dxa"/>
              <w:bottom w:w="40" w:type="dxa"/>
              <w:right w:w="20" w:type="dxa"/>
            </w:tcMar>
            <w:vAlign w:val="bottom"/>
          </w:tcPr>
          <w:p w14:paraId="669C7519" w14:textId="77777777" w:rsidR="00066C63" w:rsidRDefault="009656F6">
            <w:pPr>
              <w:jc w:val="center"/>
              <w:textAlignment w:val="bottom"/>
            </w:pPr>
            <w:r>
              <w:rPr>
                <w:rFonts w:ascii="sans-serif" w:eastAsia="sans-serif" w:hAnsi="sans-serif" w:cs="sans-serif"/>
                <w:b/>
                <w:bCs/>
                <w:color w:val="000000"/>
                <w:sz w:val="17"/>
                <w:szCs w:val="17"/>
              </w:rPr>
              <w:t xml:space="preserve">THREE MONTHS ENDED </w:t>
            </w:r>
          </w:p>
        </w:tc>
        <w:tc>
          <w:tcPr>
            <w:tcW w:w="0" w:type="auto"/>
            <w:gridSpan w:val="3"/>
            <w:shd w:val="clear" w:color="auto" w:fill="auto"/>
            <w:tcMar>
              <w:top w:w="0" w:type="dxa"/>
              <w:left w:w="20" w:type="dxa"/>
              <w:bottom w:w="0" w:type="dxa"/>
              <w:right w:w="20" w:type="dxa"/>
            </w:tcMar>
          </w:tcPr>
          <w:p w14:paraId="669C751A" w14:textId="77777777" w:rsidR="00066C63" w:rsidRDefault="00066C63">
            <w:pPr>
              <w:rPr>
                <w:rFonts w:ascii="宋体"/>
              </w:rPr>
            </w:pPr>
          </w:p>
        </w:tc>
        <w:tc>
          <w:tcPr>
            <w:tcW w:w="0" w:type="auto"/>
            <w:gridSpan w:val="6"/>
            <w:shd w:val="clear" w:color="auto" w:fill="auto"/>
            <w:tcMar>
              <w:top w:w="40" w:type="dxa"/>
              <w:left w:w="20" w:type="dxa"/>
              <w:bottom w:w="40" w:type="dxa"/>
              <w:right w:w="20" w:type="dxa"/>
            </w:tcMar>
            <w:vAlign w:val="bottom"/>
          </w:tcPr>
          <w:p w14:paraId="669C751B" w14:textId="77777777" w:rsidR="00066C63" w:rsidRDefault="009656F6">
            <w:pPr>
              <w:jc w:val="center"/>
              <w:textAlignment w:val="bottom"/>
            </w:pPr>
            <w:r>
              <w:rPr>
                <w:rFonts w:ascii="sans-serif" w:eastAsia="sans-serif" w:hAnsi="sans-serif" w:cs="sans-serif"/>
                <w:b/>
                <w:bCs/>
                <w:color w:val="000000"/>
                <w:sz w:val="17"/>
                <w:szCs w:val="17"/>
              </w:rPr>
              <w:t xml:space="preserve">NINE MONTHS ENDED </w:t>
            </w:r>
          </w:p>
        </w:tc>
      </w:tr>
      <w:tr w:rsidR="00066C63" w14:paraId="669C7523" w14:textId="77777777">
        <w:tc>
          <w:tcPr>
            <w:tcW w:w="0" w:type="auto"/>
            <w:gridSpan w:val="3"/>
            <w:shd w:val="clear" w:color="auto" w:fill="auto"/>
            <w:tcMar>
              <w:top w:w="40" w:type="dxa"/>
              <w:left w:w="20" w:type="dxa"/>
              <w:bottom w:w="40" w:type="dxa"/>
              <w:right w:w="20" w:type="dxa"/>
            </w:tcMar>
            <w:vAlign w:val="bottom"/>
          </w:tcPr>
          <w:p w14:paraId="669C751D" w14:textId="77777777" w:rsidR="00066C63" w:rsidRDefault="009656F6">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51E" w14:textId="77777777" w:rsidR="00066C63" w:rsidRDefault="009656F6">
            <w:pPr>
              <w:jc w:val="center"/>
              <w:textAlignment w:val="bottom"/>
            </w:pPr>
            <w:r>
              <w:rPr>
                <w:rFonts w:ascii="sans-serif" w:eastAsia="sans-serif" w:hAnsi="sans-serif" w:cs="sans-serif"/>
                <w:b/>
                <w:bCs/>
                <w:color w:val="000000"/>
                <w:sz w:val="17"/>
                <w:szCs w:val="17"/>
              </w:rPr>
              <w:t>FEBRUARY 28, 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51F" w14:textId="77777777" w:rsidR="00066C63" w:rsidRDefault="009656F6">
            <w:pPr>
              <w:jc w:val="center"/>
              <w:textAlignment w:val="bottom"/>
            </w:pPr>
            <w:r>
              <w:rPr>
                <w:rFonts w:ascii="sans-serif" w:eastAsia="sans-serif" w:hAnsi="sans-serif" w:cs="sans-serif"/>
                <w:b/>
                <w:bCs/>
                <w:color w:val="000000"/>
                <w:sz w:val="17"/>
                <w:szCs w:val="17"/>
              </w:rPr>
              <w:t>FEBRUARY 29, 2020</w:t>
            </w:r>
          </w:p>
        </w:tc>
        <w:tc>
          <w:tcPr>
            <w:tcW w:w="0" w:type="auto"/>
            <w:gridSpan w:val="3"/>
            <w:shd w:val="clear" w:color="auto" w:fill="auto"/>
            <w:tcMar>
              <w:top w:w="0" w:type="dxa"/>
              <w:left w:w="20" w:type="dxa"/>
              <w:bottom w:w="0" w:type="dxa"/>
              <w:right w:w="20" w:type="dxa"/>
            </w:tcMar>
          </w:tcPr>
          <w:p w14:paraId="669C7520" w14:textId="77777777" w:rsidR="00066C63" w:rsidRDefault="00066C63">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521" w14:textId="77777777" w:rsidR="00066C63" w:rsidRDefault="009656F6">
            <w:pPr>
              <w:jc w:val="center"/>
              <w:textAlignment w:val="bottom"/>
            </w:pPr>
            <w:r>
              <w:rPr>
                <w:rFonts w:ascii="sans-serif" w:eastAsia="sans-serif" w:hAnsi="sans-serif" w:cs="sans-serif"/>
                <w:b/>
                <w:bCs/>
                <w:color w:val="000000"/>
                <w:sz w:val="17"/>
                <w:szCs w:val="17"/>
              </w:rPr>
              <w:t>FEBRUARY 28, 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522" w14:textId="77777777" w:rsidR="00066C63" w:rsidRDefault="009656F6">
            <w:pPr>
              <w:jc w:val="center"/>
              <w:textAlignment w:val="bottom"/>
            </w:pPr>
            <w:r>
              <w:rPr>
                <w:rFonts w:ascii="sans-serif" w:eastAsia="sans-serif" w:hAnsi="sans-serif" w:cs="sans-serif"/>
                <w:b/>
                <w:bCs/>
                <w:color w:val="000000"/>
                <w:sz w:val="17"/>
                <w:szCs w:val="17"/>
              </w:rPr>
              <w:t>FEBRUARY 29, 2020</w:t>
            </w:r>
          </w:p>
        </w:tc>
      </w:tr>
      <w:tr w:rsidR="00066C63" w14:paraId="669C7532"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669C7524" w14:textId="77777777" w:rsidR="00066C63" w:rsidRDefault="009656F6">
            <w:pPr>
              <w:textAlignment w:val="bottom"/>
            </w:pPr>
            <w:r>
              <w:rPr>
                <w:rFonts w:ascii="Arial" w:eastAsia="宋体" w:hAnsi="Arial" w:cs="Arial"/>
                <w:color w:val="000000"/>
                <w:sz w:val="17"/>
                <w:szCs w:val="17"/>
              </w:rPr>
              <w:t>Other (income) expense, net</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69C7525"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669C7526" w14:textId="77777777" w:rsidR="00066C63" w:rsidRDefault="009656F6">
            <w:pPr>
              <w:jc w:val="right"/>
              <w:textAlignment w:val="bottom"/>
            </w:pPr>
            <w:r>
              <w:rPr>
                <w:rFonts w:ascii="Arial" w:eastAsia="宋体" w:hAnsi="Arial" w:cs="Arial"/>
                <w:color w:val="000000"/>
                <w:sz w:val="17"/>
                <w:szCs w:val="17"/>
              </w:rPr>
              <w:t>(22)</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69C7527" w14:textId="77777777" w:rsidR="00066C63" w:rsidRDefault="00066C63">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69C7528"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69C7529" w14:textId="77777777" w:rsidR="00066C63" w:rsidRDefault="009656F6">
            <w:pPr>
              <w:jc w:val="right"/>
              <w:textAlignment w:val="bottom"/>
            </w:pPr>
            <w:r>
              <w:rPr>
                <w:rFonts w:ascii="Arial" w:eastAsia="宋体" w:hAnsi="Arial" w:cs="Arial"/>
                <w:color w:val="000000"/>
                <w:sz w:val="17"/>
                <w:szCs w:val="17"/>
              </w:rPr>
              <w:t>297 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69C752A" w14:textId="77777777" w:rsidR="00066C63" w:rsidRDefault="00066C63">
            <w:pPr>
              <w:jc w:val="right"/>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tcPr>
          <w:p w14:paraId="669C752B" w14:textId="77777777" w:rsidR="00066C63" w:rsidRDefault="00066C63">
            <w:pPr>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69C752C"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669C752D" w14:textId="77777777" w:rsidR="00066C63" w:rsidRDefault="009656F6">
            <w:pPr>
              <w:jc w:val="right"/>
              <w:textAlignment w:val="bottom"/>
            </w:pPr>
            <w:r>
              <w:rPr>
                <w:rFonts w:ascii="Arial" w:eastAsia="宋体" w:hAnsi="Arial" w:cs="Arial"/>
                <w:color w:val="000000"/>
                <w:sz w:val="17"/>
                <w:szCs w:val="17"/>
              </w:rPr>
              <w:t>18 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69C752E" w14:textId="77777777" w:rsidR="00066C63" w:rsidRDefault="00066C63">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69C752F"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69C7530" w14:textId="77777777" w:rsidR="00066C63" w:rsidRDefault="009656F6">
            <w:pPr>
              <w:jc w:val="right"/>
              <w:textAlignment w:val="bottom"/>
            </w:pPr>
            <w:r>
              <w:rPr>
                <w:rFonts w:ascii="Arial" w:eastAsia="宋体" w:hAnsi="Arial" w:cs="Arial"/>
                <w:color w:val="000000"/>
                <w:sz w:val="17"/>
                <w:szCs w:val="17"/>
              </w:rPr>
              <w:t>223 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69C7531" w14:textId="77777777" w:rsidR="00066C63" w:rsidRDefault="00066C63">
            <w:pPr>
              <w:jc w:val="right"/>
              <w:rPr>
                <w:rFonts w:ascii="宋体"/>
              </w:rPr>
            </w:pPr>
          </w:p>
        </w:tc>
      </w:tr>
    </w:tbl>
    <w:p w14:paraId="669C7533" w14:textId="77777777" w:rsidR="00066C63" w:rsidRDefault="009656F6">
      <w:pPr>
        <w:spacing w:before="120" w:after="120"/>
      </w:pPr>
      <w:r>
        <w:rPr>
          <w:rFonts w:ascii="Arial" w:eastAsia="宋体" w:hAnsi="Arial" w:cs="Arial"/>
          <w:color w:val="000000"/>
          <w:sz w:val="17"/>
          <w:szCs w:val="17"/>
        </w:rPr>
        <w:t>Other (income) expense, net comprises foreign currency conversion gains and losses from the re-measurement of monetary assets and liabilities denominated in non-functional currencies an</w:t>
      </w:r>
      <w:r>
        <w:rPr>
          <w:rFonts w:ascii="Arial" w:eastAsia="宋体" w:hAnsi="Arial" w:cs="Arial"/>
          <w:color w:val="000000"/>
          <w:sz w:val="17"/>
          <w:szCs w:val="17"/>
        </w:rPr>
        <w:t>d the impact of certain foreign currency derivative instruments, as well as unusual or non-operating transactions that are outside the normal course of business.</w:t>
      </w:r>
    </w:p>
    <w:p w14:paraId="669C7534" w14:textId="77777777" w:rsidR="00066C63" w:rsidRDefault="009656F6">
      <w:pPr>
        <w:spacing w:before="120" w:after="120"/>
      </w:pPr>
      <w:r>
        <w:rPr>
          <w:rFonts w:ascii="Arial" w:eastAsia="宋体" w:hAnsi="Arial" w:cs="Arial"/>
          <w:color w:val="000000"/>
          <w:sz w:val="17"/>
          <w:szCs w:val="17"/>
        </w:rPr>
        <w:t>For the third quarter of fiscal 2021, Other (income) expense, net changed from $297 million of</w:t>
      </w:r>
      <w:r>
        <w:rPr>
          <w:rFonts w:ascii="Arial" w:eastAsia="宋体" w:hAnsi="Arial" w:cs="Arial"/>
          <w:color w:val="000000"/>
          <w:sz w:val="17"/>
          <w:szCs w:val="17"/>
        </w:rPr>
        <w:t xml:space="preserve"> other expense to $22 million of other income in the current year, primarily due to the $400 million impairment charge incurred in the prior year associated with our planned, strategic distributor partnership transition within APLA, offset by a $102 millio</w:t>
      </w:r>
      <w:r>
        <w:rPr>
          <w:rFonts w:ascii="Arial" w:eastAsia="宋体" w:hAnsi="Arial" w:cs="Arial"/>
          <w:color w:val="000000"/>
          <w:sz w:val="17"/>
          <w:szCs w:val="17"/>
        </w:rPr>
        <w:t>n net detrimental change in foreign currency conversion gains and losses, including hedges.</w:t>
      </w:r>
    </w:p>
    <w:p w14:paraId="669C7535" w14:textId="77777777" w:rsidR="00066C63" w:rsidRDefault="009656F6">
      <w:pPr>
        <w:spacing w:before="120" w:after="120"/>
      </w:pPr>
      <w:r>
        <w:rPr>
          <w:rFonts w:ascii="Arial" w:eastAsia="宋体" w:hAnsi="Arial" w:cs="Arial"/>
          <w:color w:val="000000"/>
          <w:sz w:val="17"/>
          <w:szCs w:val="17"/>
        </w:rPr>
        <w:t>For the first nine months of fiscal 2021, Other (income) expense, net decreased from $223 million of other expense to $18 million of other expense in the current year, primarily due to the $400 million impairment charge incurred in the prior year associate</w:t>
      </w:r>
      <w:r>
        <w:rPr>
          <w:rFonts w:ascii="Arial" w:eastAsia="宋体" w:hAnsi="Arial" w:cs="Arial"/>
          <w:color w:val="000000"/>
          <w:sz w:val="17"/>
          <w:szCs w:val="17"/>
        </w:rPr>
        <w:t xml:space="preserve">d with our planned, strategic distributor partnership transition within APLA, offset by a $164 million net detrimental change in foreign currency conversion gains and losses, including hedges. </w:t>
      </w:r>
    </w:p>
    <w:p w14:paraId="669C7536" w14:textId="77777777" w:rsidR="00066C63" w:rsidRDefault="009656F6">
      <w:pPr>
        <w:spacing w:before="120" w:after="120"/>
      </w:pPr>
      <w:r>
        <w:rPr>
          <w:rFonts w:ascii="Arial" w:eastAsia="宋体" w:hAnsi="Arial" w:cs="Arial"/>
          <w:color w:val="000000"/>
          <w:sz w:val="17"/>
          <w:szCs w:val="17"/>
        </w:rPr>
        <w:t>For more information related to our distributor partnership tr</w:t>
      </w:r>
      <w:r>
        <w:rPr>
          <w:rFonts w:ascii="Arial" w:eastAsia="宋体" w:hAnsi="Arial" w:cs="Arial"/>
          <w:color w:val="000000"/>
          <w:sz w:val="17"/>
          <w:szCs w:val="17"/>
        </w:rPr>
        <w:t>ansition within APLA, see Note 13 — Acquisitions and Divestitures within the accompanying Notes to the Unaudited Condensed Consolidated Financial Statements.</w:t>
      </w:r>
    </w:p>
    <w:p w14:paraId="669C7537" w14:textId="77777777" w:rsidR="00066C63" w:rsidRDefault="009656F6">
      <w:pPr>
        <w:spacing w:before="120" w:after="120"/>
      </w:pPr>
      <w:r>
        <w:rPr>
          <w:rFonts w:ascii="Arial" w:eastAsia="宋体" w:hAnsi="Arial" w:cs="Arial"/>
          <w:color w:val="000000"/>
          <w:sz w:val="17"/>
          <w:szCs w:val="17"/>
        </w:rPr>
        <w:t>We estimate the combination of the translation of foreign currency-denominated profits from our in</w:t>
      </w:r>
      <w:r>
        <w:rPr>
          <w:rFonts w:ascii="Arial" w:eastAsia="宋体" w:hAnsi="Arial" w:cs="Arial"/>
          <w:color w:val="000000"/>
          <w:sz w:val="17"/>
          <w:szCs w:val="17"/>
        </w:rPr>
        <w:t>ternational businesses and the year-over-year change in foreign currency-related gains and losses included in Other (income) expense, net had favorable impacts of approximately $7 million on our Income before income taxes for the third quarter of fiscal 20</w:t>
      </w:r>
      <w:r>
        <w:rPr>
          <w:rFonts w:ascii="Arial" w:eastAsia="宋体" w:hAnsi="Arial" w:cs="Arial"/>
          <w:color w:val="000000"/>
          <w:sz w:val="17"/>
          <w:szCs w:val="17"/>
        </w:rPr>
        <w:t>21, and unfavorable impacts of approximately $21 million for the first nine months of fiscal 2021.</w:t>
      </w:r>
    </w:p>
    <w:p w14:paraId="669C7538" w14:textId="77777777" w:rsidR="00066C63" w:rsidRDefault="009656F6">
      <w:pPr>
        <w:spacing w:before="120" w:after="120"/>
      </w:pPr>
      <w:r>
        <w:rPr>
          <w:rFonts w:ascii="Arial" w:eastAsia="宋体" w:hAnsi="Arial" w:cs="Arial"/>
          <w:color w:val="E87722"/>
          <w:sz w:val="17"/>
          <w:szCs w:val="17"/>
        </w:rPr>
        <w:t>30</w:t>
      </w:r>
      <w:r>
        <w:rPr>
          <w:rFonts w:ascii="sans-serif" w:eastAsia="sans-serif" w:hAnsi="sans-serif" w:cs="sans-serif"/>
          <w:color w:val="000000"/>
          <w:sz w:val="17"/>
          <w:szCs w:val="17"/>
        </w:rPr>
        <w:t xml:space="preserve"> </w:t>
      </w:r>
    </w:p>
    <w:p w14:paraId="669C7539" w14:textId="77777777" w:rsidR="00066C63" w:rsidRDefault="009656F6">
      <w:r>
        <w:pict w14:anchorId="669C7E4E">
          <v:rect id="_x0000_i1056" style="width:415.3pt;height:1.5pt" o:hralign="center" o:hrstd="t" o:hr="t" fillcolor="#a0a0a0" stroked="f"/>
        </w:pict>
      </w:r>
    </w:p>
    <w:p w14:paraId="669C753A" w14:textId="77777777" w:rsidR="00066C63" w:rsidRDefault="00066C63"/>
    <w:p w14:paraId="669C753B" w14:textId="77777777" w:rsidR="00066C63" w:rsidRDefault="009656F6">
      <w:hyperlink r:id="rId101" w:anchor="i1e99cb26debe49fe8b698d0f0eb1273a_7" w:history="1">
        <w:r>
          <w:rPr>
            <w:rStyle w:val="a5"/>
            <w:rFonts w:ascii="sans-serif" w:eastAsia="sans-serif" w:hAnsi="sans-serif" w:cs="sans-serif"/>
            <w:sz w:val="17"/>
            <w:szCs w:val="17"/>
          </w:rPr>
          <w:t>T</w:t>
        </w:r>
        <w:r>
          <w:rPr>
            <w:rStyle w:val="a5"/>
            <w:rFonts w:ascii="sans-serif" w:eastAsia="sans-serif" w:hAnsi="sans-serif" w:cs="sans-serif"/>
            <w:sz w:val="17"/>
            <w:szCs w:val="17"/>
          </w:rPr>
          <w:t>able of Contents</w:t>
        </w:r>
      </w:hyperlink>
    </w:p>
    <w:p w14:paraId="669C753C" w14:textId="77777777" w:rsidR="00066C63" w:rsidRDefault="00066C63"/>
    <w:p w14:paraId="669C753D" w14:textId="77777777" w:rsidR="00066C63" w:rsidRDefault="009656F6">
      <w:pPr>
        <w:spacing w:before="240" w:after="120"/>
      </w:pPr>
      <w:r>
        <w:rPr>
          <w:rFonts w:ascii="sans-serif" w:eastAsia="sans-serif" w:hAnsi="sans-serif" w:cs="sans-serif"/>
          <w:b/>
          <w:bCs/>
          <w:color w:val="000000"/>
          <w:sz w:val="28"/>
          <w:szCs w:val="28"/>
        </w:rPr>
        <w:t>INCOME TAXES</w:t>
      </w:r>
    </w:p>
    <w:tbl>
      <w:tblPr>
        <w:tblW w:w="5000" w:type="pct"/>
        <w:tblCellMar>
          <w:top w:w="15" w:type="dxa"/>
          <w:left w:w="15" w:type="dxa"/>
          <w:bottom w:w="15" w:type="dxa"/>
          <w:right w:w="15" w:type="dxa"/>
        </w:tblCellMar>
        <w:tblLook w:val="04A0" w:firstRow="1" w:lastRow="0" w:firstColumn="1" w:lastColumn="0" w:noHBand="0" w:noVBand="1"/>
      </w:tblPr>
      <w:tblGrid>
        <w:gridCol w:w="37"/>
        <w:gridCol w:w="2031"/>
        <w:gridCol w:w="36"/>
        <w:gridCol w:w="57"/>
        <w:gridCol w:w="985"/>
        <w:gridCol w:w="173"/>
        <w:gridCol w:w="57"/>
        <w:gridCol w:w="985"/>
        <w:gridCol w:w="173"/>
        <w:gridCol w:w="76"/>
        <w:gridCol w:w="561"/>
        <w:gridCol w:w="36"/>
        <w:gridCol w:w="36"/>
        <w:gridCol w:w="36"/>
        <w:gridCol w:w="36"/>
        <w:gridCol w:w="57"/>
        <w:gridCol w:w="901"/>
        <w:gridCol w:w="173"/>
        <w:gridCol w:w="57"/>
        <w:gridCol w:w="987"/>
        <w:gridCol w:w="173"/>
        <w:gridCol w:w="76"/>
        <w:gridCol w:w="561"/>
        <w:gridCol w:w="36"/>
      </w:tblGrid>
      <w:tr w:rsidR="00066C63" w14:paraId="669C7556" w14:textId="77777777">
        <w:tc>
          <w:tcPr>
            <w:tcW w:w="50" w:type="pct"/>
            <w:shd w:val="clear" w:color="auto" w:fill="auto"/>
          </w:tcPr>
          <w:p w14:paraId="669C753E" w14:textId="77777777" w:rsidR="00066C63" w:rsidRDefault="00066C63">
            <w:pPr>
              <w:rPr>
                <w:rFonts w:ascii="宋体"/>
              </w:rPr>
            </w:pPr>
          </w:p>
        </w:tc>
        <w:tc>
          <w:tcPr>
            <w:tcW w:w="1258" w:type="pct"/>
            <w:shd w:val="clear" w:color="auto" w:fill="auto"/>
          </w:tcPr>
          <w:p w14:paraId="669C753F" w14:textId="77777777" w:rsidR="00066C63" w:rsidRDefault="00066C63">
            <w:pPr>
              <w:rPr>
                <w:rFonts w:ascii="宋体"/>
              </w:rPr>
            </w:pPr>
          </w:p>
        </w:tc>
        <w:tc>
          <w:tcPr>
            <w:tcW w:w="5" w:type="pct"/>
            <w:shd w:val="clear" w:color="auto" w:fill="auto"/>
          </w:tcPr>
          <w:p w14:paraId="669C7540" w14:textId="77777777" w:rsidR="00066C63" w:rsidRDefault="00066C63">
            <w:pPr>
              <w:rPr>
                <w:rFonts w:ascii="宋体"/>
              </w:rPr>
            </w:pPr>
          </w:p>
        </w:tc>
        <w:tc>
          <w:tcPr>
            <w:tcW w:w="50" w:type="pct"/>
            <w:shd w:val="clear" w:color="auto" w:fill="auto"/>
          </w:tcPr>
          <w:p w14:paraId="669C7541" w14:textId="77777777" w:rsidR="00066C63" w:rsidRDefault="00066C63">
            <w:pPr>
              <w:rPr>
                <w:rFonts w:ascii="宋体"/>
              </w:rPr>
            </w:pPr>
          </w:p>
        </w:tc>
        <w:tc>
          <w:tcPr>
            <w:tcW w:w="643" w:type="pct"/>
            <w:shd w:val="clear" w:color="auto" w:fill="auto"/>
          </w:tcPr>
          <w:p w14:paraId="669C7542" w14:textId="77777777" w:rsidR="00066C63" w:rsidRDefault="00066C63">
            <w:pPr>
              <w:rPr>
                <w:rFonts w:ascii="宋体"/>
              </w:rPr>
            </w:pPr>
          </w:p>
        </w:tc>
        <w:tc>
          <w:tcPr>
            <w:tcW w:w="5" w:type="pct"/>
            <w:shd w:val="clear" w:color="auto" w:fill="auto"/>
          </w:tcPr>
          <w:p w14:paraId="669C7543" w14:textId="77777777" w:rsidR="00066C63" w:rsidRDefault="00066C63">
            <w:pPr>
              <w:rPr>
                <w:rFonts w:ascii="宋体"/>
              </w:rPr>
            </w:pPr>
          </w:p>
        </w:tc>
        <w:tc>
          <w:tcPr>
            <w:tcW w:w="50" w:type="pct"/>
            <w:shd w:val="clear" w:color="auto" w:fill="auto"/>
          </w:tcPr>
          <w:p w14:paraId="669C7544" w14:textId="77777777" w:rsidR="00066C63" w:rsidRDefault="00066C63">
            <w:pPr>
              <w:rPr>
                <w:rFonts w:ascii="宋体"/>
              </w:rPr>
            </w:pPr>
          </w:p>
        </w:tc>
        <w:tc>
          <w:tcPr>
            <w:tcW w:w="643" w:type="pct"/>
            <w:shd w:val="clear" w:color="auto" w:fill="auto"/>
          </w:tcPr>
          <w:p w14:paraId="669C7545" w14:textId="77777777" w:rsidR="00066C63" w:rsidRDefault="00066C63">
            <w:pPr>
              <w:rPr>
                <w:rFonts w:ascii="宋体"/>
              </w:rPr>
            </w:pPr>
          </w:p>
        </w:tc>
        <w:tc>
          <w:tcPr>
            <w:tcW w:w="5" w:type="pct"/>
            <w:shd w:val="clear" w:color="auto" w:fill="auto"/>
          </w:tcPr>
          <w:p w14:paraId="669C7546" w14:textId="77777777" w:rsidR="00066C63" w:rsidRDefault="00066C63">
            <w:pPr>
              <w:rPr>
                <w:rFonts w:ascii="宋体"/>
              </w:rPr>
            </w:pPr>
          </w:p>
        </w:tc>
        <w:tc>
          <w:tcPr>
            <w:tcW w:w="50" w:type="pct"/>
            <w:shd w:val="clear" w:color="auto" w:fill="auto"/>
          </w:tcPr>
          <w:p w14:paraId="669C7547" w14:textId="77777777" w:rsidR="00066C63" w:rsidRDefault="00066C63">
            <w:pPr>
              <w:rPr>
                <w:rFonts w:ascii="宋体"/>
              </w:rPr>
            </w:pPr>
          </w:p>
        </w:tc>
        <w:tc>
          <w:tcPr>
            <w:tcW w:w="372" w:type="pct"/>
            <w:shd w:val="clear" w:color="auto" w:fill="auto"/>
          </w:tcPr>
          <w:p w14:paraId="669C7548" w14:textId="77777777" w:rsidR="00066C63" w:rsidRDefault="00066C63">
            <w:pPr>
              <w:rPr>
                <w:rFonts w:ascii="宋体"/>
              </w:rPr>
            </w:pPr>
          </w:p>
        </w:tc>
        <w:tc>
          <w:tcPr>
            <w:tcW w:w="5" w:type="pct"/>
            <w:shd w:val="clear" w:color="auto" w:fill="auto"/>
          </w:tcPr>
          <w:p w14:paraId="669C7549" w14:textId="77777777" w:rsidR="00066C63" w:rsidRDefault="00066C63">
            <w:pPr>
              <w:rPr>
                <w:rFonts w:ascii="宋体"/>
              </w:rPr>
            </w:pPr>
          </w:p>
        </w:tc>
        <w:tc>
          <w:tcPr>
            <w:tcW w:w="5" w:type="pct"/>
            <w:shd w:val="clear" w:color="auto" w:fill="auto"/>
          </w:tcPr>
          <w:p w14:paraId="669C754A" w14:textId="77777777" w:rsidR="00066C63" w:rsidRDefault="00066C63">
            <w:pPr>
              <w:rPr>
                <w:rFonts w:ascii="宋体"/>
              </w:rPr>
            </w:pPr>
          </w:p>
        </w:tc>
        <w:tc>
          <w:tcPr>
            <w:tcW w:w="27" w:type="pct"/>
            <w:shd w:val="clear" w:color="auto" w:fill="auto"/>
          </w:tcPr>
          <w:p w14:paraId="669C754B" w14:textId="77777777" w:rsidR="00066C63" w:rsidRDefault="00066C63">
            <w:pPr>
              <w:rPr>
                <w:rFonts w:ascii="宋体"/>
              </w:rPr>
            </w:pPr>
          </w:p>
        </w:tc>
        <w:tc>
          <w:tcPr>
            <w:tcW w:w="5" w:type="pct"/>
            <w:shd w:val="clear" w:color="auto" w:fill="auto"/>
          </w:tcPr>
          <w:p w14:paraId="669C754C" w14:textId="77777777" w:rsidR="00066C63" w:rsidRDefault="00066C63">
            <w:pPr>
              <w:rPr>
                <w:rFonts w:ascii="宋体"/>
              </w:rPr>
            </w:pPr>
          </w:p>
        </w:tc>
        <w:tc>
          <w:tcPr>
            <w:tcW w:w="50" w:type="pct"/>
            <w:shd w:val="clear" w:color="auto" w:fill="auto"/>
          </w:tcPr>
          <w:p w14:paraId="669C754D" w14:textId="77777777" w:rsidR="00066C63" w:rsidRDefault="00066C63">
            <w:pPr>
              <w:rPr>
                <w:rFonts w:ascii="宋体"/>
              </w:rPr>
            </w:pPr>
          </w:p>
        </w:tc>
        <w:tc>
          <w:tcPr>
            <w:tcW w:w="643" w:type="pct"/>
            <w:shd w:val="clear" w:color="auto" w:fill="auto"/>
          </w:tcPr>
          <w:p w14:paraId="669C754E" w14:textId="77777777" w:rsidR="00066C63" w:rsidRDefault="00066C63">
            <w:pPr>
              <w:rPr>
                <w:rFonts w:ascii="宋体"/>
              </w:rPr>
            </w:pPr>
          </w:p>
        </w:tc>
        <w:tc>
          <w:tcPr>
            <w:tcW w:w="5" w:type="pct"/>
            <w:shd w:val="clear" w:color="auto" w:fill="auto"/>
          </w:tcPr>
          <w:p w14:paraId="669C754F" w14:textId="77777777" w:rsidR="00066C63" w:rsidRDefault="00066C63">
            <w:pPr>
              <w:rPr>
                <w:rFonts w:ascii="宋体"/>
              </w:rPr>
            </w:pPr>
          </w:p>
        </w:tc>
        <w:tc>
          <w:tcPr>
            <w:tcW w:w="50" w:type="pct"/>
            <w:shd w:val="clear" w:color="auto" w:fill="auto"/>
          </w:tcPr>
          <w:p w14:paraId="669C7550" w14:textId="77777777" w:rsidR="00066C63" w:rsidRDefault="00066C63">
            <w:pPr>
              <w:rPr>
                <w:rFonts w:ascii="宋体"/>
              </w:rPr>
            </w:pPr>
          </w:p>
        </w:tc>
        <w:tc>
          <w:tcPr>
            <w:tcW w:w="643" w:type="pct"/>
            <w:shd w:val="clear" w:color="auto" w:fill="auto"/>
          </w:tcPr>
          <w:p w14:paraId="669C7551" w14:textId="77777777" w:rsidR="00066C63" w:rsidRDefault="00066C63">
            <w:pPr>
              <w:rPr>
                <w:rFonts w:ascii="宋体"/>
              </w:rPr>
            </w:pPr>
          </w:p>
        </w:tc>
        <w:tc>
          <w:tcPr>
            <w:tcW w:w="5" w:type="pct"/>
            <w:shd w:val="clear" w:color="auto" w:fill="auto"/>
          </w:tcPr>
          <w:p w14:paraId="669C7552" w14:textId="77777777" w:rsidR="00066C63" w:rsidRDefault="00066C63">
            <w:pPr>
              <w:rPr>
                <w:rFonts w:ascii="宋体"/>
              </w:rPr>
            </w:pPr>
          </w:p>
        </w:tc>
        <w:tc>
          <w:tcPr>
            <w:tcW w:w="50" w:type="pct"/>
            <w:shd w:val="clear" w:color="auto" w:fill="auto"/>
          </w:tcPr>
          <w:p w14:paraId="669C7553" w14:textId="77777777" w:rsidR="00066C63" w:rsidRDefault="00066C63">
            <w:pPr>
              <w:rPr>
                <w:rFonts w:ascii="宋体"/>
              </w:rPr>
            </w:pPr>
          </w:p>
        </w:tc>
        <w:tc>
          <w:tcPr>
            <w:tcW w:w="373" w:type="pct"/>
            <w:shd w:val="clear" w:color="auto" w:fill="auto"/>
          </w:tcPr>
          <w:p w14:paraId="669C7554" w14:textId="77777777" w:rsidR="00066C63" w:rsidRDefault="00066C63">
            <w:pPr>
              <w:rPr>
                <w:rFonts w:ascii="宋体"/>
              </w:rPr>
            </w:pPr>
          </w:p>
        </w:tc>
        <w:tc>
          <w:tcPr>
            <w:tcW w:w="5" w:type="pct"/>
            <w:shd w:val="clear" w:color="auto" w:fill="auto"/>
          </w:tcPr>
          <w:p w14:paraId="669C7555" w14:textId="77777777" w:rsidR="00066C63" w:rsidRDefault="00066C63">
            <w:pPr>
              <w:rPr>
                <w:rFonts w:ascii="宋体"/>
              </w:rPr>
            </w:pPr>
          </w:p>
        </w:tc>
      </w:tr>
      <w:tr w:rsidR="00066C63" w14:paraId="669C755B" w14:textId="77777777">
        <w:tc>
          <w:tcPr>
            <w:tcW w:w="0" w:type="auto"/>
            <w:gridSpan w:val="3"/>
            <w:shd w:val="clear" w:color="auto" w:fill="auto"/>
            <w:tcMar>
              <w:top w:w="0" w:type="dxa"/>
              <w:left w:w="20" w:type="dxa"/>
              <w:bottom w:w="0" w:type="dxa"/>
              <w:right w:w="20" w:type="dxa"/>
            </w:tcMar>
          </w:tcPr>
          <w:p w14:paraId="669C7557" w14:textId="77777777" w:rsidR="00066C63" w:rsidRDefault="00066C63">
            <w:pPr>
              <w:rPr>
                <w:rFonts w:ascii="宋体"/>
              </w:rPr>
            </w:pPr>
          </w:p>
        </w:tc>
        <w:tc>
          <w:tcPr>
            <w:tcW w:w="0" w:type="auto"/>
            <w:gridSpan w:val="9"/>
            <w:shd w:val="clear" w:color="auto" w:fill="auto"/>
            <w:tcMar>
              <w:top w:w="40" w:type="dxa"/>
              <w:left w:w="20" w:type="dxa"/>
              <w:bottom w:w="40" w:type="dxa"/>
              <w:right w:w="20" w:type="dxa"/>
            </w:tcMar>
            <w:vAlign w:val="bottom"/>
          </w:tcPr>
          <w:p w14:paraId="669C7558" w14:textId="77777777" w:rsidR="00066C63" w:rsidRDefault="009656F6">
            <w:pPr>
              <w:jc w:val="center"/>
              <w:textAlignment w:val="bottom"/>
            </w:pPr>
            <w:r>
              <w:rPr>
                <w:rFonts w:ascii="sans-serif" w:eastAsia="sans-serif" w:hAnsi="sans-serif" w:cs="sans-serif"/>
                <w:b/>
                <w:bCs/>
                <w:color w:val="000000"/>
                <w:sz w:val="17"/>
                <w:szCs w:val="17"/>
              </w:rPr>
              <w:t xml:space="preserve">THREE MONTHS ENDED </w:t>
            </w:r>
          </w:p>
        </w:tc>
        <w:tc>
          <w:tcPr>
            <w:tcW w:w="0" w:type="auto"/>
            <w:gridSpan w:val="3"/>
            <w:shd w:val="clear" w:color="auto" w:fill="auto"/>
            <w:tcMar>
              <w:top w:w="0" w:type="dxa"/>
              <w:left w:w="20" w:type="dxa"/>
              <w:bottom w:w="0" w:type="dxa"/>
              <w:right w:w="20" w:type="dxa"/>
            </w:tcMar>
          </w:tcPr>
          <w:p w14:paraId="669C7559" w14:textId="77777777" w:rsidR="00066C63" w:rsidRDefault="00066C63">
            <w:pPr>
              <w:rPr>
                <w:rFonts w:ascii="宋体"/>
              </w:rPr>
            </w:pPr>
          </w:p>
        </w:tc>
        <w:tc>
          <w:tcPr>
            <w:tcW w:w="0" w:type="auto"/>
            <w:gridSpan w:val="9"/>
            <w:shd w:val="clear" w:color="auto" w:fill="auto"/>
            <w:tcMar>
              <w:top w:w="40" w:type="dxa"/>
              <w:left w:w="20" w:type="dxa"/>
              <w:bottom w:w="40" w:type="dxa"/>
              <w:right w:w="20" w:type="dxa"/>
            </w:tcMar>
            <w:vAlign w:val="bottom"/>
          </w:tcPr>
          <w:p w14:paraId="669C755A" w14:textId="77777777" w:rsidR="00066C63" w:rsidRDefault="009656F6">
            <w:pPr>
              <w:jc w:val="center"/>
              <w:textAlignment w:val="bottom"/>
            </w:pPr>
            <w:r>
              <w:rPr>
                <w:rFonts w:ascii="sans-serif" w:eastAsia="sans-serif" w:hAnsi="sans-serif" w:cs="sans-serif"/>
                <w:b/>
                <w:bCs/>
                <w:color w:val="000000"/>
                <w:sz w:val="17"/>
                <w:szCs w:val="17"/>
              </w:rPr>
              <w:t xml:space="preserve">NINE MONTHS ENDED </w:t>
            </w:r>
          </w:p>
        </w:tc>
      </w:tr>
      <w:tr w:rsidR="00066C63" w14:paraId="669C7564" w14:textId="77777777">
        <w:tc>
          <w:tcPr>
            <w:tcW w:w="0" w:type="auto"/>
            <w:gridSpan w:val="3"/>
            <w:shd w:val="clear" w:color="auto" w:fill="auto"/>
            <w:tcMar>
              <w:top w:w="0" w:type="dxa"/>
              <w:left w:w="20" w:type="dxa"/>
              <w:bottom w:w="0" w:type="dxa"/>
              <w:right w:w="20" w:type="dxa"/>
            </w:tcMar>
          </w:tcPr>
          <w:p w14:paraId="669C755C" w14:textId="77777777" w:rsidR="00066C63" w:rsidRDefault="00066C63">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55D" w14:textId="77777777" w:rsidR="00066C63" w:rsidRDefault="009656F6">
            <w:pPr>
              <w:jc w:val="center"/>
              <w:textAlignment w:val="bottom"/>
            </w:pPr>
            <w:r>
              <w:rPr>
                <w:rFonts w:ascii="sans-serif" w:eastAsia="sans-serif" w:hAnsi="sans-serif" w:cs="sans-serif"/>
                <w:b/>
                <w:bCs/>
                <w:color w:val="000000"/>
                <w:sz w:val="17"/>
                <w:szCs w:val="17"/>
              </w:rPr>
              <w:t>FEBRUARY 28, 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55E" w14:textId="77777777" w:rsidR="00066C63" w:rsidRDefault="009656F6">
            <w:pPr>
              <w:jc w:val="center"/>
              <w:textAlignment w:val="bottom"/>
            </w:pPr>
            <w:r>
              <w:rPr>
                <w:rFonts w:ascii="sans-serif" w:eastAsia="sans-serif" w:hAnsi="sans-serif" w:cs="sans-serif"/>
                <w:b/>
                <w:bCs/>
                <w:color w:val="000000"/>
                <w:sz w:val="17"/>
                <w:szCs w:val="17"/>
              </w:rPr>
              <w:t>FEBRUARY 29, 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55F" w14:textId="77777777" w:rsidR="00066C63" w:rsidRDefault="009656F6">
            <w:pPr>
              <w:jc w:val="right"/>
              <w:textAlignment w:val="bottom"/>
            </w:pPr>
            <w:r>
              <w:rPr>
                <w:rFonts w:ascii="sans-serif" w:eastAsia="sans-serif" w:hAnsi="sans-serif" w:cs="sans-serif"/>
                <w:b/>
                <w:bCs/>
                <w:color w:val="000000"/>
                <w:sz w:val="17"/>
                <w:szCs w:val="17"/>
              </w:rPr>
              <w:t>% CHANGE</w:t>
            </w:r>
          </w:p>
        </w:tc>
        <w:tc>
          <w:tcPr>
            <w:tcW w:w="0" w:type="auto"/>
            <w:gridSpan w:val="3"/>
            <w:shd w:val="clear" w:color="auto" w:fill="auto"/>
            <w:tcMar>
              <w:top w:w="0" w:type="dxa"/>
              <w:left w:w="20" w:type="dxa"/>
              <w:bottom w:w="0" w:type="dxa"/>
              <w:right w:w="20" w:type="dxa"/>
            </w:tcMar>
          </w:tcPr>
          <w:p w14:paraId="669C7560" w14:textId="77777777" w:rsidR="00066C63" w:rsidRDefault="00066C63">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561" w14:textId="77777777" w:rsidR="00066C63" w:rsidRDefault="009656F6">
            <w:pPr>
              <w:jc w:val="center"/>
              <w:textAlignment w:val="bottom"/>
            </w:pPr>
            <w:r>
              <w:rPr>
                <w:rFonts w:ascii="sans-serif" w:eastAsia="sans-serif" w:hAnsi="sans-serif" w:cs="sans-serif"/>
                <w:b/>
                <w:bCs/>
                <w:color w:val="000000"/>
                <w:sz w:val="17"/>
                <w:szCs w:val="17"/>
              </w:rPr>
              <w:t>FEBRUARY 28, 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562" w14:textId="77777777" w:rsidR="00066C63" w:rsidRDefault="009656F6">
            <w:pPr>
              <w:jc w:val="center"/>
              <w:textAlignment w:val="bottom"/>
            </w:pPr>
            <w:r>
              <w:rPr>
                <w:rFonts w:ascii="sans-serif" w:eastAsia="sans-serif" w:hAnsi="sans-serif" w:cs="sans-serif"/>
                <w:b/>
                <w:bCs/>
                <w:color w:val="000000"/>
                <w:sz w:val="17"/>
                <w:szCs w:val="17"/>
              </w:rPr>
              <w:t>FEBRUARY 29, 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563" w14:textId="77777777" w:rsidR="00066C63" w:rsidRDefault="009656F6">
            <w:pPr>
              <w:jc w:val="right"/>
              <w:textAlignment w:val="bottom"/>
            </w:pPr>
            <w:r>
              <w:rPr>
                <w:rFonts w:ascii="sans-serif" w:eastAsia="sans-serif" w:hAnsi="sans-serif" w:cs="sans-serif"/>
                <w:b/>
                <w:bCs/>
                <w:color w:val="000000"/>
                <w:sz w:val="17"/>
                <w:szCs w:val="17"/>
              </w:rPr>
              <w:t>% CHANGE</w:t>
            </w:r>
          </w:p>
        </w:tc>
      </w:tr>
      <w:tr w:rsidR="00066C63" w14:paraId="669C7571"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tcPr>
          <w:p w14:paraId="669C7565" w14:textId="77777777" w:rsidR="00066C63" w:rsidRDefault="009656F6">
            <w:pPr>
              <w:textAlignment w:val="top"/>
            </w:pPr>
            <w:r>
              <w:rPr>
                <w:rFonts w:ascii="Arial" w:eastAsia="宋体" w:hAnsi="Arial" w:cs="Arial"/>
                <w:color w:val="000000"/>
                <w:sz w:val="17"/>
                <w:szCs w:val="17"/>
              </w:rPr>
              <w:t>Effective tax rate</w:t>
            </w:r>
          </w:p>
        </w:tc>
        <w:tc>
          <w:tcPr>
            <w:tcW w:w="0" w:type="auto"/>
            <w:gridSpan w:val="2"/>
            <w:tcBorders>
              <w:top w:val="single" w:sz="8" w:space="0" w:color="E87722"/>
              <w:bottom w:val="single" w:sz="8" w:space="0" w:color="E87722"/>
            </w:tcBorders>
            <w:shd w:val="clear" w:color="auto" w:fill="FFF1E7"/>
            <w:tcMar>
              <w:top w:w="40" w:type="dxa"/>
              <w:left w:w="20" w:type="dxa"/>
              <w:bottom w:w="40" w:type="dxa"/>
              <w:right w:w="0" w:type="dxa"/>
            </w:tcMar>
          </w:tcPr>
          <w:p w14:paraId="669C7566" w14:textId="77777777" w:rsidR="00066C63" w:rsidRDefault="009656F6">
            <w:pPr>
              <w:jc w:val="right"/>
              <w:textAlignment w:val="top"/>
            </w:pPr>
            <w:r>
              <w:rPr>
                <w:rFonts w:ascii="Arial" w:eastAsia="宋体" w:hAnsi="Arial" w:cs="Arial"/>
                <w:color w:val="000000"/>
                <w:sz w:val="17"/>
                <w:szCs w:val="17"/>
              </w:rPr>
              <w:t>11.4 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tcPr>
          <w:p w14:paraId="669C7567" w14:textId="77777777" w:rsidR="00066C63" w:rsidRDefault="009656F6">
            <w:pPr>
              <w:jc w:val="right"/>
              <w:textAlignment w:val="top"/>
            </w:pPr>
            <w:r>
              <w:rPr>
                <w:rFonts w:ascii="Arial" w:eastAsia="宋体" w:hAnsi="Arial" w:cs="Arial"/>
                <w:color w:val="000000"/>
                <w:sz w:val="17"/>
                <w:szCs w:val="17"/>
              </w:rPr>
              <w:t>%</w:t>
            </w: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tcPr>
          <w:p w14:paraId="669C7568" w14:textId="77777777" w:rsidR="00066C63" w:rsidRDefault="009656F6">
            <w:pPr>
              <w:jc w:val="right"/>
              <w:textAlignment w:val="top"/>
            </w:pPr>
            <w:r>
              <w:rPr>
                <w:rFonts w:ascii="Arial" w:eastAsia="宋体" w:hAnsi="Arial" w:cs="Arial"/>
                <w:color w:val="000000"/>
                <w:sz w:val="17"/>
                <w:szCs w:val="17"/>
              </w:rPr>
              <w:t>3.9 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tcPr>
          <w:p w14:paraId="669C7569" w14:textId="77777777" w:rsidR="00066C63" w:rsidRDefault="009656F6">
            <w:pPr>
              <w:jc w:val="right"/>
              <w:textAlignment w:val="top"/>
            </w:pPr>
            <w:r>
              <w:rPr>
                <w:rFonts w:ascii="Arial" w:eastAsia="宋体" w:hAnsi="Arial" w:cs="Arial"/>
                <w:color w:val="000000"/>
                <w:sz w:val="17"/>
                <w:szCs w:val="17"/>
              </w:rPr>
              <w:t>%</w:t>
            </w:r>
          </w:p>
        </w:tc>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tcPr>
          <w:p w14:paraId="669C756A" w14:textId="77777777" w:rsidR="00066C63" w:rsidRDefault="009656F6">
            <w:pPr>
              <w:jc w:val="right"/>
              <w:textAlignment w:val="top"/>
            </w:pPr>
            <w:r>
              <w:rPr>
                <w:rFonts w:ascii="Arial" w:eastAsia="宋体" w:hAnsi="Arial" w:cs="Arial"/>
                <w:color w:val="000000"/>
                <w:sz w:val="17"/>
                <w:szCs w:val="17"/>
              </w:rPr>
              <w:t>750 bps</w:t>
            </w: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tcPr>
          <w:p w14:paraId="669C756B" w14:textId="77777777" w:rsidR="00066C63" w:rsidRDefault="00066C63">
            <w:pPr>
              <w:rPr>
                <w:rFonts w:ascii="宋体"/>
              </w:rPr>
            </w:pPr>
          </w:p>
        </w:tc>
        <w:tc>
          <w:tcPr>
            <w:tcW w:w="0" w:type="auto"/>
            <w:gridSpan w:val="2"/>
            <w:tcBorders>
              <w:top w:val="single" w:sz="8" w:space="0" w:color="E87722"/>
              <w:bottom w:val="single" w:sz="8" w:space="0" w:color="E87722"/>
            </w:tcBorders>
            <w:shd w:val="clear" w:color="auto" w:fill="FFF1E7"/>
            <w:tcMar>
              <w:top w:w="40" w:type="dxa"/>
              <w:left w:w="20" w:type="dxa"/>
              <w:bottom w:w="40" w:type="dxa"/>
              <w:right w:w="0" w:type="dxa"/>
            </w:tcMar>
          </w:tcPr>
          <w:p w14:paraId="669C756C" w14:textId="77777777" w:rsidR="00066C63" w:rsidRDefault="009656F6">
            <w:pPr>
              <w:jc w:val="right"/>
              <w:textAlignment w:val="top"/>
            </w:pPr>
            <w:r>
              <w:rPr>
                <w:rFonts w:ascii="Arial" w:eastAsia="宋体" w:hAnsi="Arial" w:cs="Arial"/>
                <w:color w:val="000000"/>
                <w:sz w:val="17"/>
                <w:szCs w:val="17"/>
              </w:rPr>
              <w:t>12.3 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tcPr>
          <w:p w14:paraId="669C756D" w14:textId="77777777" w:rsidR="00066C63" w:rsidRDefault="009656F6">
            <w:pPr>
              <w:jc w:val="right"/>
              <w:textAlignment w:val="top"/>
            </w:pPr>
            <w:r>
              <w:rPr>
                <w:rFonts w:ascii="Arial" w:eastAsia="宋体" w:hAnsi="Arial" w:cs="Arial"/>
                <w:color w:val="000000"/>
                <w:sz w:val="17"/>
                <w:szCs w:val="17"/>
              </w:rPr>
              <w:t>%</w:t>
            </w: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tcPr>
          <w:p w14:paraId="669C756E" w14:textId="77777777" w:rsidR="00066C63" w:rsidRDefault="009656F6">
            <w:pPr>
              <w:jc w:val="right"/>
              <w:textAlignment w:val="top"/>
            </w:pPr>
            <w:r>
              <w:rPr>
                <w:rFonts w:ascii="Arial" w:eastAsia="宋体" w:hAnsi="Arial" w:cs="Arial"/>
                <w:color w:val="000000"/>
                <w:sz w:val="17"/>
                <w:szCs w:val="17"/>
              </w:rPr>
              <w:t>9.8 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tcPr>
          <w:p w14:paraId="669C756F" w14:textId="77777777" w:rsidR="00066C63" w:rsidRDefault="009656F6">
            <w:pPr>
              <w:jc w:val="right"/>
              <w:textAlignment w:val="top"/>
            </w:pPr>
            <w:r>
              <w:rPr>
                <w:rFonts w:ascii="Arial" w:eastAsia="宋体" w:hAnsi="Arial" w:cs="Arial"/>
                <w:color w:val="000000"/>
                <w:sz w:val="17"/>
                <w:szCs w:val="17"/>
              </w:rPr>
              <w:t>%</w:t>
            </w:r>
          </w:p>
        </w:tc>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tcPr>
          <w:p w14:paraId="669C7570" w14:textId="77777777" w:rsidR="00066C63" w:rsidRDefault="009656F6">
            <w:pPr>
              <w:jc w:val="right"/>
              <w:textAlignment w:val="top"/>
            </w:pPr>
            <w:r>
              <w:rPr>
                <w:rFonts w:ascii="Arial" w:eastAsia="宋体" w:hAnsi="Arial" w:cs="Arial"/>
                <w:color w:val="000000"/>
                <w:sz w:val="17"/>
                <w:szCs w:val="17"/>
              </w:rPr>
              <w:t>250 bps</w:t>
            </w:r>
          </w:p>
        </w:tc>
      </w:tr>
    </w:tbl>
    <w:p w14:paraId="669C7572" w14:textId="77777777" w:rsidR="00066C63" w:rsidRDefault="009656F6">
      <w:pPr>
        <w:spacing w:before="120" w:after="120"/>
      </w:pPr>
      <w:r>
        <w:rPr>
          <w:rFonts w:ascii="Arial" w:eastAsia="宋体" w:hAnsi="Arial" w:cs="Arial"/>
          <w:color w:val="000000"/>
          <w:sz w:val="17"/>
          <w:szCs w:val="17"/>
        </w:rPr>
        <w:t>Our effective tax rate was 11.4% for the third quarter of fiscal 2021, compared to 3.9% for the third quarter of fiscal 2020, primarily due to decreased benefits from discrete items, such as a modification of the treatment of certa</w:t>
      </w:r>
      <w:r>
        <w:rPr>
          <w:rFonts w:ascii="Arial" w:eastAsia="宋体" w:hAnsi="Arial" w:cs="Arial"/>
          <w:color w:val="000000"/>
          <w:sz w:val="17"/>
          <w:szCs w:val="17"/>
        </w:rPr>
        <w:t>in research and development expenditures recognized in the prior year, a less favorable impact from stock-based compensation, and a shift in the proportion of earnings taxed in the U.S., in part due to the impact of COVID-19.</w:t>
      </w:r>
    </w:p>
    <w:p w14:paraId="669C7573" w14:textId="77777777" w:rsidR="00066C63" w:rsidRDefault="009656F6">
      <w:pPr>
        <w:spacing w:before="120"/>
      </w:pPr>
      <w:r>
        <w:rPr>
          <w:rFonts w:ascii="Arial" w:eastAsia="宋体" w:hAnsi="Arial" w:cs="Arial"/>
          <w:color w:val="000000"/>
          <w:sz w:val="17"/>
          <w:szCs w:val="17"/>
        </w:rPr>
        <w:t>Our effective tax rate was 12.</w:t>
      </w:r>
      <w:r>
        <w:rPr>
          <w:rFonts w:ascii="Arial" w:eastAsia="宋体" w:hAnsi="Arial" w:cs="Arial"/>
          <w:color w:val="000000"/>
          <w:sz w:val="17"/>
          <w:szCs w:val="17"/>
        </w:rPr>
        <w:t>3% for the first nine months of fiscal 2021, compared to 9.8% for the first nine months of fiscal 2020, primarily due to a shift in the proportion of earnings taxed in the U.S., in part due to the impact of COVID-19, and less favorable impacts from discret</w:t>
      </w:r>
      <w:r>
        <w:rPr>
          <w:rFonts w:ascii="Arial" w:eastAsia="宋体" w:hAnsi="Arial" w:cs="Arial"/>
          <w:color w:val="000000"/>
          <w:sz w:val="17"/>
          <w:szCs w:val="17"/>
        </w:rPr>
        <w:t>e items, such as a modification of the treatment of certain research and development expenditures recognized in the prior year, as well as the recognition of a reserve in the first quarter of fiscal 2021 related to</w:t>
      </w:r>
      <w:r>
        <w:rPr>
          <w:rFonts w:ascii="Arial" w:eastAsia="宋体" w:hAnsi="Arial" w:cs="Arial"/>
          <w:i/>
          <w:iCs/>
          <w:color w:val="000000"/>
          <w:sz w:val="17"/>
          <w:szCs w:val="17"/>
        </w:rPr>
        <w:t xml:space="preserve"> Altera Corp. v. Commissioner</w:t>
      </w:r>
      <w:r>
        <w:rPr>
          <w:rFonts w:ascii="Arial" w:eastAsia="宋体" w:hAnsi="Arial" w:cs="Arial"/>
          <w:color w:val="000000"/>
          <w:sz w:val="17"/>
          <w:szCs w:val="17"/>
        </w:rPr>
        <w:t xml:space="preserve">. </w:t>
      </w:r>
    </w:p>
    <w:p w14:paraId="669C7574" w14:textId="77777777" w:rsidR="00066C63" w:rsidRDefault="009656F6">
      <w:pPr>
        <w:spacing w:before="120"/>
      </w:pPr>
      <w:r>
        <w:rPr>
          <w:rFonts w:ascii="Arial" w:eastAsia="宋体" w:hAnsi="Arial" w:cs="Arial"/>
          <w:color w:val="000000"/>
          <w:sz w:val="17"/>
          <w:szCs w:val="17"/>
        </w:rPr>
        <w:t>Refer to N</w:t>
      </w:r>
      <w:r>
        <w:rPr>
          <w:rFonts w:ascii="Arial" w:eastAsia="宋体" w:hAnsi="Arial" w:cs="Arial"/>
          <w:color w:val="000000"/>
          <w:sz w:val="17"/>
          <w:szCs w:val="17"/>
        </w:rPr>
        <w:t xml:space="preserve">ote 6 — Income Taxes within the accompanying Notes to the Unaudited Condensed Consolidated Financial Statements for additional information. </w:t>
      </w:r>
    </w:p>
    <w:p w14:paraId="669C7575" w14:textId="77777777" w:rsidR="00066C63" w:rsidRDefault="009656F6">
      <w:pPr>
        <w:spacing w:before="120" w:after="120"/>
        <w:jc w:val="right"/>
      </w:pPr>
      <w:r>
        <w:rPr>
          <w:rFonts w:ascii="Arial" w:eastAsia="宋体" w:hAnsi="Arial" w:cs="Arial"/>
          <w:color w:val="E87722"/>
          <w:sz w:val="17"/>
          <w:szCs w:val="17"/>
        </w:rPr>
        <w:t>31</w:t>
      </w:r>
    </w:p>
    <w:p w14:paraId="669C7576" w14:textId="77777777" w:rsidR="00066C63" w:rsidRDefault="009656F6">
      <w:r>
        <w:pict w14:anchorId="669C7E4F">
          <v:rect id="_x0000_i1057" style="width:415.3pt;height:1.5pt" o:hralign="center" o:hrstd="t" o:hr="t" fillcolor="#a0a0a0" stroked="f"/>
        </w:pict>
      </w:r>
    </w:p>
    <w:p w14:paraId="669C7577" w14:textId="77777777" w:rsidR="00066C63" w:rsidRDefault="00066C63"/>
    <w:p w14:paraId="669C7578" w14:textId="77777777" w:rsidR="00066C63" w:rsidRDefault="009656F6">
      <w:hyperlink r:id="rId102" w:anchor="i1e99cb26debe49fe8b698d0f0eb1273a_7" w:history="1">
        <w:r>
          <w:rPr>
            <w:rStyle w:val="a5"/>
            <w:rFonts w:ascii="sans-serif" w:eastAsia="sans-serif" w:hAnsi="sans-serif" w:cs="sans-serif"/>
            <w:sz w:val="17"/>
            <w:szCs w:val="17"/>
          </w:rPr>
          <w:t>Table of Contents</w:t>
        </w:r>
      </w:hyperlink>
    </w:p>
    <w:p w14:paraId="669C7579" w14:textId="77777777" w:rsidR="00066C63" w:rsidRDefault="00066C63"/>
    <w:p w14:paraId="669C757A" w14:textId="77777777" w:rsidR="00066C63" w:rsidRDefault="009656F6">
      <w:pPr>
        <w:spacing w:before="300" w:after="120"/>
      </w:pPr>
      <w:r>
        <w:rPr>
          <w:rFonts w:ascii="sans-serif" w:eastAsia="sans-serif" w:hAnsi="sans-serif" w:cs="sans-serif"/>
          <w:b/>
          <w:bCs/>
          <w:color w:val="E87722"/>
          <w:sz w:val="36"/>
          <w:szCs w:val="36"/>
        </w:rPr>
        <w:t>OPERATING SEGMENTS</w:t>
      </w:r>
    </w:p>
    <w:p w14:paraId="669C757B" w14:textId="77777777" w:rsidR="00066C63" w:rsidRDefault="009656F6">
      <w:pPr>
        <w:spacing w:before="120" w:after="120"/>
      </w:pPr>
      <w:r>
        <w:rPr>
          <w:rFonts w:ascii="Arial" w:eastAsia="宋体" w:hAnsi="Arial" w:cs="Arial"/>
          <w:color w:val="000000"/>
          <w:sz w:val="17"/>
          <w:szCs w:val="17"/>
        </w:rPr>
        <w:t xml:space="preserve">Our operating segments are evidence of the structure of the Company's internal organization. The NIKE Brand segments are defined by geographic regions for operations participating in NIKE Brand sales activity. </w:t>
      </w:r>
    </w:p>
    <w:p w14:paraId="669C757C" w14:textId="77777777" w:rsidR="00066C63" w:rsidRDefault="009656F6">
      <w:pPr>
        <w:spacing w:before="120" w:after="120"/>
      </w:pPr>
      <w:r>
        <w:rPr>
          <w:rFonts w:ascii="Arial" w:eastAsia="宋体" w:hAnsi="Arial" w:cs="Arial"/>
          <w:color w:val="000000"/>
          <w:sz w:val="17"/>
          <w:szCs w:val="17"/>
        </w:rPr>
        <w:t>Each NIKE Brand geographic segment operates p</w:t>
      </w:r>
      <w:r>
        <w:rPr>
          <w:rFonts w:ascii="Arial" w:eastAsia="宋体" w:hAnsi="Arial" w:cs="Arial"/>
          <w:color w:val="000000"/>
          <w:sz w:val="17"/>
          <w:szCs w:val="17"/>
        </w:rPr>
        <w:t>redominantly in one industry: the design, development, marketing and selling of athletic footwear, apparel and equipment. The Company's reportable operating segments for the NIKE Brand are: North America; Europe, Middle East &amp; Africa (EMEA); Greater China;</w:t>
      </w:r>
      <w:r>
        <w:rPr>
          <w:rFonts w:ascii="Arial" w:eastAsia="宋体" w:hAnsi="Arial" w:cs="Arial"/>
          <w:color w:val="000000"/>
          <w:sz w:val="17"/>
          <w:szCs w:val="17"/>
        </w:rPr>
        <w:t xml:space="preserve"> and Asia Pacific &amp; Latin America (APLA), and include results for the NIKE and Jordan brands.</w:t>
      </w:r>
      <w:r>
        <w:rPr>
          <w:rFonts w:ascii="Arial" w:eastAsia="宋体" w:hAnsi="Arial" w:cs="Arial"/>
          <w:i/>
          <w:iCs/>
          <w:color w:val="000000"/>
          <w:sz w:val="14"/>
          <w:szCs w:val="14"/>
        </w:rPr>
        <w:t xml:space="preserve"> </w:t>
      </w:r>
      <w:r>
        <w:rPr>
          <w:rFonts w:ascii="Arial" w:eastAsia="宋体" w:hAnsi="Arial" w:cs="Arial"/>
          <w:color w:val="000000"/>
          <w:sz w:val="17"/>
          <w:szCs w:val="17"/>
        </w:rPr>
        <w:t>The Company's NIKE Direct operations are managed within each geographic operating segment. Converse is also a reportable operating segment for the Company, and op</w:t>
      </w:r>
      <w:r>
        <w:rPr>
          <w:rFonts w:ascii="Arial" w:eastAsia="宋体" w:hAnsi="Arial" w:cs="Arial"/>
          <w:color w:val="000000"/>
          <w:sz w:val="17"/>
          <w:szCs w:val="17"/>
        </w:rPr>
        <w:t>erates predominately in one industry: the design, marketing, licensing and selling of athletic lifestyle sneakers, apparel and accessories.</w:t>
      </w:r>
    </w:p>
    <w:p w14:paraId="669C757D" w14:textId="77777777" w:rsidR="00066C63" w:rsidRDefault="009656F6">
      <w:pPr>
        <w:spacing w:before="120" w:after="120"/>
      </w:pPr>
      <w:r>
        <w:rPr>
          <w:rFonts w:ascii="Arial" w:eastAsia="宋体" w:hAnsi="Arial" w:cs="Arial"/>
          <w:color w:val="000000"/>
          <w:sz w:val="17"/>
          <w:szCs w:val="17"/>
        </w:rPr>
        <w:t xml:space="preserve">As part of our centrally managed foreign exchange risk management program, standard foreign currency exchange rates </w:t>
      </w:r>
      <w:r>
        <w:rPr>
          <w:rFonts w:ascii="Arial" w:eastAsia="宋体" w:hAnsi="Arial" w:cs="Arial"/>
          <w:color w:val="000000"/>
          <w:sz w:val="17"/>
          <w:szCs w:val="17"/>
        </w:rPr>
        <w:t>are assigned twice per year to each NIKE Brand entity in our geographic operating segments and Converse. These rates are set approximately nine and twelve months in advance of the future selling seasons to which they relate (specifically, for each currency</w:t>
      </w:r>
      <w:r>
        <w:rPr>
          <w:rFonts w:ascii="Arial" w:eastAsia="宋体" w:hAnsi="Arial" w:cs="Arial"/>
          <w:color w:val="000000"/>
          <w:sz w:val="17"/>
          <w:szCs w:val="17"/>
        </w:rPr>
        <w:t>, one standard rate applies to the fall and holiday selling seasons and one standard rate applies to the spring and summer selling seasons) based on average market spot rates in the calendar month preceding the date they are established. Inventories and Co</w:t>
      </w:r>
      <w:r>
        <w:rPr>
          <w:rFonts w:ascii="Arial" w:eastAsia="宋体" w:hAnsi="Arial" w:cs="Arial"/>
          <w:color w:val="000000"/>
          <w:sz w:val="17"/>
          <w:szCs w:val="17"/>
        </w:rPr>
        <w:t>st of sales for geographic operating segments and Converse reflect the use of these standard rates to record non-functional currency product purchases into the entity's functional currency. Differences between assigned standard foreign currency exchange ra</w:t>
      </w:r>
      <w:r>
        <w:rPr>
          <w:rFonts w:ascii="Arial" w:eastAsia="宋体" w:hAnsi="Arial" w:cs="Arial"/>
          <w:color w:val="000000"/>
          <w:sz w:val="17"/>
          <w:szCs w:val="17"/>
        </w:rPr>
        <w:t>tes and actual market rates are included in Corporate, together with foreign currency hedge gains and losses generated from our centrally managed foreign exchange risk management program and other conversion gains and losses.</w:t>
      </w:r>
    </w:p>
    <w:p w14:paraId="669C757E" w14:textId="77777777" w:rsidR="00066C63" w:rsidRDefault="009656F6">
      <w:pPr>
        <w:spacing w:before="120"/>
      </w:pPr>
      <w:r>
        <w:rPr>
          <w:rFonts w:ascii="Arial" w:eastAsia="宋体" w:hAnsi="Arial" w:cs="Arial"/>
          <w:color w:val="000000"/>
          <w:sz w:val="17"/>
          <w:szCs w:val="17"/>
        </w:rPr>
        <w:t>The breakdown of revenues is a</w:t>
      </w:r>
      <w:r>
        <w:rPr>
          <w:rFonts w:ascii="Arial" w:eastAsia="宋体" w:hAnsi="Arial" w:cs="Arial"/>
          <w:color w:val="000000"/>
          <w:sz w:val="17"/>
          <w:szCs w:val="17"/>
        </w:rPr>
        <w:t>s follows:</w:t>
      </w:r>
    </w:p>
    <w:tbl>
      <w:tblPr>
        <w:tblW w:w="5000" w:type="pct"/>
        <w:tblCellMar>
          <w:top w:w="15" w:type="dxa"/>
          <w:left w:w="15" w:type="dxa"/>
          <w:bottom w:w="15" w:type="dxa"/>
          <w:right w:w="15" w:type="dxa"/>
        </w:tblCellMar>
        <w:tblLook w:val="04A0" w:firstRow="1" w:lastRow="0" w:firstColumn="1" w:lastColumn="0" w:noHBand="0" w:noVBand="1"/>
      </w:tblPr>
      <w:tblGrid>
        <w:gridCol w:w="48"/>
        <w:gridCol w:w="1147"/>
        <w:gridCol w:w="35"/>
        <w:gridCol w:w="115"/>
        <w:gridCol w:w="694"/>
        <w:gridCol w:w="36"/>
        <w:gridCol w:w="115"/>
        <w:gridCol w:w="694"/>
        <w:gridCol w:w="36"/>
        <w:gridCol w:w="81"/>
        <w:gridCol w:w="546"/>
        <w:gridCol w:w="170"/>
        <w:gridCol w:w="94"/>
        <w:gridCol w:w="748"/>
        <w:gridCol w:w="170"/>
        <w:gridCol w:w="36"/>
        <w:gridCol w:w="36"/>
        <w:gridCol w:w="36"/>
        <w:gridCol w:w="115"/>
        <w:gridCol w:w="694"/>
        <w:gridCol w:w="36"/>
        <w:gridCol w:w="115"/>
        <w:gridCol w:w="694"/>
        <w:gridCol w:w="36"/>
        <w:gridCol w:w="81"/>
        <w:gridCol w:w="546"/>
        <w:gridCol w:w="170"/>
        <w:gridCol w:w="94"/>
        <w:gridCol w:w="748"/>
        <w:gridCol w:w="170"/>
      </w:tblGrid>
      <w:tr w:rsidR="00066C63" w14:paraId="669C759D" w14:textId="77777777">
        <w:tc>
          <w:tcPr>
            <w:tcW w:w="50" w:type="pct"/>
            <w:shd w:val="clear" w:color="auto" w:fill="auto"/>
          </w:tcPr>
          <w:p w14:paraId="669C757F" w14:textId="77777777" w:rsidR="00066C63" w:rsidRDefault="00066C63">
            <w:pPr>
              <w:rPr>
                <w:rFonts w:ascii="宋体"/>
              </w:rPr>
            </w:pPr>
          </w:p>
        </w:tc>
        <w:tc>
          <w:tcPr>
            <w:tcW w:w="1202" w:type="pct"/>
            <w:shd w:val="clear" w:color="auto" w:fill="auto"/>
          </w:tcPr>
          <w:p w14:paraId="669C7580" w14:textId="77777777" w:rsidR="00066C63" w:rsidRDefault="00066C63">
            <w:pPr>
              <w:rPr>
                <w:rFonts w:ascii="宋体"/>
              </w:rPr>
            </w:pPr>
          </w:p>
        </w:tc>
        <w:tc>
          <w:tcPr>
            <w:tcW w:w="5" w:type="pct"/>
            <w:shd w:val="clear" w:color="auto" w:fill="auto"/>
          </w:tcPr>
          <w:p w14:paraId="669C7581" w14:textId="77777777" w:rsidR="00066C63" w:rsidRDefault="00066C63">
            <w:pPr>
              <w:rPr>
                <w:rFonts w:ascii="宋体"/>
              </w:rPr>
            </w:pPr>
          </w:p>
        </w:tc>
        <w:tc>
          <w:tcPr>
            <w:tcW w:w="50" w:type="pct"/>
            <w:shd w:val="clear" w:color="auto" w:fill="auto"/>
          </w:tcPr>
          <w:p w14:paraId="669C7582" w14:textId="77777777" w:rsidR="00066C63" w:rsidRDefault="00066C63">
            <w:pPr>
              <w:rPr>
                <w:rFonts w:ascii="宋体"/>
              </w:rPr>
            </w:pPr>
          </w:p>
        </w:tc>
        <w:tc>
          <w:tcPr>
            <w:tcW w:w="446" w:type="pct"/>
            <w:shd w:val="clear" w:color="auto" w:fill="auto"/>
          </w:tcPr>
          <w:p w14:paraId="669C7583" w14:textId="77777777" w:rsidR="00066C63" w:rsidRDefault="00066C63">
            <w:pPr>
              <w:rPr>
                <w:rFonts w:ascii="宋体"/>
              </w:rPr>
            </w:pPr>
          </w:p>
        </w:tc>
        <w:tc>
          <w:tcPr>
            <w:tcW w:w="5" w:type="pct"/>
            <w:shd w:val="clear" w:color="auto" w:fill="auto"/>
          </w:tcPr>
          <w:p w14:paraId="669C7584" w14:textId="77777777" w:rsidR="00066C63" w:rsidRDefault="00066C63">
            <w:pPr>
              <w:rPr>
                <w:rFonts w:ascii="宋体"/>
              </w:rPr>
            </w:pPr>
          </w:p>
        </w:tc>
        <w:tc>
          <w:tcPr>
            <w:tcW w:w="50" w:type="pct"/>
            <w:shd w:val="clear" w:color="auto" w:fill="auto"/>
          </w:tcPr>
          <w:p w14:paraId="669C7585" w14:textId="77777777" w:rsidR="00066C63" w:rsidRDefault="00066C63">
            <w:pPr>
              <w:rPr>
                <w:rFonts w:ascii="宋体"/>
              </w:rPr>
            </w:pPr>
          </w:p>
        </w:tc>
        <w:tc>
          <w:tcPr>
            <w:tcW w:w="446" w:type="pct"/>
            <w:shd w:val="clear" w:color="auto" w:fill="auto"/>
          </w:tcPr>
          <w:p w14:paraId="669C7586" w14:textId="77777777" w:rsidR="00066C63" w:rsidRDefault="00066C63">
            <w:pPr>
              <w:rPr>
                <w:rFonts w:ascii="宋体"/>
              </w:rPr>
            </w:pPr>
          </w:p>
        </w:tc>
        <w:tc>
          <w:tcPr>
            <w:tcW w:w="5" w:type="pct"/>
            <w:shd w:val="clear" w:color="auto" w:fill="auto"/>
          </w:tcPr>
          <w:p w14:paraId="669C7587" w14:textId="77777777" w:rsidR="00066C63" w:rsidRDefault="00066C63">
            <w:pPr>
              <w:rPr>
                <w:rFonts w:ascii="宋体"/>
              </w:rPr>
            </w:pPr>
          </w:p>
        </w:tc>
        <w:tc>
          <w:tcPr>
            <w:tcW w:w="50" w:type="pct"/>
            <w:shd w:val="clear" w:color="auto" w:fill="auto"/>
          </w:tcPr>
          <w:p w14:paraId="669C7588" w14:textId="77777777" w:rsidR="00066C63" w:rsidRDefault="00066C63">
            <w:pPr>
              <w:rPr>
                <w:rFonts w:ascii="宋体"/>
              </w:rPr>
            </w:pPr>
          </w:p>
        </w:tc>
        <w:tc>
          <w:tcPr>
            <w:tcW w:w="338" w:type="pct"/>
            <w:shd w:val="clear" w:color="auto" w:fill="auto"/>
          </w:tcPr>
          <w:p w14:paraId="669C7589" w14:textId="77777777" w:rsidR="00066C63" w:rsidRDefault="00066C63">
            <w:pPr>
              <w:rPr>
                <w:rFonts w:ascii="宋体"/>
              </w:rPr>
            </w:pPr>
          </w:p>
        </w:tc>
        <w:tc>
          <w:tcPr>
            <w:tcW w:w="5" w:type="pct"/>
            <w:shd w:val="clear" w:color="auto" w:fill="auto"/>
          </w:tcPr>
          <w:p w14:paraId="669C758A" w14:textId="77777777" w:rsidR="00066C63" w:rsidRDefault="00066C63">
            <w:pPr>
              <w:rPr>
                <w:rFonts w:ascii="宋体"/>
              </w:rPr>
            </w:pPr>
          </w:p>
        </w:tc>
        <w:tc>
          <w:tcPr>
            <w:tcW w:w="50" w:type="pct"/>
            <w:shd w:val="clear" w:color="auto" w:fill="auto"/>
          </w:tcPr>
          <w:p w14:paraId="669C758B" w14:textId="77777777" w:rsidR="00066C63" w:rsidRDefault="00066C63">
            <w:pPr>
              <w:rPr>
                <w:rFonts w:ascii="宋体"/>
              </w:rPr>
            </w:pPr>
          </w:p>
        </w:tc>
        <w:tc>
          <w:tcPr>
            <w:tcW w:w="400" w:type="pct"/>
            <w:shd w:val="clear" w:color="auto" w:fill="auto"/>
          </w:tcPr>
          <w:p w14:paraId="669C758C" w14:textId="77777777" w:rsidR="00066C63" w:rsidRDefault="00066C63">
            <w:pPr>
              <w:rPr>
                <w:rFonts w:ascii="宋体"/>
              </w:rPr>
            </w:pPr>
          </w:p>
        </w:tc>
        <w:tc>
          <w:tcPr>
            <w:tcW w:w="5" w:type="pct"/>
            <w:shd w:val="clear" w:color="auto" w:fill="auto"/>
          </w:tcPr>
          <w:p w14:paraId="669C758D" w14:textId="77777777" w:rsidR="00066C63" w:rsidRDefault="00066C63">
            <w:pPr>
              <w:rPr>
                <w:rFonts w:ascii="宋体"/>
              </w:rPr>
            </w:pPr>
          </w:p>
        </w:tc>
        <w:tc>
          <w:tcPr>
            <w:tcW w:w="5" w:type="pct"/>
            <w:shd w:val="clear" w:color="auto" w:fill="auto"/>
          </w:tcPr>
          <w:p w14:paraId="669C758E" w14:textId="77777777" w:rsidR="00066C63" w:rsidRDefault="00066C63">
            <w:pPr>
              <w:rPr>
                <w:rFonts w:ascii="宋体"/>
              </w:rPr>
            </w:pPr>
          </w:p>
        </w:tc>
        <w:tc>
          <w:tcPr>
            <w:tcW w:w="28" w:type="pct"/>
            <w:shd w:val="clear" w:color="auto" w:fill="auto"/>
          </w:tcPr>
          <w:p w14:paraId="669C758F" w14:textId="77777777" w:rsidR="00066C63" w:rsidRDefault="00066C63">
            <w:pPr>
              <w:rPr>
                <w:rFonts w:ascii="宋体"/>
              </w:rPr>
            </w:pPr>
          </w:p>
        </w:tc>
        <w:tc>
          <w:tcPr>
            <w:tcW w:w="5" w:type="pct"/>
            <w:shd w:val="clear" w:color="auto" w:fill="auto"/>
          </w:tcPr>
          <w:p w14:paraId="669C7590" w14:textId="77777777" w:rsidR="00066C63" w:rsidRDefault="00066C63">
            <w:pPr>
              <w:rPr>
                <w:rFonts w:ascii="宋体"/>
              </w:rPr>
            </w:pPr>
          </w:p>
        </w:tc>
        <w:tc>
          <w:tcPr>
            <w:tcW w:w="50" w:type="pct"/>
            <w:shd w:val="clear" w:color="auto" w:fill="auto"/>
          </w:tcPr>
          <w:p w14:paraId="669C7591" w14:textId="77777777" w:rsidR="00066C63" w:rsidRDefault="00066C63">
            <w:pPr>
              <w:rPr>
                <w:rFonts w:ascii="宋体"/>
              </w:rPr>
            </w:pPr>
          </w:p>
        </w:tc>
        <w:tc>
          <w:tcPr>
            <w:tcW w:w="446" w:type="pct"/>
            <w:shd w:val="clear" w:color="auto" w:fill="auto"/>
          </w:tcPr>
          <w:p w14:paraId="669C7592" w14:textId="77777777" w:rsidR="00066C63" w:rsidRDefault="00066C63">
            <w:pPr>
              <w:rPr>
                <w:rFonts w:ascii="宋体"/>
              </w:rPr>
            </w:pPr>
          </w:p>
        </w:tc>
        <w:tc>
          <w:tcPr>
            <w:tcW w:w="5" w:type="pct"/>
            <w:shd w:val="clear" w:color="auto" w:fill="auto"/>
          </w:tcPr>
          <w:p w14:paraId="669C7593" w14:textId="77777777" w:rsidR="00066C63" w:rsidRDefault="00066C63">
            <w:pPr>
              <w:rPr>
                <w:rFonts w:ascii="宋体"/>
              </w:rPr>
            </w:pPr>
          </w:p>
        </w:tc>
        <w:tc>
          <w:tcPr>
            <w:tcW w:w="50" w:type="pct"/>
            <w:shd w:val="clear" w:color="auto" w:fill="auto"/>
          </w:tcPr>
          <w:p w14:paraId="669C7594" w14:textId="77777777" w:rsidR="00066C63" w:rsidRDefault="00066C63">
            <w:pPr>
              <w:rPr>
                <w:rFonts w:ascii="宋体"/>
              </w:rPr>
            </w:pPr>
          </w:p>
        </w:tc>
        <w:tc>
          <w:tcPr>
            <w:tcW w:w="446" w:type="pct"/>
            <w:shd w:val="clear" w:color="auto" w:fill="auto"/>
          </w:tcPr>
          <w:p w14:paraId="669C7595" w14:textId="77777777" w:rsidR="00066C63" w:rsidRDefault="00066C63">
            <w:pPr>
              <w:rPr>
                <w:rFonts w:ascii="宋体"/>
              </w:rPr>
            </w:pPr>
          </w:p>
        </w:tc>
        <w:tc>
          <w:tcPr>
            <w:tcW w:w="5" w:type="pct"/>
            <w:shd w:val="clear" w:color="auto" w:fill="auto"/>
          </w:tcPr>
          <w:p w14:paraId="669C7596" w14:textId="77777777" w:rsidR="00066C63" w:rsidRDefault="00066C63">
            <w:pPr>
              <w:rPr>
                <w:rFonts w:ascii="宋体"/>
              </w:rPr>
            </w:pPr>
          </w:p>
        </w:tc>
        <w:tc>
          <w:tcPr>
            <w:tcW w:w="50" w:type="pct"/>
            <w:shd w:val="clear" w:color="auto" w:fill="auto"/>
          </w:tcPr>
          <w:p w14:paraId="669C7597" w14:textId="77777777" w:rsidR="00066C63" w:rsidRDefault="00066C63">
            <w:pPr>
              <w:rPr>
                <w:rFonts w:ascii="宋体"/>
              </w:rPr>
            </w:pPr>
          </w:p>
        </w:tc>
        <w:tc>
          <w:tcPr>
            <w:tcW w:w="338" w:type="pct"/>
            <w:shd w:val="clear" w:color="auto" w:fill="auto"/>
          </w:tcPr>
          <w:p w14:paraId="669C7598" w14:textId="77777777" w:rsidR="00066C63" w:rsidRDefault="00066C63">
            <w:pPr>
              <w:rPr>
                <w:rFonts w:ascii="宋体"/>
              </w:rPr>
            </w:pPr>
          </w:p>
        </w:tc>
        <w:tc>
          <w:tcPr>
            <w:tcW w:w="5" w:type="pct"/>
            <w:shd w:val="clear" w:color="auto" w:fill="auto"/>
          </w:tcPr>
          <w:p w14:paraId="669C7599" w14:textId="77777777" w:rsidR="00066C63" w:rsidRDefault="00066C63">
            <w:pPr>
              <w:rPr>
                <w:rFonts w:ascii="宋体"/>
              </w:rPr>
            </w:pPr>
          </w:p>
        </w:tc>
        <w:tc>
          <w:tcPr>
            <w:tcW w:w="50" w:type="pct"/>
            <w:shd w:val="clear" w:color="auto" w:fill="auto"/>
          </w:tcPr>
          <w:p w14:paraId="669C759A" w14:textId="77777777" w:rsidR="00066C63" w:rsidRDefault="00066C63">
            <w:pPr>
              <w:rPr>
                <w:rFonts w:ascii="宋体"/>
              </w:rPr>
            </w:pPr>
          </w:p>
        </w:tc>
        <w:tc>
          <w:tcPr>
            <w:tcW w:w="400" w:type="pct"/>
            <w:shd w:val="clear" w:color="auto" w:fill="auto"/>
          </w:tcPr>
          <w:p w14:paraId="669C759B" w14:textId="77777777" w:rsidR="00066C63" w:rsidRDefault="00066C63">
            <w:pPr>
              <w:rPr>
                <w:rFonts w:ascii="宋体"/>
              </w:rPr>
            </w:pPr>
          </w:p>
        </w:tc>
        <w:tc>
          <w:tcPr>
            <w:tcW w:w="5" w:type="pct"/>
            <w:shd w:val="clear" w:color="auto" w:fill="auto"/>
          </w:tcPr>
          <w:p w14:paraId="669C759C" w14:textId="77777777" w:rsidR="00066C63" w:rsidRDefault="00066C63">
            <w:pPr>
              <w:rPr>
                <w:rFonts w:ascii="宋体"/>
              </w:rPr>
            </w:pPr>
          </w:p>
        </w:tc>
      </w:tr>
      <w:tr w:rsidR="00066C63" w14:paraId="669C75A2" w14:textId="77777777">
        <w:tc>
          <w:tcPr>
            <w:tcW w:w="0" w:type="auto"/>
            <w:gridSpan w:val="3"/>
            <w:shd w:val="clear" w:color="auto" w:fill="auto"/>
            <w:tcMar>
              <w:top w:w="0" w:type="dxa"/>
              <w:left w:w="20" w:type="dxa"/>
              <w:bottom w:w="0" w:type="dxa"/>
              <w:right w:w="20" w:type="dxa"/>
            </w:tcMar>
          </w:tcPr>
          <w:p w14:paraId="669C759E" w14:textId="77777777" w:rsidR="00066C63" w:rsidRDefault="00066C63">
            <w:pPr>
              <w:rPr>
                <w:rFonts w:ascii="宋体"/>
              </w:rPr>
            </w:pPr>
          </w:p>
        </w:tc>
        <w:tc>
          <w:tcPr>
            <w:tcW w:w="0" w:type="auto"/>
            <w:gridSpan w:val="12"/>
            <w:shd w:val="clear" w:color="auto" w:fill="auto"/>
            <w:tcMar>
              <w:top w:w="40" w:type="dxa"/>
              <w:left w:w="20" w:type="dxa"/>
              <w:bottom w:w="40" w:type="dxa"/>
              <w:right w:w="20" w:type="dxa"/>
            </w:tcMar>
            <w:vAlign w:val="bottom"/>
          </w:tcPr>
          <w:p w14:paraId="669C759F" w14:textId="77777777" w:rsidR="00066C63" w:rsidRDefault="009656F6">
            <w:pPr>
              <w:jc w:val="center"/>
              <w:textAlignment w:val="bottom"/>
            </w:pPr>
            <w:r>
              <w:rPr>
                <w:rFonts w:ascii="sans-serif" w:eastAsia="sans-serif" w:hAnsi="sans-serif" w:cs="sans-serif"/>
                <w:b/>
                <w:bCs/>
                <w:color w:val="000000"/>
                <w:sz w:val="17"/>
                <w:szCs w:val="17"/>
              </w:rPr>
              <w:t xml:space="preserve">THREE MONTHS ENDED </w:t>
            </w:r>
          </w:p>
        </w:tc>
        <w:tc>
          <w:tcPr>
            <w:tcW w:w="0" w:type="auto"/>
            <w:gridSpan w:val="3"/>
            <w:shd w:val="clear" w:color="auto" w:fill="auto"/>
            <w:tcMar>
              <w:top w:w="0" w:type="dxa"/>
              <w:left w:w="20" w:type="dxa"/>
              <w:bottom w:w="0" w:type="dxa"/>
              <w:right w:w="20" w:type="dxa"/>
            </w:tcMar>
          </w:tcPr>
          <w:p w14:paraId="669C75A0" w14:textId="77777777" w:rsidR="00066C63" w:rsidRDefault="00066C63">
            <w:pPr>
              <w:rPr>
                <w:rFonts w:ascii="宋体"/>
              </w:rPr>
            </w:pPr>
          </w:p>
        </w:tc>
        <w:tc>
          <w:tcPr>
            <w:tcW w:w="0" w:type="auto"/>
            <w:gridSpan w:val="12"/>
            <w:shd w:val="clear" w:color="auto" w:fill="auto"/>
            <w:tcMar>
              <w:top w:w="40" w:type="dxa"/>
              <w:left w:w="20" w:type="dxa"/>
              <w:bottom w:w="40" w:type="dxa"/>
              <w:right w:w="20" w:type="dxa"/>
            </w:tcMar>
            <w:vAlign w:val="bottom"/>
          </w:tcPr>
          <w:p w14:paraId="669C75A1" w14:textId="77777777" w:rsidR="00066C63" w:rsidRDefault="009656F6">
            <w:pPr>
              <w:jc w:val="center"/>
              <w:textAlignment w:val="bottom"/>
            </w:pPr>
            <w:r>
              <w:rPr>
                <w:rFonts w:ascii="sans-serif" w:eastAsia="sans-serif" w:hAnsi="sans-serif" w:cs="sans-serif"/>
                <w:b/>
                <w:bCs/>
                <w:color w:val="000000"/>
                <w:sz w:val="17"/>
                <w:szCs w:val="17"/>
              </w:rPr>
              <w:t xml:space="preserve">NINE MONTHS ENDED </w:t>
            </w:r>
          </w:p>
        </w:tc>
      </w:tr>
      <w:tr w:rsidR="00066C63" w14:paraId="669C75AD" w14:textId="77777777">
        <w:tc>
          <w:tcPr>
            <w:tcW w:w="0" w:type="auto"/>
            <w:gridSpan w:val="3"/>
            <w:shd w:val="clear" w:color="auto" w:fill="auto"/>
            <w:tcMar>
              <w:top w:w="40" w:type="dxa"/>
              <w:left w:w="20" w:type="dxa"/>
              <w:bottom w:w="40" w:type="dxa"/>
              <w:right w:w="20" w:type="dxa"/>
            </w:tcMar>
            <w:vAlign w:val="bottom"/>
          </w:tcPr>
          <w:p w14:paraId="669C75A3" w14:textId="77777777" w:rsidR="00066C63" w:rsidRDefault="009656F6">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5A4" w14:textId="77777777" w:rsidR="00066C63" w:rsidRDefault="009656F6">
            <w:pPr>
              <w:jc w:val="center"/>
              <w:textAlignment w:val="bottom"/>
            </w:pPr>
            <w:r>
              <w:rPr>
                <w:rFonts w:ascii="sans-serif" w:eastAsia="sans-serif" w:hAnsi="sans-serif" w:cs="sans-serif"/>
                <w:b/>
                <w:bCs/>
                <w:color w:val="000000"/>
                <w:sz w:val="17"/>
                <w:szCs w:val="17"/>
              </w:rPr>
              <w:t>FEBRUARY 28, 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5A5" w14:textId="77777777" w:rsidR="00066C63" w:rsidRDefault="009656F6">
            <w:pPr>
              <w:jc w:val="center"/>
              <w:textAlignment w:val="bottom"/>
            </w:pPr>
            <w:r>
              <w:rPr>
                <w:rFonts w:ascii="sans-serif" w:eastAsia="sans-serif" w:hAnsi="sans-serif" w:cs="sans-serif"/>
                <w:b/>
                <w:bCs/>
                <w:color w:val="000000"/>
                <w:sz w:val="17"/>
                <w:szCs w:val="17"/>
              </w:rPr>
              <w:t>FEBRUARY 29, 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5A6" w14:textId="77777777" w:rsidR="00066C63" w:rsidRDefault="009656F6">
            <w:pPr>
              <w:jc w:val="right"/>
              <w:textAlignment w:val="bottom"/>
            </w:pPr>
            <w:r>
              <w:rPr>
                <w:rFonts w:ascii="sans-serif" w:eastAsia="sans-serif" w:hAnsi="sans-serif" w:cs="sans-serif"/>
                <w:b/>
                <w:bCs/>
                <w:color w:val="000000"/>
                <w:sz w:val="17"/>
                <w:szCs w:val="17"/>
              </w:rPr>
              <w:t>% CHANGE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5A7" w14:textId="77777777" w:rsidR="00066C63" w:rsidRDefault="009656F6">
            <w:pPr>
              <w:jc w:val="right"/>
              <w:textAlignment w:val="bottom"/>
            </w:pPr>
            <w:r>
              <w:rPr>
                <w:rFonts w:ascii="sans-serif" w:eastAsia="sans-serif" w:hAnsi="sans-serif" w:cs="sans-serif"/>
                <w:b/>
                <w:bCs/>
                <w:color w:val="000000"/>
                <w:sz w:val="17"/>
                <w:szCs w:val="17"/>
              </w:rPr>
              <w:t xml:space="preserve">% CHANGE </w:t>
            </w:r>
            <w:r>
              <w:rPr>
                <w:rFonts w:ascii="sans-serif" w:eastAsia="sans-serif" w:hAnsi="sans-serif" w:cs="sans-serif"/>
                <w:b/>
                <w:bCs/>
                <w:color w:val="000000"/>
                <w:sz w:val="17"/>
                <w:szCs w:val="17"/>
              </w:rPr>
              <w:t>EXCLUDING CURRENCY CHANGES</w:t>
            </w:r>
            <w:r>
              <w:rPr>
                <w:rFonts w:ascii="sans-serif" w:eastAsia="sans-serif" w:hAnsi="sans-serif" w:cs="sans-serif"/>
                <w:b/>
                <w:bCs/>
                <w:color w:val="000000"/>
                <w:sz w:val="9"/>
                <w:szCs w:val="9"/>
              </w:rPr>
              <w:t>(1)</w:t>
            </w:r>
          </w:p>
        </w:tc>
        <w:tc>
          <w:tcPr>
            <w:tcW w:w="0" w:type="auto"/>
            <w:gridSpan w:val="3"/>
            <w:shd w:val="clear" w:color="auto" w:fill="auto"/>
            <w:tcMar>
              <w:top w:w="0" w:type="dxa"/>
              <w:left w:w="20" w:type="dxa"/>
              <w:bottom w:w="0" w:type="dxa"/>
              <w:right w:w="20" w:type="dxa"/>
            </w:tcMar>
          </w:tcPr>
          <w:p w14:paraId="669C75A8" w14:textId="77777777" w:rsidR="00066C63" w:rsidRDefault="00066C63">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5A9" w14:textId="77777777" w:rsidR="00066C63" w:rsidRDefault="009656F6">
            <w:pPr>
              <w:jc w:val="center"/>
              <w:textAlignment w:val="bottom"/>
            </w:pPr>
            <w:r>
              <w:rPr>
                <w:rFonts w:ascii="sans-serif" w:eastAsia="sans-serif" w:hAnsi="sans-serif" w:cs="sans-serif"/>
                <w:b/>
                <w:bCs/>
                <w:color w:val="000000"/>
                <w:sz w:val="17"/>
                <w:szCs w:val="17"/>
              </w:rPr>
              <w:t>FEBRUARY 28, 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5AA" w14:textId="77777777" w:rsidR="00066C63" w:rsidRDefault="009656F6">
            <w:pPr>
              <w:jc w:val="center"/>
              <w:textAlignment w:val="bottom"/>
            </w:pPr>
            <w:r>
              <w:rPr>
                <w:rFonts w:ascii="sans-serif" w:eastAsia="sans-serif" w:hAnsi="sans-serif" w:cs="sans-serif"/>
                <w:b/>
                <w:bCs/>
                <w:color w:val="000000"/>
                <w:sz w:val="17"/>
                <w:szCs w:val="17"/>
              </w:rPr>
              <w:t>FEBRUARY 29, 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5AB" w14:textId="77777777" w:rsidR="00066C63" w:rsidRDefault="009656F6">
            <w:pPr>
              <w:jc w:val="right"/>
              <w:textAlignment w:val="bottom"/>
            </w:pPr>
            <w:r>
              <w:rPr>
                <w:rFonts w:ascii="sans-serif" w:eastAsia="sans-serif" w:hAnsi="sans-serif" w:cs="sans-serif"/>
                <w:b/>
                <w:bCs/>
                <w:color w:val="000000"/>
                <w:sz w:val="17"/>
                <w:szCs w:val="17"/>
              </w:rPr>
              <w:t>% CHANGE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5AC" w14:textId="77777777" w:rsidR="00066C63" w:rsidRDefault="009656F6">
            <w:pPr>
              <w:jc w:val="right"/>
              <w:textAlignment w:val="bottom"/>
            </w:pPr>
            <w:r>
              <w:rPr>
                <w:rFonts w:ascii="sans-serif" w:eastAsia="sans-serif" w:hAnsi="sans-serif" w:cs="sans-serif"/>
                <w:b/>
                <w:bCs/>
                <w:color w:val="000000"/>
                <w:sz w:val="17"/>
                <w:szCs w:val="17"/>
              </w:rPr>
              <w:t>% CHANGE EXCLUDING CURRENCY CHANGES</w:t>
            </w:r>
            <w:r>
              <w:rPr>
                <w:rFonts w:ascii="sans-serif" w:eastAsia="sans-serif" w:hAnsi="sans-serif" w:cs="sans-serif"/>
                <w:b/>
                <w:bCs/>
                <w:color w:val="000000"/>
                <w:sz w:val="11"/>
                <w:szCs w:val="11"/>
              </w:rPr>
              <w:t>(1)</w:t>
            </w:r>
          </w:p>
        </w:tc>
      </w:tr>
      <w:tr w:rsidR="00066C63" w14:paraId="669C75C4"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5AE" w14:textId="77777777" w:rsidR="00066C63" w:rsidRDefault="009656F6">
            <w:pPr>
              <w:textAlignment w:val="bottom"/>
            </w:pPr>
            <w:r>
              <w:rPr>
                <w:rFonts w:ascii="Arial" w:eastAsia="宋体" w:hAnsi="Arial" w:cs="Arial"/>
                <w:color w:val="000000"/>
                <w:sz w:val="17"/>
                <w:szCs w:val="17"/>
              </w:rPr>
              <w:t>North America</w:t>
            </w:r>
          </w:p>
        </w:tc>
        <w:tc>
          <w:tcPr>
            <w:tcW w:w="0" w:type="auto"/>
            <w:tcBorders>
              <w:top w:val="single" w:sz="8" w:space="0" w:color="E87722"/>
            </w:tcBorders>
            <w:shd w:val="clear" w:color="auto" w:fill="FFF1E7"/>
            <w:tcMar>
              <w:top w:w="40" w:type="dxa"/>
              <w:left w:w="20" w:type="dxa"/>
              <w:bottom w:w="40" w:type="dxa"/>
              <w:right w:w="0" w:type="dxa"/>
            </w:tcMar>
            <w:vAlign w:val="bottom"/>
          </w:tcPr>
          <w:p w14:paraId="669C75AF"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669C75B0" w14:textId="77777777" w:rsidR="00066C63" w:rsidRDefault="009656F6">
            <w:pPr>
              <w:jc w:val="right"/>
              <w:textAlignment w:val="bottom"/>
            </w:pPr>
            <w:r>
              <w:rPr>
                <w:rFonts w:ascii="Arial" w:eastAsia="宋体" w:hAnsi="Arial" w:cs="Arial"/>
                <w:color w:val="000000"/>
                <w:sz w:val="17"/>
                <w:szCs w:val="17"/>
              </w:rPr>
              <w:t>3,564 </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75B1" w14:textId="77777777" w:rsidR="00066C63" w:rsidRDefault="00066C63">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69C75B2"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69C75B3" w14:textId="77777777" w:rsidR="00066C63" w:rsidRDefault="009656F6">
            <w:pPr>
              <w:jc w:val="right"/>
              <w:textAlignment w:val="bottom"/>
            </w:pPr>
            <w:r>
              <w:rPr>
                <w:rFonts w:ascii="Arial" w:eastAsia="宋体" w:hAnsi="Arial" w:cs="Arial"/>
                <w:color w:val="000000"/>
                <w:sz w:val="17"/>
                <w:szCs w:val="17"/>
              </w:rPr>
              <w:t>3,979 </w:t>
            </w:r>
          </w:p>
        </w:tc>
        <w:tc>
          <w:tcPr>
            <w:tcW w:w="0" w:type="auto"/>
            <w:tcBorders>
              <w:top w:val="single" w:sz="8" w:space="0" w:color="E87722"/>
            </w:tcBorders>
            <w:shd w:val="clear" w:color="auto" w:fill="auto"/>
            <w:tcMar>
              <w:top w:w="40" w:type="dxa"/>
              <w:left w:w="0" w:type="dxa"/>
              <w:bottom w:w="40" w:type="dxa"/>
              <w:right w:w="20" w:type="dxa"/>
            </w:tcMar>
            <w:vAlign w:val="bottom"/>
          </w:tcPr>
          <w:p w14:paraId="669C75B4" w14:textId="77777777" w:rsidR="00066C63" w:rsidRDefault="00066C63">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75B5" w14:textId="77777777" w:rsidR="00066C63" w:rsidRDefault="009656F6">
            <w:pPr>
              <w:jc w:val="right"/>
              <w:textAlignment w:val="bottom"/>
            </w:pPr>
            <w:r>
              <w:rPr>
                <w:rFonts w:ascii="Arial" w:eastAsia="宋体" w:hAnsi="Arial" w:cs="Arial"/>
                <w:color w:val="000000"/>
                <w:sz w:val="17"/>
                <w:szCs w:val="17"/>
              </w:rPr>
              <w:t>-10 </w:t>
            </w:r>
          </w:p>
        </w:tc>
        <w:tc>
          <w:tcPr>
            <w:tcW w:w="0" w:type="auto"/>
            <w:tcBorders>
              <w:top w:val="single" w:sz="8" w:space="0" w:color="E87722"/>
            </w:tcBorders>
            <w:shd w:val="clear" w:color="auto" w:fill="auto"/>
            <w:tcMar>
              <w:top w:w="40" w:type="dxa"/>
              <w:left w:w="0" w:type="dxa"/>
              <w:bottom w:w="40" w:type="dxa"/>
              <w:right w:w="20" w:type="dxa"/>
            </w:tcMar>
            <w:vAlign w:val="bottom"/>
          </w:tcPr>
          <w:p w14:paraId="669C75B6" w14:textId="77777777" w:rsidR="00066C63" w:rsidRDefault="009656F6">
            <w:pPr>
              <w:jc w:val="right"/>
              <w:textAlignment w:val="bottom"/>
            </w:pPr>
            <w:r>
              <w:rPr>
                <w:rFonts w:ascii="Arial" w:eastAsia="宋体" w:hAnsi="Arial" w:cs="Arial"/>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75B7" w14:textId="77777777" w:rsidR="00066C63" w:rsidRDefault="009656F6">
            <w:pPr>
              <w:jc w:val="right"/>
              <w:textAlignment w:val="bottom"/>
            </w:pPr>
            <w:r>
              <w:rPr>
                <w:rFonts w:ascii="Arial" w:eastAsia="宋体" w:hAnsi="Arial" w:cs="Arial"/>
                <w:color w:val="000000"/>
                <w:sz w:val="17"/>
                <w:szCs w:val="17"/>
              </w:rPr>
              <w:t>-11 </w:t>
            </w:r>
          </w:p>
        </w:tc>
        <w:tc>
          <w:tcPr>
            <w:tcW w:w="0" w:type="auto"/>
            <w:tcBorders>
              <w:top w:val="single" w:sz="8" w:space="0" w:color="E87722"/>
            </w:tcBorders>
            <w:shd w:val="clear" w:color="auto" w:fill="auto"/>
            <w:tcMar>
              <w:top w:w="40" w:type="dxa"/>
              <w:left w:w="0" w:type="dxa"/>
              <w:bottom w:w="40" w:type="dxa"/>
              <w:right w:w="20" w:type="dxa"/>
            </w:tcMar>
            <w:vAlign w:val="bottom"/>
          </w:tcPr>
          <w:p w14:paraId="669C75B8" w14:textId="77777777" w:rsidR="00066C63" w:rsidRDefault="009656F6">
            <w:pPr>
              <w:jc w:val="right"/>
              <w:textAlignment w:val="bottom"/>
            </w:pPr>
            <w:r>
              <w:rPr>
                <w:rFonts w:ascii="Arial" w:eastAsia="宋体" w:hAnsi="Arial" w:cs="Arial"/>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tcPr>
          <w:p w14:paraId="669C75B9" w14:textId="77777777" w:rsidR="00066C63" w:rsidRDefault="00066C63">
            <w:pPr>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669C75BA"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669C75BB" w14:textId="77777777" w:rsidR="00066C63" w:rsidRDefault="009656F6">
            <w:pPr>
              <w:jc w:val="right"/>
              <w:textAlignment w:val="bottom"/>
            </w:pPr>
            <w:r>
              <w:rPr>
                <w:rFonts w:ascii="Arial" w:eastAsia="宋体" w:hAnsi="Arial" w:cs="Arial"/>
                <w:color w:val="000000"/>
                <w:sz w:val="17"/>
                <w:szCs w:val="17"/>
              </w:rPr>
              <w:t>11,795 </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75BC" w14:textId="77777777" w:rsidR="00066C63" w:rsidRDefault="00066C63">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69C75BD"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69C75BE" w14:textId="77777777" w:rsidR="00066C63" w:rsidRDefault="009656F6">
            <w:pPr>
              <w:jc w:val="right"/>
              <w:textAlignment w:val="bottom"/>
            </w:pPr>
            <w:r>
              <w:rPr>
                <w:rFonts w:ascii="Arial" w:eastAsia="宋体" w:hAnsi="Arial" w:cs="Arial"/>
                <w:color w:val="000000"/>
                <w:sz w:val="17"/>
                <w:szCs w:val="17"/>
              </w:rPr>
              <w:t>12,254 </w:t>
            </w:r>
          </w:p>
        </w:tc>
        <w:tc>
          <w:tcPr>
            <w:tcW w:w="0" w:type="auto"/>
            <w:tcBorders>
              <w:top w:val="single" w:sz="8" w:space="0" w:color="E87722"/>
            </w:tcBorders>
            <w:shd w:val="clear" w:color="auto" w:fill="auto"/>
            <w:tcMar>
              <w:top w:w="40" w:type="dxa"/>
              <w:left w:w="0" w:type="dxa"/>
              <w:bottom w:w="40" w:type="dxa"/>
              <w:right w:w="20" w:type="dxa"/>
            </w:tcMar>
            <w:vAlign w:val="bottom"/>
          </w:tcPr>
          <w:p w14:paraId="669C75BF" w14:textId="77777777" w:rsidR="00066C63" w:rsidRDefault="00066C63">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75C0" w14:textId="77777777" w:rsidR="00066C63" w:rsidRDefault="009656F6">
            <w:pPr>
              <w:jc w:val="right"/>
              <w:textAlignment w:val="bottom"/>
            </w:pPr>
            <w:r>
              <w:rPr>
                <w:rFonts w:ascii="Arial" w:eastAsia="宋体" w:hAnsi="Arial" w:cs="Arial"/>
                <w:color w:val="000000"/>
                <w:sz w:val="17"/>
                <w:szCs w:val="17"/>
              </w:rPr>
              <w:t>-4 </w:t>
            </w:r>
          </w:p>
        </w:tc>
        <w:tc>
          <w:tcPr>
            <w:tcW w:w="0" w:type="auto"/>
            <w:tcBorders>
              <w:top w:val="single" w:sz="8" w:space="0" w:color="E87722"/>
            </w:tcBorders>
            <w:shd w:val="clear" w:color="auto" w:fill="auto"/>
            <w:tcMar>
              <w:top w:w="40" w:type="dxa"/>
              <w:left w:w="0" w:type="dxa"/>
              <w:bottom w:w="40" w:type="dxa"/>
              <w:right w:w="20" w:type="dxa"/>
            </w:tcMar>
            <w:vAlign w:val="bottom"/>
          </w:tcPr>
          <w:p w14:paraId="669C75C1" w14:textId="77777777" w:rsidR="00066C63" w:rsidRDefault="009656F6">
            <w:pPr>
              <w:jc w:val="right"/>
              <w:textAlignment w:val="bottom"/>
            </w:pPr>
            <w:r>
              <w:rPr>
                <w:rFonts w:ascii="Arial" w:eastAsia="宋体" w:hAnsi="Arial" w:cs="Arial"/>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75C2" w14:textId="77777777" w:rsidR="00066C63" w:rsidRDefault="009656F6">
            <w:pPr>
              <w:jc w:val="right"/>
              <w:textAlignment w:val="bottom"/>
            </w:pPr>
            <w:r>
              <w:rPr>
                <w:rFonts w:ascii="Arial" w:eastAsia="宋体" w:hAnsi="Arial" w:cs="Arial"/>
                <w:color w:val="000000"/>
                <w:sz w:val="17"/>
                <w:szCs w:val="17"/>
              </w:rPr>
              <w:t>-4 </w:t>
            </w:r>
          </w:p>
        </w:tc>
        <w:tc>
          <w:tcPr>
            <w:tcW w:w="0" w:type="auto"/>
            <w:tcBorders>
              <w:top w:val="single" w:sz="8" w:space="0" w:color="E87722"/>
            </w:tcBorders>
            <w:shd w:val="clear" w:color="auto" w:fill="auto"/>
            <w:tcMar>
              <w:top w:w="40" w:type="dxa"/>
              <w:left w:w="0" w:type="dxa"/>
              <w:bottom w:w="40" w:type="dxa"/>
              <w:right w:w="20" w:type="dxa"/>
            </w:tcMar>
            <w:vAlign w:val="bottom"/>
          </w:tcPr>
          <w:p w14:paraId="669C75C3" w14:textId="77777777" w:rsidR="00066C63" w:rsidRDefault="009656F6">
            <w:pPr>
              <w:jc w:val="right"/>
              <w:textAlignment w:val="bottom"/>
            </w:pPr>
            <w:r>
              <w:rPr>
                <w:rFonts w:ascii="Arial" w:eastAsia="宋体" w:hAnsi="Arial" w:cs="Arial"/>
                <w:color w:val="000000"/>
                <w:sz w:val="17"/>
                <w:szCs w:val="17"/>
              </w:rPr>
              <w:t>%</w:t>
            </w:r>
          </w:p>
        </w:tc>
      </w:tr>
      <w:tr w:rsidR="00066C63" w14:paraId="669C75D7"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75C5" w14:textId="77777777" w:rsidR="00066C63" w:rsidRDefault="009656F6">
            <w:pPr>
              <w:textAlignment w:val="bottom"/>
            </w:pPr>
            <w:r>
              <w:rPr>
                <w:rFonts w:ascii="Arial" w:eastAsia="宋体" w:hAnsi="Arial" w:cs="Arial"/>
                <w:color w:val="000000"/>
                <w:sz w:val="17"/>
                <w:szCs w:val="17"/>
              </w:rPr>
              <w:t>Europe, Middle East</w:t>
            </w:r>
            <w:r>
              <w:rPr>
                <w:rFonts w:ascii="Arial" w:eastAsia="宋体" w:hAnsi="Arial" w:cs="Arial"/>
                <w:color w:val="000000"/>
                <w:sz w:val="17"/>
                <w:szCs w:val="17"/>
              </w:rPr>
              <w:t xml:space="preserve"> &amp; Africa</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75C6" w14:textId="77777777" w:rsidR="00066C63" w:rsidRDefault="009656F6">
            <w:pPr>
              <w:jc w:val="right"/>
              <w:textAlignment w:val="bottom"/>
            </w:pPr>
            <w:r>
              <w:rPr>
                <w:rFonts w:ascii="Arial" w:eastAsia="宋体" w:hAnsi="Arial" w:cs="Arial"/>
                <w:color w:val="000000"/>
                <w:sz w:val="17"/>
                <w:szCs w:val="17"/>
              </w:rPr>
              <w:t>2,609 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75C7"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5C8" w14:textId="77777777" w:rsidR="00066C63" w:rsidRDefault="009656F6">
            <w:pPr>
              <w:jc w:val="right"/>
              <w:textAlignment w:val="bottom"/>
            </w:pPr>
            <w:r>
              <w:rPr>
                <w:rFonts w:ascii="Arial" w:eastAsia="宋体" w:hAnsi="Arial" w:cs="Arial"/>
                <w:color w:val="000000"/>
                <w:sz w:val="17"/>
                <w:szCs w:val="17"/>
              </w:rPr>
              <w:t>2,709 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5C9"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5CA" w14:textId="77777777" w:rsidR="00066C63" w:rsidRDefault="009656F6">
            <w:pPr>
              <w:jc w:val="right"/>
              <w:textAlignment w:val="bottom"/>
            </w:pPr>
            <w:r>
              <w:rPr>
                <w:rFonts w:ascii="Arial" w:eastAsia="宋体" w:hAnsi="Arial" w:cs="Arial"/>
                <w:color w:val="000000"/>
                <w:sz w:val="17"/>
                <w:szCs w:val="17"/>
              </w:rPr>
              <w:t>-4 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5CB" w14:textId="77777777" w:rsidR="00066C63" w:rsidRDefault="009656F6">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5CC" w14:textId="77777777" w:rsidR="00066C63" w:rsidRDefault="009656F6">
            <w:pPr>
              <w:jc w:val="right"/>
              <w:textAlignment w:val="bottom"/>
            </w:pPr>
            <w:r>
              <w:rPr>
                <w:rFonts w:ascii="Arial" w:eastAsia="宋体" w:hAnsi="Arial" w:cs="Arial"/>
                <w:color w:val="000000"/>
                <w:sz w:val="17"/>
                <w:szCs w:val="17"/>
              </w:rPr>
              <w:t>-9 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5CD" w14:textId="77777777" w:rsidR="00066C63" w:rsidRDefault="009656F6">
            <w:pPr>
              <w:jc w:val="right"/>
              <w:textAlignment w:val="bottom"/>
            </w:pPr>
            <w:r>
              <w:rPr>
                <w:rFonts w:ascii="Arial" w:eastAsia="宋体" w:hAnsi="Arial" w:cs="Arial"/>
                <w:color w:val="000000"/>
                <w:sz w:val="17"/>
                <w:szCs w:val="17"/>
              </w:rPr>
              <w:t>%</w:t>
            </w:r>
          </w:p>
        </w:tc>
        <w:tc>
          <w:tcPr>
            <w:tcW w:w="0" w:type="auto"/>
            <w:gridSpan w:val="3"/>
            <w:tcBorders>
              <w:top w:val="single" w:sz="8" w:space="0" w:color="808080"/>
            </w:tcBorders>
            <w:shd w:val="clear" w:color="auto" w:fill="auto"/>
            <w:tcMar>
              <w:top w:w="0" w:type="dxa"/>
              <w:left w:w="20" w:type="dxa"/>
              <w:bottom w:w="0" w:type="dxa"/>
              <w:right w:w="20" w:type="dxa"/>
            </w:tcMar>
          </w:tcPr>
          <w:p w14:paraId="669C75CE" w14:textId="77777777" w:rsidR="00066C63" w:rsidRDefault="00066C63">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75CF" w14:textId="77777777" w:rsidR="00066C63" w:rsidRDefault="009656F6">
            <w:pPr>
              <w:jc w:val="right"/>
              <w:textAlignment w:val="bottom"/>
            </w:pPr>
            <w:r>
              <w:rPr>
                <w:rFonts w:ascii="Arial" w:eastAsia="宋体" w:hAnsi="Arial" w:cs="Arial"/>
                <w:color w:val="000000"/>
                <w:sz w:val="17"/>
                <w:szCs w:val="17"/>
              </w:rPr>
              <w:t>8,477 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75D0"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5D1" w14:textId="77777777" w:rsidR="00066C63" w:rsidRDefault="009656F6">
            <w:pPr>
              <w:jc w:val="right"/>
              <w:textAlignment w:val="bottom"/>
            </w:pPr>
            <w:r>
              <w:rPr>
                <w:rFonts w:ascii="Arial" w:eastAsia="宋体" w:hAnsi="Arial" w:cs="Arial"/>
                <w:color w:val="000000"/>
                <w:sz w:val="17"/>
                <w:szCs w:val="17"/>
              </w:rPr>
              <w:t>8,019 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5D2"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5D3" w14:textId="77777777" w:rsidR="00066C63" w:rsidRDefault="009656F6">
            <w:pPr>
              <w:jc w:val="right"/>
              <w:textAlignment w:val="bottom"/>
            </w:pPr>
            <w:r>
              <w:rPr>
                <w:rFonts w:ascii="Arial" w:eastAsia="宋体" w:hAnsi="Arial" w:cs="Arial"/>
                <w:color w:val="000000"/>
                <w:sz w:val="17"/>
                <w:szCs w:val="17"/>
              </w:rPr>
              <w:t>6 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5D4" w14:textId="77777777" w:rsidR="00066C63" w:rsidRDefault="009656F6">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5D5" w14:textId="77777777" w:rsidR="00066C63" w:rsidRDefault="009656F6">
            <w:pPr>
              <w:jc w:val="right"/>
              <w:textAlignment w:val="bottom"/>
            </w:pPr>
            <w:r>
              <w:rPr>
                <w:rFonts w:ascii="Arial" w:eastAsia="宋体" w:hAnsi="Arial" w:cs="Arial"/>
                <w:color w:val="000000"/>
                <w:sz w:val="17"/>
                <w:szCs w:val="17"/>
              </w:rPr>
              <w:t>2 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5D6" w14:textId="77777777" w:rsidR="00066C63" w:rsidRDefault="009656F6">
            <w:pPr>
              <w:jc w:val="right"/>
              <w:textAlignment w:val="bottom"/>
            </w:pPr>
            <w:r>
              <w:rPr>
                <w:rFonts w:ascii="Arial" w:eastAsia="宋体" w:hAnsi="Arial" w:cs="Arial"/>
                <w:color w:val="000000"/>
                <w:sz w:val="17"/>
                <w:szCs w:val="17"/>
              </w:rPr>
              <w:t>%</w:t>
            </w:r>
          </w:p>
        </w:tc>
      </w:tr>
      <w:tr w:rsidR="00066C63" w14:paraId="669C75EA"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75D8" w14:textId="77777777" w:rsidR="00066C63" w:rsidRDefault="009656F6">
            <w:pPr>
              <w:textAlignment w:val="bottom"/>
            </w:pPr>
            <w:r>
              <w:rPr>
                <w:rFonts w:ascii="Arial" w:eastAsia="宋体" w:hAnsi="Arial" w:cs="Arial"/>
                <w:color w:val="000000"/>
                <w:sz w:val="17"/>
                <w:szCs w:val="17"/>
              </w:rPr>
              <w:t>Greater China</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75D9" w14:textId="77777777" w:rsidR="00066C63" w:rsidRDefault="009656F6">
            <w:pPr>
              <w:jc w:val="right"/>
              <w:textAlignment w:val="bottom"/>
            </w:pPr>
            <w:r>
              <w:rPr>
                <w:rFonts w:ascii="Arial" w:eastAsia="宋体" w:hAnsi="Arial" w:cs="Arial"/>
                <w:color w:val="000000"/>
                <w:sz w:val="17"/>
                <w:szCs w:val="17"/>
              </w:rPr>
              <w:t>2,279 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75DA"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5DB" w14:textId="77777777" w:rsidR="00066C63" w:rsidRDefault="009656F6">
            <w:pPr>
              <w:jc w:val="right"/>
              <w:textAlignment w:val="bottom"/>
            </w:pPr>
            <w:r>
              <w:rPr>
                <w:rFonts w:ascii="Arial" w:eastAsia="宋体" w:hAnsi="Arial" w:cs="Arial"/>
                <w:color w:val="000000"/>
                <w:sz w:val="17"/>
                <w:szCs w:val="17"/>
              </w:rPr>
              <w:t>1,506 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5DC"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5DD" w14:textId="77777777" w:rsidR="00066C63" w:rsidRDefault="009656F6">
            <w:pPr>
              <w:jc w:val="right"/>
              <w:textAlignment w:val="bottom"/>
            </w:pPr>
            <w:r>
              <w:rPr>
                <w:rFonts w:ascii="Arial" w:eastAsia="宋体" w:hAnsi="Arial" w:cs="Arial"/>
                <w:color w:val="000000"/>
                <w:sz w:val="17"/>
                <w:szCs w:val="17"/>
              </w:rPr>
              <w:t>51 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5DE" w14:textId="77777777" w:rsidR="00066C63" w:rsidRDefault="009656F6">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5DF" w14:textId="77777777" w:rsidR="00066C63" w:rsidRDefault="009656F6">
            <w:pPr>
              <w:jc w:val="right"/>
              <w:textAlignment w:val="bottom"/>
            </w:pPr>
            <w:r>
              <w:rPr>
                <w:rFonts w:ascii="Arial" w:eastAsia="宋体" w:hAnsi="Arial" w:cs="Arial"/>
                <w:color w:val="000000"/>
                <w:sz w:val="17"/>
                <w:szCs w:val="17"/>
              </w:rPr>
              <w:t>42 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5E0" w14:textId="77777777" w:rsidR="00066C63" w:rsidRDefault="009656F6">
            <w:pPr>
              <w:jc w:val="right"/>
              <w:textAlignment w:val="bottom"/>
            </w:pPr>
            <w:r>
              <w:rPr>
                <w:rFonts w:ascii="Arial" w:eastAsia="宋体" w:hAnsi="Arial" w:cs="Arial"/>
                <w:color w:val="000000"/>
                <w:sz w:val="17"/>
                <w:szCs w:val="17"/>
              </w:rPr>
              <w:t>%</w:t>
            </w:r>
          </w:p>
        </w:tc>
        <w:tc>
          <w:tcPr>
            <w:tcW w:w="0" w:type="auto"/>
            <w:gridSpan w:val="3"/>
            <w:tcBorders>
              <w:top w:val="single" w:sz="8" w:space="0" w:color="808080"/>
            </w:tcBorders>
            <w:shd w:val="clear" w:color="auto" w:fill="auto"/>
            <w:tcMar>
              <w:top w:w="0" w:type="dxa"/>
              <w:left w:w="20" w:type="dxa"/>
              <w:bottom w:w="0" w:type="dxa"/>
              <w:right w:w="20" w:type="dxa"/>
            </w:tcMar>
          </w:tcPr>
          <w:p w14:paraId="669C75E1" w14:textId="77777777" w:rsidR="00066C63" w:rsidRDefault="00066C63">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75E2" w14:textId="77777777" w:rsidR="00066C63" w:rsidRDefault="009656F6">
            <w:pPr>
              <w:jc w:val="right"/>
              <w:textAlignment w:val="bottom"/>
            </w:pPr>
            <w:r>
              <w:rPr>
                <w:rFonts w:ascii="Arial" w:eastAsia="宋体" w:hAnsi="Arial" w:cs="Arial"/>
                <w:color w:val="000000"/>
                <w:sz w:val="17"/>
                <w:szCs w:val="17"/>
              </w:rPr>
              <w:t>6,357 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75E3"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5E4" w14:textId="77777777" w:rsidR="00066C63" w:rsidRDefault="009656F6">
            <w:pPr>
              <w:jc w:val="right"/>
              <w:textAlignment w:val="bottom"/>
            </w:pPr>
            <w:r>
              <w:rPr>
                <w:rFonts w:ascii="Arial" w:eastAsia="宋体" w:hAnsi="Arial" w:cs="Arial"/>
                <w:color w:val="000000"/>
                <w:sz w:val="17"/>
                <w:szCs w:val="17"/>
              </w:rPr>
              <w:t>5,032 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5E5"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5E6" w14:textId="77777777" w:rsidR="00066C63" w:rsidRDefault="009656F6">
            <w:pPr>
              <w:jc w:val="right"/>
              <w:textAlignment w:val="bottom"/>
            </w:pPr>
            <w:r>
              <w:rPr>
                <w:rFonts w:ascii="Arial" w:eastAsia="宋体" w:hAnsi="Arial" w:cs="Arial"/>
                <w:color w:val="000000"/>
                <w:sz w:val="17"/>
                <w:szCs w:val="17"/>
              </w:rPr>
              <w:t>26 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5E7" w14:textId="77777777" w:rsidR="00066C63" w:rsidRDefault="009656F6">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5E8" w14:textId="77777777" w:rsidR="00066C63" w:rsidRDefault="009656F6">
            <w:pPr>
              <w:jc w:val="right"/>
              <w:textAlignment w:val="bottom"/>
            </w:pPr>
            <w:r>
              <w:rPr>
                <w:rFonts w:ascii="Arial" w:eastAsia="宋体" w:hAnsi="Arial" w:cs="Arial"/>
                <w:color w:val="000000"/>
                <w:sz w:val="17"/>
                <w:szCs w:val="17"/>
              </w:rPr>
              <w:t>22 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5E9" w14:textId="77777777" w:rsidR="00066C63" w:rsidRDefault="009656F6">
            <w:pPr>
              <w:jc w:val="right"/>
              <w:textAlignment w:val="bottom"/>
            </w:pPr>
            <w:r>
              <w:rPr>
                <w:rFonts w:ascii="Arial" w:eastAsia="宋体" w:hAnsi="Arial" w:cs="Arial"/>
                <w:color w:val="000000"/>
                <w:sz w:val="17"/>
                <w:szCs w:val="17"/>
              </w:rPr>
              <w:t>%</w:t>
            </w:r>
          </w:p>
        </w:tc>
      </w:tr>
      <w:tr w:rsidR="00066C63" w14:paraId="669C75FD"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75EB" w14:textId="77777777" w:rsidR="00066C63" w:rsidRDefault="009656F6">
            <w:pPr>
              <w:textAlignment w:val="bottom"/>
            </w:pPr>
            <w:r>
              <w:rPr>
                <w:rFonts w:ascii="Arial" w:eastAsia="宋体" w:hAnsi="Arial" w:cs="Arial"/>
                <w:color w:val="000000"/>
                <w:sz w:val="17"/>
                <w:szCs w:val="17"/>
              </w:rPr>
              <w:t>Asia Pacific &amp; Latin America</w:t>
            </w:r>
            <w:r>
              <w:rPr>
                <w:rFonts w:ascii="Arial" w:eastAsia="宋体" w:hAnsi="Arial" w:cs="Arial"/>
                <w:color w:val="000000"/>
                <w:sz w:val="11"/>
                <w:szCs w:val="11"/>
              </w:rPr>
              <w:t>(2)</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75EC" w14:textId="77777777" w:rsidR="00066C63" w:rsidRDefault="009656F6">
            <w:pPr>
              <w:jc w:val="right"/>
              <w:textAlignment w:val="bottom"/>
            </w:pPr>
            <w:r>
              <w:rPr>
                <w:rFonts w:ascii="Arial" w:eastAsia="宋体" w:hAnsi="Arial" w:cs="Arial"/>
                <w:color w:val="000000"/>
                <w:sz w:val="17"/>
                <w:szCs w:val="17"/>
              </w:rPr>
              <w:t>1,315 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75ED"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5EE" w14:textId="77777777" w:rsidR="00066C63" w:rsidRDefault="009656F6">
            <w:pPr>
              <w:jc w:val="right"/>
              <w:textAlignment w:val="bottom"/>
            </w:pPr>
            <w:r>
              <w:rPr>
                <w:rFonts w:ascii="Arial" w:eastAsia="宋体" w:hAnsi="Arial" w:cs="Arial"/>
                <w:color w:val="000000"/>
                <w:sz w:val="17"/>
                <w:szCs w:val="17"/>
              </w:rPr>
              <w:t>1,414 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5EF"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5F0" w14:textId="77777777" w:rsidR="00066C63" w:rsidRDefault="009656F6">
            <w:pPr>
              <w:jc w:val="right"/>
              <w:textAlignment w:val="bottom"/>
            </w:pPr>
            <w:r>
              <w:rPr>
                <w:rFonts w:ascii="Arial" w:eastAsia="宋体" w:hAnsi="Arial" w:cs="Arial"/>
                <w:color w:val="000000"/>
                <w:sz w:val="17"/>
                <w:szCs w:val="17"/>
              </w:rPr>
              <w:t>-7 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5F1" w14:textId="77777777" w:rsidR="00066C63" w:rsidRDefault="009656F6">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5F2" w14:textId="77777777" w:rsidR="00066C63" w:rsidRDefault="009656F6">
            <w:pPr>
              <w:jc w:val="right"/>
              <w:textAlignment w:val="bottom"/>
            </w:pPr>
            <w:r>
              <w:rPr>
                <w:rFonts w:ascii="Arial" w:eastAsia="宋体" w:hAnsi="Arial" w:cs="Arial"/>
                <w:color w:val="000000"/>
                <w:sz w:val="17"/>
                <w:szCs w:val="17"/>
              </w:rPr>
              <w:t>-8 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5F3" w14:textId="77777777" w:rsidR="00066C63" w:rsidRDefault="009656F6">
            <w:pPr>
              <w:jc w:val="right"/>
              <w:textAlignment w:val="bottom"/>
            </w:pPr>
            <w:r>
              <w:rPr>
                <w:rFonts w:ascii="Arial" w:eastAsia="宋体" w:hAnsi="Arial" w:cs="Arial"/>
                <w:color w:val="000000"/>
                <w:sz w:val="17"/>
                <w:szCs w:val="17"/>
              </w:rPr>
              <w:t>%</w:t>
            </w:r>
          </w:p>
        </w:tc>
        <w:tc>
          <w:tcPr>
            <w:tcW w:w="0" w:type="auto"/>
            <w:gridSpan w:val="3"/>
            <w:tcBorders>
              <w:top w:val="single" w:sz="8" w:space="0" w:color="808080"/>
            </w:tcBorders>
            <w:shd w:val="clear" w:color="auto" w:fill="auto"/>
            <w:tcMar>
              <w:top w:w="0" w:type="dxa"/>
              <w:left w:w="20" w:type="dxa"/>
              <w:bottom w:w="0" w:type="dxa"/>
              <w:right w:w="20" w:type="dxa"/>
            </w:tcMar>
          </w:tcPr>
          <w:p w14:paraId="669C75F4" w14:textId="77777777" w:rsidR="00066C63" w:rsidRDefault="00066C63">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75F5" w14:textId="77777777" w:rsidR="00066C63" w:rsidRDefault="009656F6">
            <w:pPr>
              <w:jc w:val="right"/>
              <w:textAlignment w:val="bottom"/>
            </w:pPr>
            <w:r>
              <w:rPr>
                <w:rFonts w:ascii="Arial" w:eastAsia="宋体" w:hAnsi="Arial" w:cs="Arial"/>
                <w:color w:val="000000"/>
                <w:sz w:val="17"/>
                <w:szCs w:val="17"/>
              </w:rPr>
              <w:t>3,885 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75F6"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5F7" w14:textId="77777777" w:rsidR="00066C63" w:rsidRDefault="009656F6">
            <w:pPr>
              <w:jc w:val="right"/>
              <w:textAlignment w:val="bottom"/>
            </w:pPr>
            <w:r>
              <w:rPr>
                <w:rFonts w:ascii="Arial" w:eastAsia="宋体" w:hAnsi="Arial" w:cs="Arial"/>
                <w:color w:val="000000"/>
                <w:sz w:val="17"/>
                <w:szCs w:val="17"/>
              </w:rPr>
              <w:t>4,227 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5F8"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5F9" w14:textId="77777777" w:rsidR="00066C63" w:rsidRDefault="009656F6">
            <w:pPr>
              <w:jc w:val="right"/>
              <w:textAlignment w:val="bottom"/>
            </w:pPr>
            <w:r>
              <w:rPr>
                <w:rFonts w:ascii="Arial" w:eastAsia="宋体" w:hAnsi="Arial" w:cs="Arial"/>
                <w:color w:val="000000"/>
                <w:sz w:val="17"/>
                <w:szCs w:val="17"/>
              </w:rPr>
              <w:t>-8 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5FA" w14:textId="77777777" w:rsidR="00066C63" w:rsidRDefault="009656F6">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5FB" w14:textId="77777777" w:rsidR="00066C63" w:rsidRDefault="009656F6">
            <w:pPr>
              <w:jc w:val="right"/>
              <w:textAlignment w:val="bottom"/>
            </w:pPr>
            <w:r>
              <w:rPr>
                <w:rFonts w:ascii="Arial" w:eastAsia="宋体" w:hAnsi="Arial" w:cs="Arial"/>
                <w:color w:val="000000"/>
                <w:sz w:val="17"/>
                <w:szCs w:val="17"/>
              </w:rPr>
              <w:t>-5 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5FC" w14:textId="77777777" w:rsidR="00066C63" w:rsidRDefault="009656F6">
            <w:pPr>
              <w:jc w:val="right"/>
              <w:textAlignment w:val="bottom"/>
            </w:pPr>
            <w:r>
              <w:rPr>
                <w:rFonts w:ascii="Arial" w:eastAsia="宋体" w:hAnsi="Arial" w:cs="Arial"/>
                <w:color w:val="000000"/>
                <w:sz w:val="17"/>
                <w:szCs w:val="17"/>
              </w:rPr>
              <w:t>%</w:t>
            </w:r>
          </w:p>
        </w:tc>
      </w:tr>
      <w:tr w:rsidR="00066C63" w14:paraId="669C7610"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75FE" w14:textId="77777777" w:rsidR="00066C63" w:rsidRDefault="009656F6">
            <w:pPr>
              <w:textAlignment w:val="bottom"/>
            </w:pPr>
            <w:r>
              <w:rPr>
                <w:rFonts w:ascii="Arial" w:eastAsia="宋体" w:hAnsi="Arial" w:cs="Arial"/>
                <w:color w:val="000000"/>
                <w:sz w:val="17"/>
                <w:szCs w:val="17"/>
              </w:rPr>
              <w:t>Global Brand Divisions</w:t>
            </w:r>
            <w:r>
              <w:rPr>
                <w:rFonts w:ascii="Arial" w:eastAsia="宋体" w:hAnsi="Arial" w:cs="Arial"/>
                <w:color w:val="000000"/>
                <w:sz w:val="11"/>
                <w:szCs w:val="11"/>
              </w:rPr>
              <w:t>(3)</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75FF" w14:textId="77777777" w:rsidR="00066C63" w:rsidRDefault="009656F6">
            <w:pPr>
              <w:jc w:val="right"/>
              <w:textAlignment w:val="bottom"/>
            </w:pPr>
            <w:r>
              <w:rPr>
                <w:rFonts w:ascii="Arial" w:eastAsia="宋体" w:hAnsi="Arial" w:cs="Arial"/>
                <w:color w:val="000000"/>
                <w:sz w:val="17"/>
                <w:szCs w:val="17"/>
              </w:rPr>
              <w:t>6 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7600"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601" w14:textId="77777777" w:rsidR="00066C63" w:rsidRDefault="009656F6">
            <w:pPr>
              <w:jc w:val="right"/>
              <w:textAlignment w:val="bottom"/>
            </w:pPr>
            <w:r>
              <w:rPr>
                <w:rFonts w:ascii="Arial" w:eastAsia="宋体" w:hAnsi="Arial" w:cs="Arial"/>
                <w:color w:val="000000"/>
                <w:sz w:val="17"/>
                <w:szCs w:val="17"/>
              </w:rPr>
              <w:t>8 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602"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603" w14:textId="77777777" w:rsidR="00066C63" w:rsidRDefault="009656F6">
            <w:pPr>
              <w:jc w:val="right"/>
              <w:textAlignment w:val="bottom"/>
            </w:pPr>
            <w:r>
              <w:rPr>
                <w:rFonts w:ascii="Arial" w:eastAsia="宋体" w:hAnsi="Arial" w:cs="Arial"/>
                <w:color w:val="000000"/>
                <w:sz w:val="17"/>
                <w:szCs w:val="17"/>
              </w:rPr>
              <w:t>-25 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604" w14:textId="77777777" w:rsidR="00066C63" w:rsidRDefault="009656F6">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605" w14:textId="77777777" w:rsidR="00066C63" w:rsidRDefault="009656F6">
            <w:pPr>
              <w:jc w:val="right"/>
              <w:textAlignment w:val="bottom"/>
            </w:pPr>
            <w:r>
              <w:rPr>
                <w:rFonts w:ascii="Arial" w:eastAsia="宋体" w:hAnsi="Arial" w:cs="Arial"/>
                <w:color w:val="000000"/>
                <w:sz w:val="17"/>
                <w:szCs w:val="17"/>
              </w:rPr>
              <w:t>-32 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606" w14:textId="77777777" w:rsidR="00066C63" w:rsidRDefault="009656F6">
            <w:pPr>
              <w:jc w:val="right"/>
              <w:textAlignment w:val="bottom"/>
            </w:pPr>
            <w:r>
              <w:rPr>
                <w:rFonts w:ascii="Arial" w:eastAsia="宋体" w:hAnsi="Arial" w:cs="Arial"/>
                <w:color w:val="000000"/>
                <w:sz w:val="17"/>
                <w:szCs w:val="17"/>
              </w:rPr>
              <w:t>%</w:t>
            </w:r>
          </w:p>
        </w:tc>
        <w:tc>
          <w:tcPr>
            <w:tcW w:w="0" w:type="auto"/>
            <w:gridSpan w:val="3"/>
            <w:tcBorders>
              <w:top w:val="single" w:sz="8" w:space="0" w:color="808080"/>
            </w:tcBorders>
            <w:shd w:val="clear" w:color="auto" w:fill="auto"/>
            <w:tcMar>
              <w:top w:w="0" w:type="dxa"/>
              <w:left w:w="20" w:type="dxa"/>
              <w:bottom w:w="0" w:type="dxa"/>
              <w:right w:w="20" w:type="dxa"/>
            </w:tcMar>
          </w:tcPr>
          <w:p w14:paraId="669C7607" w14:textId="77777777" w:rsidR="00066C63" w:rsidRDefault="00066C63">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7608" w14:textId="77777777" w:rsidR="00066C63" w:rsidRDefault="009656F6">
            <w:pPr>
              <w:jc w:val="right"/>
              <w:textAlignment w:val="bottom"/>
            </w:pPr>
            <w:r>
              <w:rPr>
                <w:rFonts w:ascii="Arial" w:eastAsia="宋体" w:hAnsi="Arial" w:cs="Arial"/>
                <w:color w:val="000000"/>
                <w:sz w:val="17"/>
                <w:szCs w:val="17"/>
              </w:rPr>
              <w:t>18 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7609"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60A" w14:textId="77777777" w:rsidR="00066C63" w:rsidRDefault="009656F6">
            <w:pPr>
              <w:jc w:val="right"/>
              <w:textAlignment w:val="bottom"/>
            </w:pPr>
            <w:r>
              <w:rPr>
                <w:rFonts w:ascii="Arial" w:eastAsia="宋体" w:hAnsi="Arial" w:cs="Arial"/>
                <w:color w:val="000000"/>
                <w:sz w:val="17"/>
                <w:szCs w:val="17"/>
              </w:rPr>
              <w:t>24 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60B"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60C" w14:textId="77777777" w:rsidR="00066C63" w:rsidRDefault="009656F6">
            <w:pPr>
              <w:jc w:val="right"/>
              <w:textAlignment w:val="bottom"/>
            </w:pPr>
            <w:r>
              <w:rPr>
                <w:rFonts w:ascii="Arial" w:eastAsia="宋体" w:hAnsi="Arial" w:cs="Arial"/>
                <w:color w:val="000000"/>
                <w:sz w:val="17"/>
                <w:szCs w:val="17"/>
              </w:rPr>
              <w:t>-25 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60D" w14:textId="77777777" w:rsidR="00066C63" w:rsidRDefault="009656F6">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60E" w14:textId="77777777" w:rsidR="00066C63" w:rsidRDefault="009656F6">
            <w:pPr>
              <w:jc w:val="right"/>
              <w:textAlignment w:val="bottom"/>
            </w:pPr>
            <w:r>
              <w:rPr>
                <w:rFonts w:ascii="Arial" w:eastAsia="宋体" w:hAnsi="Arial" w:cs="Arial"/>
                <w:color w:val="000000"/>
                <w:sz w:val="17"/>
                <w:szCs w:val="17"/>
              </w:rPr>
              <w:t>-27 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60F" w14:textId="77777777" w:rsidR="00066C63" w:rsidRDefault="009656F6">
            <w:pPr>
              <w:jc w:val="right"/>
              <w:textAlignment w:val="bottom"/>
            </w:pPr>
            <w:r>
              <w:rPr>
                <w:rFonts w:ascii="Arial" w:eastAsia="宋体" w:hAnsi="Arial" w:cs="Arial"/>
                <w:color w:val="000000"/>
                <w:sz w:val="17"/>
                <w:szCs w:val="17"/>
              </w:rPr>
              <w:t>%</w:t>
            </w:r>
          </w:p>
        </w:tc>
      </w:tr>
      <w:tr w:rsidR="00066C63" w14:paraId="669C7623"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611" w14:textId="77777777" w:rsidR="00066C63" w:rsidRDefault="009656F6">
            <w:pPr>
              <w:textAlignment w:val="bottom"/>
            </w:pPr>
            <w:r>
              <w:rPr>
                <w:rFonts w:ascii="Arial" w:eastAsia="宋体" w:hAnsi="Arial" w:cs="Arial"/>
                <w:b/>
                <w:bCs/>
                <w:color w:val="000000"/>
                <w:sz w:val="17"/>
                <w:szCs w:val="17"/>
              </w:rPr>
              <w:t>TOTAL NIKE BRAND</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669C7612" w14:textId="77777777" w:rsidR="00066C63" w:rsidRDefault="009656F6">
            <w:pPr>
              <w:jc w:val="right"/>
              <w:textAlignment w:val="bottom"/>
            </w:pPr>
            <w:r>
              <w:rPr>
                <w:rFonts w:ascii="Arial" w:eastAsia="宋体" w:hAnsi="Arial" w:cs="Arial"/>
                <w:b/>
                <w:bCs/>
                <w:color w:val="000000"/>
                <w:sz w:val="17"/>
                <w:szCs w:val="17"/>
              </w:rPr>
              <w:t>9,773</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7613" w14:textId="77777777" w:rsidR="00066C63" w:rsidRDefault="00066C63">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7614" w14:textId="77777777" w:rsidR="00066C63" w:rsidRDefault="009656F6">
            <w:pPr>
              <w:jc w:val="right"/>
              <w:textAlignment w:val="bottom"/>
            </w:pPr>
            <w:r>
              <w:rPr>
                <w:rFonts w:ascii="Arial" w:eastAsia="宋体" w:hAnsi="Arial" w:cs="Arial"/>
                <w:b/>
                <w:bCs/>
                <w:color w:val="000000"/>
                <w:sz w:val="17"/>
                <w:szCs w:val="17"/>
              </w:rPr>
              <w:t>9,616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7615" w14:textId="77777777" w:rsidR="00066C63" w:rsidRDefault="00066C63">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7616" w14:textId="77777777" w:rsidR="00066C63" w:rsidRDefault="009656F6">
            <w:pPr>
              <w:jc w:val="right"/>
              <w:textAlignment w:val="bottom"/>
            </w:pPr>
            <w:r>
              <w:rPr>
                <w:rFonts w:ascii="Arial" w:eastAsia="宋体" w:hAnsi="Arial" w:cs="Arial"/>
                <w:b/>
                <w:bCs/>
                <w:color w:val="000000"/>
                <w:sz w:val="17"/>
                <w:szCs w:val="17"/>
              </w:rPr>
              <w:t>2</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7617" w14:textId="77777777" w:rsidR="00066C63" w:rsidRDefault="009656F6">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7618" w14:textId="77777777" w:rsidR="00066C63" w:rsidRDefault="009656F6">
            <w:pPr>
              <w:jc w:val="right"/>
              <w:textAlignment w:val="bottom"/>
            </w:pPr>
            <w:r>
              <w:rPr>
                <w:rFonts w:ascii="Arial" w:eastAsia="宋体" w:hAnsi="Arial" w:cs="Arial"/>
                <w:b/>
                <w:bCs/>
                <w:color w:val="000000"/>
                <w:sz w:val="17"/>
                <w:szCs w:val="17"/>
              </w:rPr>
              <w:t>-2</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7619" w14:textId="77777777" w:rsidR="00066C63" w:rsidRDefault="009656F6">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tcPr>
          <w:p w14:paraId="669C761A" w14:textId="77777777" w:rsidR="00066C63" w:rsidRDefault="00066C63">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669C761B" w14:textId="77777777" w:rsidR="00066C63" w:rsidRDefault="009656F6">
            <w:pPr>
              <w:jc w:val="right"/>
              <w:textAlignment w:val="bottom"/>
            </w:pPr>
            <w:r>
              <w:rPr>
                <w:rFonts w:ascii="Arial" w:eastAsia="宋体" w:hAnsi="Arial" w:cs="Arial"/>
                <w:b/>
                <w:bCs/>
                <w:color w:val="000000"/>
                <w:sz w:val="17"/>
                <w:szCs w:val="17"/>
              </w:rPr>
              <w:t>30,532</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761C" w14:textId="77777777" w:rsidR="00066C63" w:rsidRDefault="00066C63">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761D" w14:textId="77777777" w:rsidR="00066C63" w:rsidRDefault="009656F6">
            <w:pPr>
              <w:jc w:val="right"/>
              <w:textAlignment w:val="bottom"/>
            </w:pPr>
            <w:r>
              <w:rPr>
                <w:rFonts w:ascii="Arial" w:eastAsia="宋体" w:hAnsi="Arial" w:cs="Arial"/>
                <w:b/>
                <w:bCs/>
                <w:color w:val="000000"/>
                <w:sz w:val="17"/>
                <w:szCs w:val="17"/>
              </w:rPr>
              <w:t>29,556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761E" w14:textId="77777777" w:rsidR="00066C63" w:rsidRDefault="00066C63">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761F" w14:textId="77777777" w:rsidR="00066C63" w:rsidRDefault="009656F6">
            <w:pPr>
              <w:jc w:val="right"/>
              <w:textAlignment w:val="bottom"/>
            </w:pPr>
            <w:r>
              <w:rPr>
                <w:rFonts w:ascii="Arial" w:eastAsia="宋体" w:hAnsi="Arial" w:cs="Arial"/>
                <w:b/>
                <w:bCs/>
                <w:color w:val="000000"/>
                <w:sz w:val="17"/>
                <w:szCs w:val="17"/>
              </w:rPr>
              <w:t>3</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7620" w14:textId="77777777" w:rsidR="00066C63" w:rsidRDefault="009656F6">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7621" w14:textId="77777777" w:rsidR="00066C63" w:rsidRDefault="009656F6">
            <w:pPr>
              <w:jc w:val="right"/>
              <w:textAlignment w:val="bottom"/>
            </w:pPr>
            <w:r>
              <w:rPr>
                <w:rFonts w:ascii="Arial" w:eastAsia="宋体" w:hAnsi="Arial" w:cs="Arial"/>
                <w:b/>
                <w:bCs/>
                <w:color w:val="000000"/>
                <w:sz w:val="17"/>
                <w:szCs w:val="17"/>
              </w:rPr>
              <w:t>2</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7622" w14:textId="77777777" w:rsidR="00066C63" w:rsidRDefault="009656F6">
            <w:pPr>
              <w:jc w:val="right"/>
              <w:textAlignment w:val="bottom"/>
            </w:pPr>
            <w:r>
              <w:rPr>
                <w:rFonts w:ascii="Arial" w:eastAsia="宋体" w:hAnsi="Arial" w:cs="Arial"/>
                <w:b/>
                <w:bCs/>
                <w:color w:val="000000"/>
                <w:sz w:val="17"/>
                <w:szCs w:val="17"/>
              </w:rPr>
              <w:t>%</w:t>
            </w:r>
          </w:p>
        </w:tc>
      </w:tr>
      <w:tr w:rsidR="00066C63" w14:paraId="669C7636"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624" w14:textId="77777777" w:rsidR="00066C63" w:rsidRDefault="009656F6">
            <w:pPr>
              <w:textAlignment w:val="bottom"/>
            </w:pPr>
            <w:r>
              <w:rPr>
                <w:rFonts w:ascii="Arial" w:eastAsia="宋体" w:hAnsi="Arial" w:cs="Arial"/>
                <w:color w:val="000000"/>
                <w:sz w:val="17"/>
                <w:szCs w:val="17"/>
              </w:rPr>
              <w:t>Converse</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669C7625" w14:textId="77777777" w:rsidR="00066C63" w:rsidRDefault="009656F6">
            <w:pPr>
              <w:jc w:val="right"/>
              <w:textAlignment w:val="bottom"/>
            </w:pPr>
            <w:r>
              <w:rPr>
                <w:rFonts w:ascii="Arial" w:eastAsia="宋体" w:hAnsi="Arial" w:cs="Arial"/>
                <w:color w:val="000000"/>
                <w:sz w:val="17"/>
                <w:szCs w:val="17"/>
              </w:rPr>
              <w:t>570 </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7626" w14:textId="77777777" w:rsidR="00066C63" w:rsidRDefault="00066C63">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7627" w14:textId="77777777" w:rsidR="00066C63" w:rsidRDefault="009656F6">
            <w:pPr>
              <w:jc w:val="right"/>
              <w:textAlignment w:val="bottom"/>
            </w:pPr>
            <w:r>
              <w:rPr>
                <w:rFonts w:ascii="Arial" w:eastAsia="宋体" w:hAnsi="Arial" w:cs="Arial"/>
                <w:color w:val="000000"/>
                <w:sz w:val="17"/>
                <w:szCs w:val="17"/>
              </w:rPr>
              <w:t>506 </w:t>
            </w:r>
          </w:p>
        </w:tc>
        <w:tc>
          <w:tcPr>
            <w:tcW w:w="0" w:type="auto"/>
            <w:tcBorders>
              <w:top w:val="single" w:sz="8" w:space="0" w:color="E87722"/>
            </w:tcBorders>
            <w:shd w:val="clear" w:color="auto" w:fill="auto"/>
            <w:tcMar>
              <w:top w:w="40" w:type="dxa"/>
              <w:left w:w="0" w:type="dxa"/>
              <w:bottom w:w="40" w:type="dxa"/>
              <w:right w:w="20" w:type="dxa"/>
            </w:tcMar>
            <w:vAlign w:val="bottom"/>
          </w:tcPr>
          <w:p w14:paraId="669C7628" w14:textId="77777777" w:rsidR="00066C63" w:rsidRDefault="00066C63">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7629" w14:textId="77777777" w:rsidR="00066C63" w:rsidRDefault="009656F6">
            <w:pPr>
              <w:jc w:val="right"/>
              <w:textAlignment w:val="bottom"/>
            </w:pPr>
            <w:r>
              <w:rPr>
                <w:rFonts w:ascii="Arial" w:eastAsia="宋体" w:hAnsi="Arial" w:cs="Arial"/>
                <w:color w:val="000000"/>
                <w:sz w:val="17"/>
                <w:szCs w:val="17"/>
              </w:rPr>
              <w:t>13 </w:t>
            </w:r>
          </w:p>
        </w:tc>
        <w:tc>
          <w:tcPr>
            <w:tcW w:w="0" w:type="auto"/>
            <w:tcBorders>
              <w:top w:val="single" w:sz="8" w:space="0" w:color="E87722"/>
            </w:tcBorders>
            <w:shd w:val="clear" w:color="auto" w:fill="auto"/>
            <w:tcMar>
              <w:top w:w="40" w:type="dxa"/>
              <w:left w:w="0" w:type="dxa"/>
              <w:bottom w:w="40" w:type="dxa"/>
              <w:right w:w="20" w:type="dxa"/>
            </w:tcMar>
            <w:vAlign w:val="bottom"/>
          </w:tcPr>
          <w:p w14:paraId="669C762A" w14:textId="77777777" w:rsidR="00066C63" w:rsidRDefault="009656F6">
            <w:pPr>
              <w:jc w:val="right"/>
              <w:textAlignment w:val="bottom"/>
            </w:pPr>
            <w:r>
              <w:rPr>
                <w:rFonts w:ascii="Arial" w:eastAsia="宋体" w:hAnsi="Arial" w:cs="Arial"/>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762B" w14:textId="77777777" w:rsidR="00066C63" w:rsidRDefault="009656F6">
            <w:pPr>
              <w:jc w:val="right"/>
              <w:textAlignment w:val="bottom"/>
            </w:pPr>
            <w:r>
              <w:rPr>
                <w:rFonts w:ascii="Arial" w:eastAsia="宋体" w:hAnsi="Arial" w:cs="Arial"/>
                <w:color w:val="000000"/>
                <w:sz w:val="17"/>
                <w:szCs w:val="17"/>
              </w:rPr>
              <w:t>8 </w:t>
            </w:r>
          </w:p>
        </w:tc>
        <w:tc>
          <w:tcPr>
            <w:tcW w:w="0" w:type="auto"/>
            <w:tcBorders>
              <w:top w:val="single" w:sz="8" w:space="0" w:color="E87722"/>
            </w:tcBorders>
            <w:shd w:val="clear" w:color="auto" w:fill="auto"/>
            <w:tcMar>
              <w:top w:w="40" w:type="dxa"/>
              <w:left w:w="0" w:type="dxa"/>
              <w:bottom w:w="40" w:type="dxa"/>
              <w:right w:w="20" w:type="dxa"/>
            </w:tcMar>
            <w:vAlign w:val="bottom"/>
          </w:tcPr>
          <w:p w14:paraId="669C762C" w14:textId="77777777" w:rsidR="00066C63" w:rsidRDefault="009656F6">
            <w:pPr>
              <w:jc w:val="right"/>
              <w:textAlignment w:val="bottom"/>
            </w:pPr>
            <w:r>
              <w:rPr>
                <w:rFonts w:ascii="Arial" w:eastAsia="宋体" w:hAnsi="Arial" w:cs="Arial"/>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tcPr>
          <w:p w14:paraId="669C762D" w14:textId="77777777" w:rsidR="00066C63" w:rsidRDefault="00066C63">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669C762E" w14:textId="77777777" w:rsidR="00066C63" w:rsidRDefault="009656F6">
            <w:pPr>
              <w:jc w:val="right"/>
              <w:textAlignment w:val="bottom"/>
            </w:pPr>
            <w:r>
              <w:rPr>
                <w:rFonts w:ascii="Arial" w:eastAsia="宋体" w:hAnsi="Arial" w:cs="Arial"/>
                <w:color w:val="000000"/>
                <w:sz w:val="17"/>
                <w:szCs w:val="17"/>
              </w:rPr>
              <w:t>1,609 </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762F" w14:textId="77777777" w:rsidR="00066C63" w:rsidRDefault="00066C63">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7630" w14:textId="77777777" w:rsidR="00066C63" w:rsidRDefault="009656F6">
            <w:pPr>
              <w:jc w:val="right"/>
              <w:textAlignment w:val="bottom"/>
            </w:pPr>
            <w:r>
              <w:rPr>
                <w:rFonts w:ascii="Arial" w:eastAsia="宋体" w:hAnsi="Arial" w:cs="Arial"/>
                <w:color w:val="000000"/>
                <w:sz w:val="17"/>
                <w:szCs w:val="17"/>
              </w:rPr>
              <w:t>1,541 </w:t>
            </w:r>
          </w:p>
        </w:tc>
        <w:tc>
          <w:tcPr>
            <w:tcW w:w="0" w:type="auto"/>
            <w:tcBorders>
              <w:top w:val="single" w:sz="8" w:space="0" w:color="E87722"/>
            </w:tcBorders>
            <w:shd w:val="clear" w:color="auto" w:fill="auto"/>
            <w:tcMar>
              <w:top w:w="40" w:type="dxa"/>
              <w:left w:w="0" w:type="dxa"/>
              <w:bottom w:w="40" w:type="dxa"/>
              <w:right w:w="20" w:type="dxa"/>
            </w:tcMar>
            <w:vAlign w:val="bottom"/>
          </w:tcPr>
          <w:p w14:paraId="669C7631" w14:textId="77777777" w:rsidR="00066C63" w:rsidRDefault="00066C63">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7632" w14:textId="77777777" w:rsidR="00066C63" w:rsidRDefault="009656F6">
            <w:pPr>
              <w:jc w:val="right"/>
              <w:textAlignment w:val="bottom"/>
            </w:pPr>
            <w:r>
              <w:rPr>
                <w:rFonts w:ascii="Arial" w:eastAsia="宋体" w:hAnsi="Arial" w:cs="Arial"/>
                <w:color w:val="000000"/>
                <w:sz w:val="17"/>
                <w:szCs w:val="17"/>
              </w:rPr>
              <w:t>4 </w:t>
            </w:r>
          </w:p>
        </w:tc>
        <w:tc>
          <w:tcPr>
            <w:tcW w:w="0" w:type="auto"/>
            <w:tcBorders>
              <w:top w:val="single" w:sz="8" w:space="0" w:color="E87722"/>
            </w:tcBorders>
            <w:shd w:val="clear" w:color="auto" w:fill="auto"/>
            <w:tcMar>
              <w:top w:w="40" w:type="dxa"/>
              <w:left w:w="0" w:type="dxa"/>
              <w:bottom w:w="40" w:type="dxa"/>
              <w:right w:w="20" w:type="dxa"/>
            </w:tcMar>
            <w:vAlign w:val="bottom"/>
          </w:tcPr>
          <w:p w14:paraId="669C7633" w14:textId="77777777" w:rsidR="00066C63" w:rsidRDefault="009656F6">
            <w:pPr>
              <w:jc w:val="right"/>
              <w:textAlignment w:val="bottom"/>
            </w:pPr>
            <w:r>
              <w:rPr>
                <w:rFonts w:ascii="Arial" w:eastAsia="宋体" w:hAnsi="Arial" w:cs="Arial"/>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7634" w14:textId="77777777" w:rsidR="00066C63" w:rsidRDefault="009656F6">
            <w:pPr>
              <w:jc w:val="right"/>
              <w:textAlignment w:val="bottom"/>
            </w:pPr>
            <w:r>
              <w:rPr>
                <w:rFonts w:ascii="Arial" w:eastAsia="宋体" w:hAnsi="Arial" w:cs="Arial"/>
                <w:color w:val="000000"/>
                <w:sz w:val="17"/>
                <w:szCs w:val="17"/>
              </w:rPr>
              <w:t>2 </w:t>
            </w:r>
          </w:p>
        </w:tc>
        <w:tc>
          <w:tcPr>
            <w:tcW w:w="0" w:type="auto"/>
            <w:tcBorders>
              <w:top w:val="single" w:sz="8" w:space="0" w:color="E87722"/>
            </w:tcBorders>
            <w:shd w:val="clear" w:color="auto" w:fill="auto"/>
            <w:tcMar>
              <w:top w:w="40" w:type="dxa"/>
              <w:left w:w="0" w:type="dxa"/>
              <w:bottom w:w="40" w:type="dxa"/>
              <w:right w:w="20" w:type="dxa"/>
            </w:tcMar>
            <w:vAlign w:val="bottom"/>
          </w:tcPr>
          <w:p w14:paraId="669C7635" w14:textId="77777777" w:rsidR="00066C63" w:rsidRDefault="009656F6">
            <w:pPr>
              <w:jc w:val="right"/>
              <w:textAlignment w:val="bottom"/>
            </w:pPr>
            <w:r>
              <w:rPr>
                <w:rFonts w:ascii="Arial" w:eastAsia="宋体" w:hAnsi="Arial" w:cs="Arial"/>
                <w:color w:val="000000"/>
                <w:sz w:val="17"/>
                <w:szCs w:val="17"/>
              </w:rPr>
              <w:t>%</w:t>
            </w:r>
          </w:p>
        </w:tc>
      </w:tr>
      <w:tr w:rsidR="00066C63" w14:paraId="669C7649"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7637" w14:textId="77777777" w:rsidR="00066C63" w:rsidRDefault="009656F6">
            <w:pPr>
              <w:textAlignment w:val="bottom"/>
            </w:pPr>
            <w:r>
              <w:rPr>
                <w:rFonts w:ascii="Arial" w:eastAsia="宋体" w:hAnsi="Arial" w:cs="Arial"/>
                <w:color w:val="000000"/>
                <w:sz w:val="17"/>
                <w:szCs w:val="17"/>
              </w:rPr>
              <w:t>Corporate</w:t>
            </w:r>
            <w:r>
              <w:rPr>
                <w:rFonts w:ascii="Arial" w:eastAsia="宋体" w:hAnsi="Arial" w:cs="Arial"/>
                <w:color w:val="000000"/>
                <w:sz w:val="9"/>
                <w:szCs w:val="9"/>
              </w:rPr>
              <w:t>(4)</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7638" w14:textId="77777777" w:rsidR="00066C63" w:rsidRDefault="009656F6">
            <w:pPr>
              <w:jc w:val="right"/>
              <w:textAlignment w:val="bottom"/>
            </w:pPr>
            <w:r>
              <w:rPr>
                <w:rFonts w:ascii="Arial" w:eastAsia="宋体" w:hAnsi="Arial" w:cs="Arial"/>
                <w:color w:val="000000"/>
                <w:sz w:val="17"/>
                <w:szCs w:val="17"/>
              </w:rPr>
              <w:t>14 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7639"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63A" w14:textId="77777777" w:rsidR="00066C63" w:rsidRDefault="009656F6">
            <w:pPr>
              <w:jc w:val="right"/>
              <w:textAlignment w:val="bottom"/>
            </w:pPr>
            <w:r>
              <w:rPr>
                <w:rFonts w:ascii="Arial" w:eastAsia="宋体" w:hAnsi="Arial" w:cs="Arial"/>
                <w:color w:val="000000"/>
                <w:sz w:val="17"/>
                <w:szCs w:val="17"/>
              </w:rPr>
              <w:t>(18)</w:t>
            </w:r>
          </w:p>
        </w:tc>
        <w:tc>
          <w:tcPr>
            <w:tcW w:w="0" w:type="auto"/>
            <w:tcBorders>
              <w:top w:val="single" w:sz="8" w:space="0" w:color="808080"/>
            </w:tcBorders>
            <w:shd w:val="clear" w:color="auto" w:fill="auto"/>
            <w:tcMar>
              <w:top w:w="40" w:type="dxa"/>
              <w:left w:w="0" w:type="dxa"/>
              <w:bottom w:w="40" w:type="dxa"/>
              <w:right w:w="20" w:type="dxa"/>
            </w:tcMar>
            <w:vAlign w:val="bottom"/>
          </w:tcPr>
          <w:p w14:paraId="669C763B"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63C" w14:textId="77777777" w:rsidR="00066C63" w:rsidRDefault="009656F6">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63D"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63E" w14:textId="77777777" w:rsidR="00066C63" w:rsidRDefault="009656F6">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63F" w14:textId="77777777" w:rsidR="00066C63" w:rsidRDefault="00066C63">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669C7640" w14:textId="77777777" w:rsidR="00066C63" w:rsidRDefault="00066C63">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7641" w14:textId="77777777" w:rsidR="00066C63" w:rsidRDefault="009656F6">
            <w:pPr>
              <w:jc w:val="right"/>
              <w:textAlignment w:val="bottom"/>
            </w:pPr>
            <w:r>
              <w:rPr>
                <w:rFonts w:ascii="Arial" w:eastAsia="宋体" w:hAnsi="Arial" w:cs="Arial"/>
                <w:color w:val="000000"/>
                <w:sz w:val="17"/>
                <w:szCs w:val="17"/>
              </w:rPr>
              <w:t>53 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7642"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643" w14:textId="77777777" w:rsidR="00066C63" w:rsidRDefault="009656F6">
            <w:pPr>
              <w:jc w:val="right"/>
              <w:textAlignment w:val="bottom"/>
            </w:pPr>
            <w:r>
              <w:rPr>
                <w:rFonts w:ascii="Arial" w:eastAsia="宋体" w:hAnsi="Arial" w:cs="Arial"/>
                <w:color w:val="000000"/>
                <w:sz w:val="17"/>
                <w:szCs w:val="17"/>
              </w:rPr>
              <w:t>(7)</w:t>
            </w:r>
          </w:p>
        </w:tc>
        <w:tc>
          <w:tcPr>
            <w:tcW w:w="0" w:type="auto"/>
            <w:tcBorders>
              <w:top w:val="single" w:sz="8" w:space="0" w:color="808080"/>
            </w:tcBorders>
            <w:shd w:val="clear" w:color="auto" w:fill="auto"/>
            <w:tcMar>
              <w:top w:w="40" w:type="dxa"/>
              <w:left w:w="0" w:type="dxa"/>
              <w:bottom w:w="40" w:type="dxa"/>
              <w:right w:w="20" w:type="dxa"/>
            </w:tcMar>
            <w:vAlign w:val="bottom"/>
          </w:tcPr>
          <w:p w14:paraId="669C7644"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645" w14:textId="77777777" w:rsidR="00066C63" w:rsidRDefault="009656F6">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646"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647" w14:textId="77777777" w:rsidR="00066C63" w:rsidRDefault="009656F6">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648" w14:textId="77777777" w:rsidR="00066C63" w:rsidRDefault="00066C63">
            <w:pPr>
              <w:jc w:val="right"/>
              <w:rPr>
                <w:rFonts w:ascii="宋体"/>
              </w:rPr>
            </w:pPr>
          </w:p>
        </w:tc>
      </w:tr>
      <w:tr w:rsidR="00066C63" w14:paraId="669C7660"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669C764A" w14:textId="77777777" w:rsidR="00066C63" w:rsidRDefault="009656F6">
            <w:pPr>
              <w:textAlignment w:val="bottom"/>
            </w:pPr>
            <w:r>
              <w:rPr>
                <w:rFonts w:ascii="Arial" w:eastAsia="宋体" w:hAnsi="Arial" w:cs="Arial"/>
                <w:b/>
                <w:bCs/>
                <w:color w:val="000000"/>
                <w:sz w:val="17"/>
                <w:szCs w:val="17"/>
              </w:rPr>
              <w:t>TOTAL NIKE, INC. REVENUES</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69C764B"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669C764C" w14:textId="77777777" w:rsidR="00066C63" w:rsidRDefault="009656F6">
            <w:pPr>
              <w:jc w:val="right"/>
              <w:textAlignment w:val="bottom"/>
            </w:pPr>
            <w:r>
              <w:rPr>
                <w:rFonts w:ascii="Arial" w:eastAsia="宋体" w:hAnsi="Arial" w:cs="Arial"/>
                <w:b/>
                <w:bCs/>
                <w:color w:val="000000"/>
                <w:sz w:val="17"/>
                <w:szCs w:val="17"/>
              </w:rPr>
              <w:t>10,357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69C764D" w14:textId="77777777" w:rsidR="00066C63" w:rsidRDefault="00066C63">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69C764E"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69C764F" w14:textId="77777777" w:rsidR="00066C63" w:rsidRDefault="009656F6">
            <w:pPr>
              <w:jc w:val="right"/>
              <w:textAlignment w:val="bottom"/>
            </w:pPr>
            <w:r>
              <w:rPr>
                <w:rFonts w:ascii="Arial" w:eastAsia="宋体" w:hAnsi="Arial" w:cs="Arial"/>
                <w:b/>
                <w:bCs/>
                <w:color w:val="000000"/>
                <w:sz w:val="17"/>
                <w:szCs w:val="17"/>
              </w:rPr>
              <w:t>10,104</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69C7650" w14:textId="77777777" w:rsidR="00066C63" w:rsidRDefault="00066C63">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669C7651" w14:textId="77777777" w:rsidR="00066C63" w:rsidRDefault="009656F6">
            <w:pPr>
              <w:jc w:val="right"/>
              <w:textAlignment w:val="bottom"/>
            </w:pPr>
            <w:r>
              <w:rPr>
                <w:rFonts w:ascii="Arial" w:eastAsia="宋体" w:hAnsi="Arial" w:cs="Arial"/>
                <w:b/>
                <w:bCs/>
                <w:color w:val="000000"/>
                <w:sz w:val="17"/>
                <w:szCs w:val="17"/>
              </w:rPr>
              <w:t>3</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69C7652" w14:textId="77777777" w:rsidR="00066C63" w:rsidRDefault="009656F6">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669C7653" w14:textId="77777777" w:rsidR="00066C63" w:rsidRDefault="009656F6">
            <w:pPr>
              <w:jc w:val="right"/>
              <w:textAlignment w:val="bottom"/>
            </w:pPr>
            <w:r>
              <w:rPr>
                <w:rFonts w:ascii="Arial" w:eastAsia="宋体" w:hAnsi="Arial" w:cs="Arial"/>
                <w:b/>
                <w:bCs/>
                <w:color w:val="000000"/>
                <w:sz w:val="17"/>
                <w:szCs w:val="17"/>
              </w:rPr>
              <w:t>-1</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69C7654" w14:textId="77777777" w:rsidR="00066C63" w:rsidRDefault="009656F6">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tcPr>
          <w:p w14:paraId="669C7655" w14:textId="77777777" w:rsidR="00066C63" w:rsidRDefault="00066C63">
            <w:pPr>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69C7656"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669C7657" w14:textId="77777777" w:rsidR="00066C63" w:rsidRDefault="009656F6">
            <w:pPr>
              <w:jc w:val="right"/>
              <w:textAlignment w:val="bottom"/>
            </w:pPr>
            <w:r>
              <w:rPr>
                <w:rFonts w:ascii="Arial" w:eastAsia="宋体" w:hAnsi="Arial" w:cs="Arial"/>
                <w:b/>
                <w:bCs/>
                <w:color w:val="000000"/>
                <w:sz w:val="17"/>
                <w:szCs w:val="17"/>
              </w:rPr>
              <w:t>32,194</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69C7658" w14:textId="77777777" w:rsidR="00066C63" w:rsidRDefault="00066C63">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69C7659"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69C765A" w14:textId="77777777" w:rsidR="00066C63" w:rsidRDefault="009656F6">
            <w:pPr>
              <w:jc w:val="right"/>
              <w:textAlignment w:val="bottom"/>
            </w:pPr>
            <w:r>
              <w:rPr>
                <w:rFonts w:ascii="Arial" w:eastAsia="宋体" w:hAnsi="Arial" w:cs="Arial"/>
                <w:b/>
                <w:bCs/>
                <w:color w:val="000000"/>
                <w:sz w:val="17"/>
                <w:szCs w:val="17"/>
              </w:rPr>
              <w:t>31,090</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69C765B" w14:textId="77777777" w:rsidR="00066C63" w:rsidRDefault="00066C63">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669C765C" w14:textId="77777777" w:rsidR="00066C63" w:rsidRDefault="009656F6">
            <w:pPr>
              <w:jc w:val="right"/>
              <w:textAlignment w:val="bottom"/>
            </w:pPr>
            <w:r>
              <w:rPr>
                <w:rFonts w:ascii="Arial" w:eastAsia="宋体" w:hAnsi="Arial" w:cs="Arial"/>
                <w:b/>
                <w:bCs/>
                <w:color w:val="000000"/>
                <w:sz w:val="17"/>
                <w:szCs w:val="17"/>
              </w:rPr>
              <w:t>4</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69C765D" w14:textId="77777777" w:rsidR="00066C63" w:rsidRDefault="009656F6">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669C765E" w14:textId="77777777" w:rsidR="00066C63" w:rsidRDefault="009656F6">
            <w:pPr>
              <w:jc w:val="right"/>
              <w:textAlignment w:val="bottom"/>
            </w:pPr>
            <w:r>
              <w:rPr>
                <w:rFonts w:ascii="Arial" w:eastAsia="宋体" w:hAnsi="Arial" w:cs="Arial"/>
                <w:b/>
                <w:bCs/>
                <w:color w:val="000000"/>
                <w:sz w:val="17"/>
                <w:szCs w:val="17"/>
              </w:rPr>
              <w:t>2</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69C765F" w14:textId="77777777" w:rsidR="00066C63" w:rsidRDefault="009656F6">
            <w:pPr>
              <w:jc w:val="right"/>
              <w:textAlignment w:val="bottom"/>
            </w:pPr>
            <w:r>
              <w:rPr>
                <w:rFonts w:ascii="Arial" w:eastAsia="宋体" w:hAnsi="Arial" w:cs="Arial"/>
                <w:b/>
                <w:bCs/>
                <w:color w:val="000000"/>
                <w:sz w:val="17"/>
                <w:szCs w:val="17"/>
              </w:rPr>
              <w:t>%</w:t>
            </w:r>
          </w:p>
        </w:tc>
      </w:tr>
    </w:tbl>
    <w:p w14:paraId="669C7661" w14:textId="77777777" w:rsidR="00066C63" w:rsidRDefault="009656F6">
      <w:pPr>
        <w:spacing w:before="60" w:after="60"/>
        <w:ind w:hanging="360"/>
      </w:pPr>
      <w:r>
        <w:rPr>
          <w:rFonts w:ascii="Arial" w:eastAsia="宋体" w:hAnsi="Arial" w:cs="Arial"/>
          <w:i/>
          <w:iCs/>
          <w:color w:val="000000"/>
          <w:sz w:val="14"/>
          <w:szCs w:val="14"/>
        </w:rPr>
        <w:t>(1)    The pe</w:t>
      </w:r>
      <w:r>
        <w:rPr>
          <w:rFonts w:ascii="Arial" w:eastAsia="宋体" w:hAnsi="Arial" w:cs="Arial"/>
          <w:i/>
          <w:iCs/>
          <w:color w:val="000000"/>
          <w:sz w:val="14"/>
          <w:szCs w:val="14"/>
        </w:rPr>
        <w:t>rcent change excluding currency changes represents a non-GAAP financial measure. See "Use of Non-GAAP Financial Measures" for further information.</w:t>
      </w:r>
    </w:p>
    <w:p w14:paraId="669C7662" w14:textId="77777777" w:rsidR="00066C63" w:rsidRDefault="009656F6">
      <w:pPr>
        <w:spacing w:before="60" w:after="60"/>
        <w:ind w:hanging="360"/>
      </w:pPr>
      <w:r>
        <w:rPr>
          <w:rFonts w:ascii="Arial" w:eastAsia="宋体" w:hAnsi="Arial" w:cs="Arial"/>
          <w:i/>
          <w:iCs/>
          <w:color w:val="000000"/>
          <w:sz w:val="14"/>
          <w:szCs w:val="14"/>
        </w:rPr>
        <w:t xml:space="preserve">(2)    Refer to Note 13 — Acquisitions and Divestitures within the accompanying Notes to the </w:t>
      </w:r>
      <w:r>
        <w:rPr>
          <w:rFonts w:ascii="Arial" w:eastAsia="宋体" w:hAnsi="Arial" w:cs="Arial"/>
          <w:i/>
          <w:iCs/>
          <w:color w:val="000000"/>
          <w:sz w:val="14"/>
          <w:szCs w:val="14"/>
        </w:rPr>
        <w:t>Unaudited Condensed Consolidated Financial Statements for additional information on the transition of our NIKE Brand business in Brazil to a third-party distributor.</w:t>
      </w:r>
    </w:p>
    <w:p w14:paraId="669C7663" w14:textId="77777777" w:rsidR="00066C63" w:rsidRDefault="009656F6">
      <w:pPr>
        <w:spacing w:before="60" w:after="60"/>
        <w:ind w:hanging="360"/>
      </w:pPr>
      <w:r>
        <w:rPr>
          <w:rFonts w:ascii="Arial" w:eastAsia="宋体" w:hAnsi="Arial" w:cs="Arial"/>
          <w:i/>
          <w:iCs/>
          <w:color w:val="000000"/>
          <w:sz w:val="14"/>
          <w:szCs w:val="14"/>
        </w:rPr>
        <w:t>(3)    Global Brand Divisions revenues include NIKE Brand licensing and other miscellaneou</w:t>
      </w:r>
      <w:r>
        <w:rPr>
          <w:rFonts w:ascii="Arial" w:eastAsia="宋体" w:hAnsi="Arial" w:cs="Arial"/>
          <w:i/>
          <w:iCs/>
          <w:color w:val="000000"/>
          <w:sz w:val="14"/>
          <w:szCs w:val="14"/>
        </w:rPr>
        <w:t>s revenues that are not part of a geographic operating segment.</w:t>
      </w:r>
    </w:p>
    <w:p w14:paraId="669C7664" w14:textId="77777777" w:rsidR="00066C63" w:rsidRDefault="009656F6">
      <w:pPr>
        <w:spacing w:before="60" w:after="60"/>
        <w:ind w:hanging="360"/>
      </w:pPr>
      <w:r>
        <w:rPr>
          <w:rFonts w:ascii="Arial" w:eastAsia="宋体" w:hAnsi="Arial" w:cs="Arial"/>
          <w:i/>
          <w:iCs/>
          <w:color w:val="000000"/>
          <w:sz w:val="14"/>
          <w:szCs w:val="14"/>
        </w:rPr>
        <w:t>(4)    Corporate revenues primarily consist of foreign currency hedge gains and losses related to revenues generated by entities within the NIKE Brand geographic operating segments and Convers</w:t>
      </w:r>
      <w:r>
        <w:rPr>
          <w:rFonts w:ascii="Arial" w:eastAsia="宋体" w:hAnsi="Arial" w:cs="Arial"/>
          <w:i/>
          <w:iCs/>
          <w:color w:val="000000"/>
          <w:sz w:val="14"/>
          <w:szCs w:val="14"/>
        </w:rPr>
        <w:t>e, but managed through our central foreign exchange risk management program.</w:t>
      </w:r>
    </w:p>
    <w:p w14:paraId="669C7665" w14:textId="77777777" w:rsidR="00066C63" w:rsidRDefault="009656F6">
      <w:pPr>
        <w:spacing w:before="120" w:after="120"/>
      </w:pPr>
      <w:r>
        <w:rPr>
          <w:rFonts w:ascii="Arial" w:eastAsia="宋体" w:hAnsi="Arial" w:cs="Arial"/>
          <w:color w:val="000000"/>
          <w:sz w:val="17"/>
          <w:szCs w:val="17"/>
        </w:rPr>
        <w:t>The primary financial measure used by the Company to evaluate performance of individual operating segments is EBIT, which represents Net income before Interest expense (income), n</w:t>
      </w:r>
      <w:r>
        <w:rPr>
          <w:rFonts w:ascii="Arial" w:eastAsia="宋体" w:hAnsi="Arial" w:cs="Arial"/>
          <w:color w:val="000000"/>
          <w:sz w:val="17"/>
          <w:szCs w:val="17"/>
        </w:rPr>
        <w:t>et and Income tax expense in the Unaudited Condensed Consolidated Statements of Income. As discussed in Note 12 — Operating Segments in the accompanying Notes to the Unaudited Condensed Consolidated Financial Statements, certain corporate costs are not inc</w:t>
      </w:r>
      <w:r>
        <w:rPr>
          <w:rFonts w:ascii="Arial" w:eastAsia="宋体" w:hAnsi="Arial" w:cs="Arial"/>
          <w:color w:val="000000"/>
          <w:sz w:val="17"/>
          <w:szCs w:val="17"/>
        </w:rPr>
        <w:t>luded in EBIT of our operating segments.</w:t>
      </w:r>
    </w:p>
    <w:p w14:paraId="669C7666" w14:textId="77777777" w:rsidR="00066C63" w:rsidRDefault="009656F6">
      <w:pPr>
        <w:spacing w:before="120" w:after="120"/>
      </w:pPr>
      <w:r>
        <w:rPr>
          <w:rFonts w:ascii="Arial" w:eastAsia="宋体" w:hAnsi="Arial" w:cs="Arial"/>
          <w:color w:val="E87722"/>
          <w:sz w:val="17"/>
          <w:szCs w:val="17"/>
        </w:rPr>
        <w:t>32</w:t>
      </w:r>
      <w:r>
        <w:rPr>
          <w:rFonts w:ascii="sans-serif" w:eastAsia="sans-serif" w:hAnsi="sans-serif" w:cs="sans-serif"/>
          <w:color w:val="000000"/>
          <w:sz w:val="17"/>
          <w:szCs w:val="17"/>
        </w:rPr>
        <w:t xml:space="preserve"> </w:t>
      </w:r>
    </w:p>
    <w:p w14:paraId="669C7667" w14:textId="77777777" w:rsidR="00066C63" w:rsidRDefault="009656F6">
      <w:r>
        <w:pict w14:anchorId="669C7E50">
          <v:rect id="_x0000_i1058" style="width:415.3pt;height:1.5pt" o:hralign="center" o:hrstd="t" o:hr="t" fillcolor="#a0a0a0" stroked="f"/>
        </w:pict>
      </w:r>
    </w:p>
    <w:p w14:paraId="669C7668" w14:textId="77777777" w:rsidR="00066C63" w:rsidRDefault="00066C63"/>
    <w:p w14:paraId="669C7669" w14:textId="77777777" w:rsidR="00066C63" w:rsidRDefault="009656F6">
      <w:hyperlink r:id="rId103" w:anchor="i1e99cb26debe49fe8b698d0f0eb1273a_7" w:history="1">
        <w:r>
          <w:rPr>
            <w:rStyle w:val="a5"/>
            <w:rFonts w:ascii="sans-serif" w:eastAsia="sans-serif" w:hAnsi="sans-serif" w:cs="sans-serif"/>
            <w:sz w:val="17"/>
            <w:szCs w:val="17"/>
          </w:rPr>
          <w:t>Table of Contents</w:t>
        </w:r>
      </w:hyperlink>
    </w:p>
    <w:p w14:paraId="669C766A" w14:textId="77777777" w:rsidR="00066C63" w:rsidRDefault="00066C63"/>
    <w:p w14:paraId="669C766B" w14:textId="77777777" w:rsidR="00066C63" w:rsidRDefault="009656F6">
      <w:pPr>
        <w:spacing w:before="120"/>
      </w:pPr>
      <w:r>
        <w:rPr>
          <w:rFonts w:ascii="Arial" w:eastAsia="宋体" w:hAnsi="Arial" w:cs="Arial"/>
          <w:color w:val="000000"/>
          <w:sz w:val="17"/>
          <w:szCs w:val="17"/>
        </w:rPr>
        <w:t xml:space="preserve">The breakdown of earnings </w:t>
      </w:r>
      <w:r>
        <w:rPr>
          <w:rFonts w:ascii="Arial" w:eastAsia="宋体" w:hAnsi="Arial" w:cs="Arial"/>
          <w:color w:val="000000"/>
          <w:sz w:val="17"/>
          <w:szCs w:val="17"/>
        </w:rPr>
        <w:t>before interest and taxes is as follows:</w:t>
      </w:r>
    </w:p>
    <w:tbl>
      <w:tblPr>
        <w:tblW w:w="5000" w:type="pct"/>
        <w:tblCellMar>
          <w:top w:w="15" w:type="dxa"/>
          <w:left w:w="15" w:type="dxa"/>
          <w:bottom w:w="15" w:type="dxa"/>
          <w:right w:w="15" w:type="dxa"/>
        </w:tblCellMar>
        <w:tblLook w:val="04A0" w:firstRow="1" w:lastRow="0" w:firstColumn="1" w:lastColumn="0" w:noHBand="0" w:noVBand="1"/>
      </w:tblPr>
      <w:tblGrid>
        <w:gridCol w:w="41"/>
        <w:gridCol w:w="2626"/>
        <w:gridCol w:w="40"/>
        <w:gridCol w:w="116"/>
        <w:gridCol w:w="761"/>
        <w:gridCol w:w="37"/>
        <w:gridCol w:w="116"/>
        <w:gridCol w:w="761"/>
        <w:gridCol w:w="36"/>
        <w:gridCol w:w="59"/>
        <w:gridCol w:w="726"/>
        <w:gridCol w:w="172"/>
        <w:gridCol w:w="36"/>
        <w:gridCol w:w="36"/>
        <w:gridCol w:w="36"/>
        <w:gridCol w:w="116"/>
        <w:gridCol w:w="713"/>
        <w:gridCol w:w="36"/>
        <w:gridCol w:w="116"/>
        <w:gridCol w:w="761"/>
        <w:gridCol w:w="36"/>
        <w:gridCol w:w="59"/>
        <w:gridCol w:w="728"/>
        <w:gridCol w:w="172"/>
      </w:tblGrid>
      <w:tr w:rsidR="00066C63" w14:paraId="669C7684" w14:textId="77777777">
        <w:tc>
          <w:tcPr>
            <w:tcW w:w="50" w:type="pct"/>
            <w:shd w:val="clear" w:color="auto" w:fill="auto"/>
          </w:tcPr>
          <w:p w14:paraId="669C766C" w14:textId="77777777" w:rsidR="00066C63" w:rsidRDefault="00066C63">
            <w:pPr>
              <w:rPr>
                <w:rFonts w:ascii="宋体"/>
              </w:rPr>
            </w:pPr>
          </w:p>
        </w:tc>
        <w:tc>
          <w:tcPr>
            <w:tcW w:w="1619" w:type="pct"/>
            <w:shd w:val="clear" w:color="auto" w:fill="auto"/>
          </w:tcPr>
          <w:p w14:paraId="669C766D" w14:textId="77777777" w:rsidR="00066C63" w:rsidRDefault="00066C63">
            <w:pPr>
              <w:rPr>
                <w:rFonts w:ascii="宋体"/>
              </w:rPr>
            </w:pPr>
          </w:p>
        </w:tc>
        <w:tc>
          <w:tcPr>
            <w:tcW w:w="5" w:type="pct"/>
            <w:shd w:val="clear" w:color="auto" w:fill="auto"/>
          </w:tcPr>
          <w:p w14:paraId="669C766E" w14:textId="77777777" w:rsidR="00066C63" w:rsidRDefault="00066C63">
            <w:pPr>
              <w:rPr>
                <w:rFonts w:ascii="宋体"/>
              </w:rPr>
            </w:pPr>
          </w:p>
        </w:tc>
        <w:tc>
          <w:tcPr>
            <w:tcW w:w="50" w:type="pct"/>
            <w:shd w:val="clear" w:color="auto" w:fill="auto"/>
          </w:tcPr>
          <w:p w14:paraId="669C766F" w14:textId="77777777" w:rsidR="00066C63" w:rsidRDefault="00066C63">
            <w:pPr>
              <w:rPr>
                <w:rFonts w:ascii="宋体"/>
              </w:rPr>
            </w:pPr>
          </w:p>
        </w:tc>
        <w:tc>
          <w:tcPr>
            <w:tcW w:w="492" w:type="pct"/>
            <w:shd w:val="clear" w:color="auto" w:fill="auto"/>
          </w:tcPr>
          <w:p w14:paraId="669C7670" w14:textId="77777777" w:rsidR="00066C63" w:rsidRDefault="00066C63">
            <w:pPr>
              <w:rPr>
                <w:rFonts w:ascii="宋体"/>
              </w:rPr>
            </w:pPr>
          </w:p>
        </w:tc>
        <w:tc>
          <w:tcPr>
            <w:tcW w:w="5" w:type="pct"/>
            <w:shd w:val="clear" w:color="auto" w:fill="auto"/>
          </w:tcPr>
          <w:p w14:paraId="669C7671" w14:textId="77777777" w:rsidR="00066C63" w:rsidRDefault="00066C63">
            <w:pPr>
              <w:rPr>
                <w:rFonts w:ascii="宋体"/>
              </w:rPr>
            </w:pPr>
          </w:p>
        </w:tc>
        <w:tc>
          <w:tcPr>
            <w:tcW w:w="50" w:type="pct"/>
            <w:shd w:val="clear" w:color="auto" w:fill="auto"/>
          </w:tcPr>
          <w:p w14:paraId="669C7672" w14:textId="77777777" w:rsidR="00066C63" w:rsidRDefault="00066C63">
            <w:pPr>
              <w:rPr>
                <w:rFonts w:ascii="宋体"/>
              </w:rPr>
            </w:pPr>
          </w:p>
        </w:tc>
        <w:tc>
          <w:tcPr>
            <w:tcW w:w="492" w:type="pct"/>
            <w:shd w:val="clear" w:color="auto" w:fill="auto"/>
          </w:tcPr>
          <w:p w14:paraId="669C7673" w14:textId="77777777" w:rsidR="00066C63" w:rsidRDefault="00066C63">
            <w:pPr>
              <w:rPr>
                <w:rFonts w:ascii="宋体"/>
              </w:rPr>
            </w:pPr>
          </w:p>
        </w:tc>
        <w:tc>
          <w:tcPr>
            <w:tcW w:w="5" w:type="pct"/>
            <w:shd w:val="clear" w:color="auto" w:fill="auto"/>
          </w:tcPr>
          <w:p w14:paraId="669C7674" w14:textId="77777777" w:rsidR="00066C63" w:rsidRDefault="00066C63">
            <w:pPr>
              <w:rPr>
                <w:rFonts w:ascii="宋体"/>
              </w:rPr>
            </w:pPr>
          </w:p>
        </w:tc>
        <w:tc>
          <w:tcPr>
            <w:tcW w:w="50" w:type="pct"/>
            <w:shd w:val="clear" w:color="auto" w:fill="auto"/>
          </w:tcPr>
          <w:p w14:paraId="669C7675" w14:textId="77777777" w:rsidR="00066C63" w:rsidRDefault="00066C63">
            <w:pPr>
              <w:rPr>
                <w:rFonts w:ascii="宋体"/>
              </w:rPr>
            </w:pPr>
          </w:p>
        </w:tc>
        <w:tc>
          <w:tcPr>
            <w:tcW w:w="492" w:type="pct"/>
            <w:shd w:val="clear" w:color="auto" w:fill="auto"/>
          </w:tcPr>
          <w:p w14:paraId="669C7676" w14:textId="77777777" w:rsidR="00066C63" w:rsidRDefault="00066C63">
            <w:pPr>
              <w:rPr>
                <w:rFonts w:ascii="宋体"/>
              </w:rPr>
            </w:pPr>
          </w:p>
        </w:tc>
        <w:tc>
          <w:tcPr>
            <w:tcW w:w="5" w:type="pct"/>
            <w:shd w:val="clear" w:color="auto" w:fill="auto"/>
          </w:tcPr>
          <w:p w14:paraId="669C7677" w14:textId="77777777" w:rsidR="00066C63" w:rsidRDefault="00066C63">
            <w:pPr>
              <w:rPr>
                <w:rFonts w:ascii="宋体"/>
              </w:rPr>
            </w:pPr>
          </w:p>
        </w:tc>
        <w:tc>
          <w:tcPr>
            <w:tcW w:w="5" w:type="pct"/>
            <w:shd w:val="clear" w:color="auto" w:fill="auto"/>
          </w:tcPr>
          <w:p w14:paraId="669C7678" w14:textId="77777777" w:rsidR="00066C63" w:rsidRDefault="00066C63">
            <w:pPr>
              <w:rPr>
                <w:rFonts w:ascii="宋体"/>
              </w:rPr>
            </w:pPr>
          </w:p>
        </w:tc>
        <w:tc>
          <w:tcPr>
            <w:tcW w:w="28" w:type="pct"/>
            <w:shd w:val="clear" w:color="auto" w:fill="auto"/>
          </w:tcPr>
          <w:p w14:paraId="669C7679" w14:textId="77777777" w:rsidR="00066C63" w:rsidRDefault="00066C63">
            <w:pPr>
              <w:rPr>
                <w:rFonts w:ascii="宋体"/>
              </w:rPr>
            </w:pPr>
          </w:p>
        </w:tc>
        <w:tc>
          <w:tcPr>
            <w:tcW w:w="5" w:type="pct"/>
            <w:shd w:val="clear" w:color="auto" w:fill="auto"/>
          </w:tcPr>
          <w:p w14:paraId="669C767A" w14:textId="77777777" w:rsidR="00066C63" w:rsidRDefault="00066C63">
            <w:pPr>
              <w:rPr>
                <w:rFonts w:ascii="宋体"/>
              </w:rPr>
            </w:pPr>
          </w:p>
        </w:tc>
        <w:tc>
          <w:tcPr>
            <w:tcW w:w="50" w:type="pct"/>
            <w:shd w:val="clear" w:color="auto" w:fill="auto"/>
          </w:tcPr>
          <w:p w14:paraId="669C767B" w14:textId="77777777" w:rsidR="00066C63" w:rsidRDefault="00066C63">
            <w:pPr>
              <w:rPr>
                <w:rFonts w:ascii="宋体"/>
              </w:rPr>
            </w:pPr>
          </w:p>
        </w:tc>
        <w:tc>
          <w:tcPr>
            <w:tcW w:w="492" w:type="pct"/>
            <w:shd w:val="clear" w:color="auto" w:fill="auto"/>
          </w:tcPr>
          <w:p w14:paraId="669C767C" w14:textId="77777777" w:rsidR="00066C63" w:rsidRDefault="00066C63">
            <w:pPr>
              <w:rPr>
                <w:rFonts w:ascii="宋体"/>
              </w:rPr>
            </w:pPr>
          </w:p>
        </w:tc>
        <w:tc>
          <w:tcPr>
            <w:tcW w:w="5" w:type="pct"/>
            <w:shd w:val="clear" w:color="auto" w:fill="auto"/>
          </w:tcPr>
          <w:p w14:paraId="669C767D" w14:textId="77777777" w:rsidR="00066C63" w:rsidRDefault="00066C63">
            <w:pPr>
              <w:rPr>
                <w:rFonts w:ascii="宋体"/>
              </w:rPr>
            </w:pPr>
          </w:p>
        </w:tc>
        <w:tc>
          <w:tcPr>
            <w:tcW w:w="50" w:type="pct"/>
            <w:shd w:val="clear" w:color="auto" w:fill="auto"/>
          </w:tcPr>
          <w:p w14:paraId="669C767E" w14:textId="77777777" w:rsidR="00066C63" w:rsidRDefault="00066C63">
            <w:pPr>
              <w:rPr>
                <w:rFonts w:ascii="宋体"/>
              </w:rPr>
            </w:pPr>
          </w:p>
        </w:tc>
        <w:tc>
          <w:tcPr>
            <w:tcW w:w="492" w:type="pct"/>
            <w:shd w:val="clear" w:color="auto" w:fill="auto"/>
          </w:tcPr>
          <w:p w14:paraId="669C767F" w14:textId="77777777" w:rsidR="00066C63" w:rsidRDefault="00066C63">
            <w:pPr>
              <w:rPr>
                <w:rFonts w:ascii="宋体"/>
              </w:rPr>
            </w:pPr>
          </w:p>
        </w:tc>
        <w:tc>
          <w:tcPr>
            <w:tcW w:w="5" w:type="pct"/>
            <w:shd w:val="clear" w:color="auto" w:fill="auto"/>
          </w:tcPr>
          <w:p w14:paraId="669C7680" w14:textId="77777777" w:rsidR="00066C63" w:rsidRDefault="00066C63">
            <w:pPr>
              <w:rPr>
                <w:rFonts w:ascii="宋体"/>
              </w:rPr>
            </w:pPr>
          </w:p>
        </w:tc>
        <w:tc>
          <w:tcPr>
            <w:tcW w:w="50" w:type="pct"/>
            <w:shd w:val="clear" w:color="auto" w:fill="auto"/>
          </w:tcPr>
          <w:p w14:paraId="669C7681" w14:textId="77777777" w:rsidR="00066C63" w:rsidRDefault="00066C63">
            <w:pPr>
              <w:rPr>
                <w:rFonts w:ascii="宋体"/>
              </w:rPr>
            </w:pPr>
          </w:p>
        </w:tc>
        <w:tc>
          <w:tcPr>
            <w:tcW w:w="493" w:type="pct"/>
            <w:shd w:val="clear" w:color="auto" w:fill="auto"/>
          </w:tcPr>
          <w:p w14:paraId="669C7682" w14:textId="77777777" w:rsidR="00066C63" w:rsidRDefault="00066C63">
            <w:pPr>
              <w:rPr>
                <w:rFonts w:ascii="宋体"/>
              </w:rPr>
            </w:pPr>
          </w:p>
        </w:tc>
        <w:tc>
          <w:tcPr>
            <w:tcW w:w="5" w:type="pct"/>
            <w:shd w:val="clear" w:color="auto" w:fill="auto"/>
          </w:tcPr>
          <w:p w14:paraId="669C7683" w14:textId="77777777" w:rsidR="00066C63" w:rsidRDefault="00066C63">
            <w:pPr>
              <w:rPr>
                <w:rFonts w:ascii="宋体"/>
              </w:rPr>
            </w:pPr>
          </w:p>
        </w:tc>
      </w:tr>
      <w:tr w:rsidR="00066C63" w14:paraId="669C7689" w14:textId="77777777">
        <w:tc>
          <w:tcPr>
            <w:tcW w:w="0" w:type="auto"/>
            <w:gridSpan w:val="3"/>
            <w:shd w:val="clear" w:color="auto" w:fill="auto"/>
            <w:tcMar>
              <w:top w:w="0" w:type="dxa"/>
              <w:left w:w="20" w:type="dxa"/>
              <w:bottom w:w="0" w:type="dxa"/>
              <w:right w:w="20" w:type="dxa"/>
            </w:tcMar>
          </w:tcPr>
          <w:p w14:paraId="669C7685" w14:textId="77777777" w:rsidR="00066C63" w:rsidRDefault="00066C63">
            <w:pPr>
              <w:rPr>
                <w:rFonts w:ascii="宋体"/>
              </w:rPr>
            </w:pPr>
          </w:p>
        </w:tc>
        <w:tc>
          <w:tcPr>
            <w:tcW w:w="0" w:type="auto"/>
            <w:gridSpan w:val="9"/>
            <w:shd w:val="clear" w:color="auto" w:fill="auto"/>
            <w:tcMar>
              <w:top w:w="40" w:type="dxa"/>
              <w:left w:w="20" w:type="dxa"/>
              <w:bottom w:w="40" w:type="dxa"/>
              <w:right w:w="20" w:type="dxa"/>
            </w:tcMar>
            <w:vAlign w:val="bottom"/>
          </w:tcPr>
          <w:p w14:paraId="669C7686" w14:textId="77777777" w:rsidR="00066C63" w:rsidRDefault="009656F6">
            <w:pPr>
              <w:jc w:val="center"/>
              <w:textAlignment w:val="bottom"/>
            </w:pPr>
            <w:r>
              <w:rPr>
                <w:rFonts w:ascii="sans-serif" w:eastAsia="sans-serif" w:hAnsi="sans-serif" w:cs="sans-serif"/>
                <w:b/>
                <w:bCs/>
                <w:color w:val="000000"/>
                <w:sz w:val="17"/>
                <w:szCs w:val="17"/>
              </w:rPr>
              <w:t xml:space="preserve">THREE MONTHS ENDED </w:t>
            </w:r>
          </w:p>
        </w:tc>
        <w:tc>
          <w:tcPr>
            <w:tcW w:w="0" w:type="auto"/>
            <w:gridSpan w:val="3"/>
            <w:shd w:val="clear" w:color="auto" w:fill="auto"/>
            <w:tcMar>
              <w:top w:w="0" w:type="dxa"/>
              <w:left w:w="20" w:type="dxa"/>
              <w:bottom w:w="0" w:type="dxa"/>
              <w:right w:w="20" w:type="dxa"/>
            </w:tcMar>
          </w:tcPr>
          <w:p w14:paraId="669C7687" w14:textId="77777777" w:rsidR="00066C63" w:rsidRDefault="00066C63">
            <w:pPr>
              <w:rPr>
                <w:rFonts w:ascii="宋体"/>
              </w:rPr>
            </w:pPr>
          </w:p>
        </w:tc>
        <w:tc>
          <w:tcPr>
            <w:tcW w:w="0" w:type="auto"/>
            <w:gridSpan w:val="9"/>
            <w:shd w:val="clear" w:color="auto" w:fill="auto"/>
            <w:tcMar>
              <w:top w:w="40" w:type="dxa"/>
              <w:left w:w="20" w:type="dxa"/>
              <w:bottom w:w="40" w:type="dxa"/>
              <w:right w:w="20" w:type="dxa"/>
            </w:tcMar>
            <w:vAlign w:val="bottom"/>
          </w:tcPr>
          <w:p w14:paraId="669C7688" w14:textId="77777777" w:rsidR="00066C63" w:rsidRDefault="009656F6">
            <w:pPr>
              <w:jc w:val="center"/>
              <w:textAlignment w:val="bottom"/>
            </w:pPr>
            <w:r>
              <w:rPr>
                <w:rFonts w:ascii="sans-serif" w:eastAsia="sans-serif" w:hAnsi="sans-serif" w:cs="sans-serif"/>
                <w:b/>
                <w:bCs/>
                <w:color w:val="000000"/>
                <w:sz w:val="17"/>
                <w:szCs w:val="17"/>
              </w:rPr>
              <w:t xml:space="preserve">NINE MONTHS ENDED </w:t>
            </w:r>
          </w:p>
        </w:tc>
      </w:tr>
      <w:tr w:rsidR="00066C63" w14:paraId="669C7692" w14:textId="77777777">
        <w:tc>
          <w:tcPr>
            <w:tcW w:w="0" w:type="auto"/>
            <w:gridSpan w:val="3"/>
            <w:shd w:val="clear" w:color="auto" w:fill="auto"/>
            <w:tcMar>
              <w:top w:w="40" w:type="dxa"/>
              <w:left w:w="20" w:type="dxa"/>
              <w:bottom w:w="40" w:type="dxa"/>
              <w:right w:w="20" w:type="dxa"/>
            </w:tcMar>
            <w:vAlign w:val="bottom"/>
          </w:tcPr>
          <w:p w14:paraId="669C768A" w14:textId="77777777" w:rsidR="00066C63" w:rsidRDefault="009656F6">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68B" w14:textId="77777777" w:rsidR="00066C63" w:rsidRDefault="009656F6">
            <w:pPr>
              <w:jc w:val="center"/>
              <w:textAlignment w:val="bottom"/>
            </w:pPr>
            <w:r>
              <w:rPr>
                <w:rFonts w:ascii="sans-serif" w:eastAsia="sans-serif" w:hAnsi="sans-serif" w:cs="sans-serif"/>
                <w:b/>
                <w:bCs/>
                <w:color w:val="000000"/>
                <w:sz w:val="17"/>
                <w:szCs w:val="17"/>
              </w:rPr>
              <w:t>FEBRUARY 28, 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68C" w14:textId="77777777" w:rsidR="00066C63" w:rsidRDefault="009656F6">
            <w:pPr>
              <w:jc w:val="center"/>
              <w:textAlignment w:val="bottom"/>
            </w:pPr>
            <w:r>
              <w:rPr>
                <w:rFonts w:ascii="sans-serif" w:eastAsia="sans-serif" w:hAnsi="sans-serif" w:cs="sans-serif"/>
                <w:b/>
                <w:bCs/>
                <w:color w:val="000000"/>
                <w:sz w:val="17"/>
                <w:szCs w:val="17"/>
              </w:rPr>
              <w:t>FEBRUARY 29, 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68D" w14:textId="77777777" w:rsidR="00066C63" w:rsidRDefault="009656F6">
            <w:pPr>
              <w:jc w:val="right"/>
              <w:textAlignment w:val="bottom"/>
            </w:pPr>
            <w:r>
              <w:rPr>
                <w:rFonts w:ascii="sans-serif" w:eastAsia="sans-serif" w:hAnsi="sans-serif" w:cs="sans-serif"/>
                <w:b/>
                <w:bCs/>
                <w:color w:val="000000"/>
                <w:sz w:val="17"/>
                <w:szCs w:val="17"/>
              </w:rPr>
              <w:t>% CHANGE</w:t>
            </w:r>
          </w:p>
        </w:tc>
        <w:tc>
          <w:tcPr>
            <w:tcW w:w="0" w:type="auto"/>
            <w:gridSpan w:val="3"/>
            <w:shd w:val="clear" w:color="auto" w:fill="auto"/>
            <w:tcMar>
              <w:top w:w="0" w:type="dxa"/>
              <w:left w:w="20" w:type="dxa"/>
              <w:bottom w:w="0" w:type="dxa"/>
              <w:right w:w="20" w:type="dxa"/>
            </w:tcMar>
          </w:tcPr>
          <w:p w14:paraId="669C768E" w14:textId="77777777" w:rsidR="00066C63" w:rsidRDefault="00066C63">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68F" w14:textId="77777777" w:rsidR="00066C63" w:rsidRDefault="009656F6">
            <w:pPr>
              <w:jc w:val="center"/>
              <w:textAlignment w:val="bottom"/>
            </w:pPr>
            <w:r>
              <w:rPr>
                <w:rFonts w:ascii="sans-serif" w:eastAsia="sans-serif" w:hAnsi="sans-serif" w:cs="sans-serif"/>
                <w:b/>
                <w:bCs/>
                <w:color w:val="000000"/>
                <w:sz w:val="17"/>
                <w:szCs w:val="17"/>
              </w:rPr>
              <w:t>FEBRUARY 28, 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690" w14:textId="77777777" w:rsidR="00066C63" w:rsidRDefault="009656F6">
            <w:pPr>
              <w:jc w:val="center"/>
              <w:textAlignment w:val="bottom"/>
            </w:pPr>
            <w:r>
              <w:rPr>
                <w:rFonts w:ascii="sans-serif" w:eastAsia="sans-serif" w:hAnsi="sans-serif" w:cs="sans-serif"/>
                <w:b/>
                <w:bCs/>
                <w:color w:val="000000"/>
                <w:sz w:val="17"/>
                <w:szCs w:val="17"/>
              </w:rPr>
              <w:t>FEBRUARY 29, 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691" w14:textId="77777777" w:rsidR="00066C63" w:rsidRDefault="009656F6">
            <w:pPr>
              <w:jc w:val="right"/>
              <w:textAlignment w:val="bottom"/>
            </w:pPr>
            <w:r>
              <w:rPr>
                <w:rFonts w:ascii="sans-serif" w:eastAsia="sans-serif" w:hAnsi="sans-serif" w:cs="sans-serif"/>
                <w:b/>
                <w:bCs/>
                <w:color w:val="000000"/>
                <w:sz w:val="17"/>
                <w:szCs w:val="17"/>
              </w:rPr>
              <w:t>% CHANGE</w:t>
            </w:r>
          </w:p>
        </w:tc>
      </w:tr>
      <w:tr w:rsidR="00066C63" w14:paraId="669C76A5"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693" w14:textId="77777777" w:rsidR="00066C63" w:rsidRDefault="009656F6">
            <w:pPr>
              <w:textAlignment w:val="bottom"/>
            </w:pPr>
            <w:r>
              <w:rPr>
                <w:rFonts w:ascii="Arial" w:eastAsia="宋体" w:hAnsi="Arial" w:cs="Arial"/>
                <w:color w:val="000000"/>
                <w:sz w:val="17"/>
                <w:szCs w:val="17"/>
              </w:rPr>
              <w:t>North America</w:t>
            </w:r>
          </w:p>
        </w:tc>
        <w:tc>
          <w:tcPr>
            <w:tcW w:w="0" w:type="auto"/>
            <w:tcBorders>
              <w:top w:val="single" w:sz="8" w:space="0" w:color="E87722"/>
            </w:tcBorders>
            <w:shd w:val="clear" w:color="auto" w:fill="FFF1E7"/>
            <w:tcMar>
              <w:top w:w="40" w:type="dxa"/>
              <w:left w:w="20" w:type="dxa"/>
              <w:bottom w:w="40" w:type="dxa"/>
              <w:right w:w="0" w:type="dxa"/>
            </w:tcMar>
            <w:vAlign w:val="bottom"/>
          </w:tcPr>
          <w:p w14:paraId="669C7694"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669C7695" w14:textId="77777777" w:rsidR="00066C63" w:rsidRDefault="009656F6">
            <w:pPr>
              <w:jc w:val="right"/>
              <w:textAlignment w:val="bottom"/>
            </w:pPr>
            <w:r>
              <w:rPr>
                <w:rFonts w:ascii="Arial" w:eastAsia="宋体" w:hAnsi="Arial" w:cs="Arial"/>
                <w:color w:val="000000"/>
                <w:sz w:val="17"/>
                <w:szCs w:val="17"/>
              </w:rPr>
              <w:t>970 </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7696" w14:textId="77777777" w:rsidR="00066C63" w:rsidRDefault="00066C63">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69C7697"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69C7698" w14:textId="77777777" w:rsidR="00066C63" w:rsidRDefault="009656F6">
            <w:pPr>
              <w:jc w:val="right"/>
              <w:textAlignment w:val="bottom"/>
            </w:pPr>
            <w:r>
              <w:rPr>
                <w:rFonts w:ascii="Arial" w:eastAsia="宋体" w:hAnsi="Arial" w:cs="Arial"/>
                <w:color w:val="000000"/>
                <w:sz w:val="17"/>
                <w:szCs w:val="17"/>
              </w:rPr>
              <w:t>937 </w:t>
            </w:r>
          </w:p>
        </w:tc>
        <w:tc>
          <w:tcPr>
            <w:tcW w:w="0" w:type="auto"/>
            <w:tcBorders>
              <w:top w:val="single" w:sz="8" w:space="0" w:color="E87722"/>
            </w:tcBorders>
            <w:shd w:val="clear" w:color="auto" w:fill="auto"/>
            <w:tcMar>
              <w:top w:w="40" w:type="dxa"/>
              <w:left w:w="0" w:type="dxa"/>
              <w:bottom w:w="40" w:type="dxa"/>
              <w:right w:w="20" w:type="dxa"/>
            </w:tcMar>
            <w:vAlign w:val="bottom"/>
          </w:tcPr>
          <w:p w14:paraId="669C7699" w14:textId="77777777" w:rsidR="00066C63" w:rsidRDefault="00066C63">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769A" w14:textId="77777777" w:rsidR="00066C63" w:rsidRDefault="009656F6">
            <w:pPr>
              <w:jc w:val="right"/>
              <w:textAlignment w:val="bottom"/>
            </w:pPr>
            <w:r>
              <w:rPr>
                <w:rFonts w:ascii="Arial" w:eastAsia="宋体" w:hAnsi="Arial" w:cs="Arial"/>
                <w:color w:val="000000"/>
                <w:sz w:val="17"/>
                <w:szCs w:val="17"/>
              </w:rPr>
              <w:t>4 </w:t>
            </w:r>
          </w:p>
        </w:tc>
        <w:tc>
          <w:tcPr>
            <w:tcW w:w="0" w:type="auto"/>
            <w:tcBorders>
              <w:top w:val="single" w:sz="8" w:space="0" w:color="E87722"/>
            </w:tcBorders>
            <w:shd w:val="clear" w:color="auto" w:fill="auto"/>
            <w:tcMar>
              <w:top w:w="40" w:type="dxa"/>
              <w:left w:w="0" w:type="dxa"/>
              <w:bottom w:w="40" w:type="dxa"/>
              <w:right w:w="20" w:type="dxa"/>
            </w:tcMar>
            <w:vAlign w:val="bottom"/>
          </w:tcPr>
          <w:p w14:paraId="669C769B" w14:textId="77777777" w:rsidR="00066C63" w:rsidRDefault="009656F6">
            <w:pPr>
              <w:jc w:val="right"/>
              <w:textAlignment w:val="bottom"/>
            </w:pPr>
            <w:r>
              <w:rPr>
                <w:rFonts w:ascii="Arial" w:eastAsia="宋体" w:hAnsi="Arial" w:cs="Arial"/>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tcPr>
          <w:p w14:paraId="669C769C" w14:textId="77777777" w:rsidR="00066C63" w:rsidRDefault="00066C63">
            <w:pPr>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669C769D"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669C769E" w14:textId="77777777" w:rsidR="00066C63" w:rsidRDefault="009656F6">
            <w:pPr>
              <w:jc w:val="right"/>
              <w:textAlignment w:val="bottom"/>
            </w:pPr>
            <w:r>
              <w:rPr>
                <w:rFonts w:ascii="Arial" w:eastAsia="宋体" w:hAnsi="Arial" w:cs="Arial"/>
                <w:color w:val="000000"/>
                <w:sz w:val="17"/>
                <w:szCs w:val="17"/>
              </w:rPr>
              <w:t>3,295 </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769F" w14:textId="77777777" w:rsidR="00066C63" w:rsidRDefault="00066C63">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69C76A0"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69C76A1" w14:textId="77777777" w:rsidR="00066C63" w:rsidRDefault="009656F6">
            <w:pPr>
              <w:jc w:val="right"/>
              <w:textAlignment w:val="bottom"/>
            </w:pPr>
            <w:r>
              <w:rPr>
                <w:rFonts w:ascii="Arial" w:eastAsia="宋体" w:hAnsi="Arial" w:cs="Arial"/>
                <w:color w:val="000000"/>
                <w:sz w:val="17"/>
                <w:szCs w:val="17"/>
              </w:rPr>
              <w:t>2,912 </w:t>
            </w:r>
          </w:p>
        </w:tc>
        <w:tc>
          <w:tcPr>
            <w:tcW w:w="0" w:type="auto"/>
            <w:tcBorders>
              <w:top w:val="single" w:sz="8" w:space="0" w:color="E87722"/>
            </w:tcBorders>
            <w:shd w:val="clear" w:color="auto" w:fill="auto"/>
            <w:tcMar>
              <w:top w:w="40" w:type="dxa"/>
              <w:left w:w="0" w:type="dxa"/>
              <w:bottom w:w="40" w:type="dxa"/>
              <w:right w:w="20" w:type="dxa"/>
            </w:tcMar>
            <w:vAlign w:val="bottom"/>
          </w:tcPr>
          <w:p w14:paraId="669C76A2" w14:textId="77777777" w:rsidR="00066C63" w:rsidRDefault="00066C63">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76A3" w14:textId="77777777" w:rsidR="00066C63" w:rsidRDefault="009656F6">
            <w:pPr>
              <w:jc w:val="right"/>
              <w:textAlignment w:val="bottom"/>
            </w:pPr>
            <w:r>
              <w:rPr>
                <w:rFonts w:ascii="Arial" w:eastAsia="宋体" w:hAnsi="Arial" w:cs="Arial"/>
                <w:color w:val="000000"/>
                <w:sz w:val="17"/>
                <w:szCs w:val="17"/>
              </w:rPr>
              <w:t>13 </w:t>
            </w:r>
          </w:p>
        </w:tc>
        <w:tc>
          <w:tcPr>
            <w:tcW w:w="0" w:type="auto"/>
            <w:tcBorders>
              <w:top w:val="single" w:sz="8" w:space="0" w:color="E87722"/>
            </w:tcBorders>
            <w:shd w:val="clear" w:color="auto" w:fill="auto"/>
            <w:tcMar>
              <w:top w:w="40" w:type="dxa"/>
              <w:left w:w="0" w:type="dxa"/>
              <w:bottom w:w="40" w:type="dxa"/>
              <w:right w:w="20" w:type="dxa"/>
            </w:tcMar>
            <w:vAlign w:val="bottom"/>
          </w:tcPr>
          <w:p w14:paraId="669C76A4" w14:textId="77777777" w:rsidR="00066C63" w:rsidRDefault="009656F6">
            <w:pPr>
              <w:jc w:val="right"/>
              <w:textAlignment w:val="bottom"/>
            </w:pPr>
            <w:r>
              <w:rPr>
                <w:rFonts w:ascii="Arial" w:eastAsia="宋体" w:hAnsi="Arial" w:cs="Arial"/>
                <w:color w:val="000000"/>
                <w:sz w:val="17"/>
                <w:szCs w:val="17"/>
              </w:rPr>
              <w:t>%</w:t>
            </w:r>
          </w:p>
        </w:tc>
      </w:tr>
      <w:tr w:rsidR="00066C63" w14:paraId="669C76B4"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76A6" w14:textId="77777777" w:rsidR="00066C63" w:rsidRDefault="009656F6">
            <w:pPr>
              <w:textAlignment w:val="bottom"/>
            </w:pPr>
            <w:r>
              <w:rPr>
                <w:rFonts w:ascii="Arial" w:eastAsia="宋体" w:hAnsi="Arial" w:cs="Arial"/>
                <w:color w:val="000000"/>
                <w:sz w:val="17"/>
                <w:szCs w:val="17"/>
              </w:rPr>
              <w:t>Europe, Middle East &amp; Africa</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76A7" w14:textId="77777777" w:rsidR="00066C63" w:rsidRDefault="009656F6">
            <w:pPr>
              <w:jc w:val="right"/>
              <w:textAlignment w:val="bottom"/>
            </w:pPr>
            <w:r>
              <w:rPr>
                <w:rFonts w:ascii="Arial" w:eastAsia="宋体" w:hAnsi="Arial" w:cs="Arial"/>
                <w:color w:val="000000"/>
                <w:sz w:val="17"/>
                <w:szCs w:val="17"/>
              </w:rPr>
              <w:t>533 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76A8"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6A9" w14:textId="77777777" w:rsidR="00066C63" w:rsidRDefault="009656F6">
            <w:pPr>
              <w:jc w:val="right"/>
              <w:textAlignment w:val="bottom"/>
            </w:pPr>
            <w:r>
              <w:rPr>
                <w:rFonts w:ascii="Arial" w:eastAsia="宋体" w:hAnsi="Arial" w:cs="Arial"/>
                <w:color w:val="000000"/>
                <w:sz w:val="17"/>
                <w:szCs w:val="17"/>
              </w:rPr>
              <w:t>575 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6AA"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6AB" w14:textId="77777777" w:rsidR="00066C63" w:rsidRDefault="009656F6">
            <w:pPr>
              <w:jc w:val="right"/>
              <w:textAlignment w:val="bottom"/>
            </w:pPr>
            <w:r>
              <w:rPr>
                <w:rFonts w:ascii="Arial" w:eastAsia="宋体" w:hAnsi="Arial" w:cs="Arial"/>
                <w:color w:val="000000"/>
                <w:sz w:val="17"/>
                <w:szCs w:val="17"/>
              </w:rPr>
              <w:t>-7 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6AC" w14:textId="77777777" w:rsidR="00066C63" w:rsidRDefault="009656F6">
            <w:pPr>
              <w:jc w:val="right"/>
              <w:textAlignment w:val="bottom"/>
            </w:pPr>
            <w:r>
              <w:rPr>
                <w:rFonts w:ascii="Arial" w:eastAsia="宋体" w:hAnsi="Arial" w:cs="Arial"/>
                <w:color w:val="000000"/>
                <w:sz w:val="17"/>
                <w:szCs w:val="17"/>
              </w:rPr>
              <w:t>%</w:t>
            </w:r>
          </w:p>
        </w:tc>
        <w:tc>
          <w:tcPr>
            <w:tcW w:w="0" w:type="auto"/>
            <w:gridSpan w:val="3"/>
            <w:tcBorders>
              <w:top w:val="single" w:sz="8" w:space="0" w:color="808080"/>
            </w:tcBorders>
            <w:shd w:val="clear" w:color="auto" w:fill="auto"/>
            <w:tcMar>
              <w:top w:w="0" w:type="dxa"/>
              <w:left w:w="20" w:type="dxa"/>
              <w:bottom w:w="0" w:type="dxa"/>
              <w:right w:w="20" w:type="dxa"/>
            </w:tcMar>
          </w:tcPr>
          <w:p w14:paraId="669C76AD" w14:textId="77777777" w:rsidR="00066C63" w:rsidRDefault="00066C63">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76AE" w14:textId="77777777" w:rsidR="00066C63" w:rsidRDefault="009656F6">
            <w:pPr>
              <w:jc w:val="right"/>
              <w:textAlignment w:val="bottom"/>
            </w:pPr>
            <w:r>
              <w:rPr>
                <w:rFonts w:ascii="Arial" w:eastAsia="宋体" w:hAnsi="Arial" w:cs="Arial"/>
                <w:color w:val="000000"/>
                <w:sz w:val="17"/>
                <w:szCs w:val="17"/>
              </w:rPr>
              <w:t>1,885 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76AF"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6B0" w14:textId="77777777" w:rsidR="00066C63" w:rsidRDefault="009656F6">
            <w:pPr>
              <w:jc w:val="right"/>
              <w:textAlignment w:val="bottom"/>
            </w:pPr>
            <w:r>
              <w:rPr>
                <w:rFonts w:ascii="Arial" w:eastAsia="宋体" w:hAnsi="Arial" w:cs="Arial"/>
                <w:color w:val="000000"/>
                <w:sz w:val="17"/>
                <w:szCs w:val="17"/>
              </w:rPr>
              <w:t>1,694 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6B1"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6B2" w14:textId="77777777" w:rsidR="00066C63" w:rsidRDefault="009656F6">
            <w:pPr>
              <w:jc w:val="right"/>
              <w:textAlignment w:val="bottom"/>
            </w:pPr>
            <w:r>
              <w:rPr>
                <w:rFonts w:ascii="Arial" w:eastAsia="宋体" w:hAnsi="Arial" w:cs="Arial"/>
                <w:color w:val="000000"/>
                <w:sz w:val="17"/>
                <w:szCs w:val="17"/>
              </w:rPr>
              <w:t>11 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6B3" w14:textId="77777777" w:rsidR="00066C63" w:rsidRDefault="009656F6">
            <w:pPr>
              <w:jc w:val="right"/>
              <w:textAlignment w:val="bottom"/>
            </w:pPr>
            <w:r>
              <w:rPr>
                <w:rFonts w:ascii="Arial" w:eastAsia="宋体" w:hAnsi="Arial" w:cs="Arial"/>
                <w:color w:val="000000"/>
                <w:sz w:val="17"/>
                <w:szCs w:val="17"/>
              </w:rPr>
              <w:t>%</w:t>
            </w:r>
          </w:p>
        </w:tc>
      </w:tr>
      <w:tr w:rsidR="00066C63" w14:paraId="669C76C3"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76B5" w14:textId="77777777" w:rsidR="00066C63" w:rsidRDefault="009656F6">
            <w:pPr>
              <w:textAlignment w:val="bottom"/>
            </w:pPr>
            <w:r>
              <w:rPr>
                <w:rFonts w:ascii="Arial" w:eastAsia="宋体" w:hAnsi="Arial" w:cs="Arial"/>
                <w:color w:val="000000"/>
                <w:sz w:val="17"/>
                <w:szCs w:val="17"/>
              </w:rPr>
              <w:t>Greater China</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76B6" w14:textId="77777777" w:rsidR="00066C63" w:rsidRDefault="009656F6">
            <w:pPr>
              <w:jc w:val="right"/>
              <w:textAlignment w:val="bottom"/>
            </w:pPr>
            <w:r>
              <w:rPr>
                <w:rFonts w:ascii="Arial" w:eastAsia="宋体" w:hAnsi="Arial" w:cs="Arial"/>
                <w:color w:val="000000"/>
                <w:sz w:val="17"/>
                <w:szCs w:val="17"/>
              </w:rPr>
              <w:t>973 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76B7"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6B8" w14:textId="77777777" w:rsidR="00066C63" w:rsidRDefault="009656F6">
            <w:pPr>
              <w:jc w:val="right"/>
              <w:textAlignment w:val="bottom"/>
            </w:pPr>
            <w:r>
              <w:rPr>
                <w:rFonts w:ascii="Arial" w:eastAsia="宋体" w:hAnsi="Arial" w:cs="Arial"/>
                <w:color w:val="000000"/>
                <w:sz w:val="17"/>
                <w:szCs w:val="17"/>
              </w:rPr>
              <w:t>556 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6B9"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6BA" w14:textId="77777777" w:rsidR="00066C63" w:rsidRDefault="009656F6">
            <w:pPr>
              <w:jc w:val="right"/>
              <w:textAlignment w:val="bottom"/>
            </w:pPr>
            <w:r>
              <w:rPr>
                <w:rFonts w:ascii="Arial" w:eastAsia="宋体" w:hAnsi="Arial" w:cs="Arial"/>
                <w:color w:val="000000"/>
                <w:sz w:val="17"/>
                <w:szCs w:val="17"/>
              </w:rPr>
              <w:t>75 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6BB" w14:textId="77777777" w:rsidR="00066C63" w:rsidRDefault="009656F6">
            <w:pPr>
              <w:jc w:val="right"/>
              <w:textAlignment w:val="bottom"/>
            </w:pPr>
            <w:r>
              <w:rPr>
                <w:rFonts w:ascii="Arial" w:eastAsia="宋体" w:hAnsi="Arial" w:cs="Arial"/>
                <w:color w:val="000000"/>
                <w:sz w:val="17"/>
                <w:szCs w:val="17"/>
              </w:rPr>
              <w:t>%</w:t>
            </w:r>
          </w:p>
        </w:tc>
        <w:tc>
          <w:tcPr>
            <w:tcW w:w="0" w:type="auto"/>
            <w:gridSpan w:val="3"/>
            <w:tcBorders>
              <w:top w:val="single" w:sz="8" w:space="0" w:color="808080"/>
            </w:tcBorders>
            <w:shd w:val="clear" w:color="auto" w:fill="auto"/>
            <w:tcMar>
              <w:top w:w="0" w:type="dxa"/>
              <w:left w:w="20" w:type="dxa"/>
              <w:bottom w:w="0" w:type="dxa"/>
              <w:right w:w="20" w:type="dxa"/>
            </w:tcMar>
          </w:tcPr>
          <w:p w14:paraId="669C76BC" w14:textId="77777777" w:rsidR="00066C63" w:rsidRDefault="00066C63">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76BD" w14:textId="77777777" w:rsidR="00066C63" w:rsidRDefault="009656F6">
            <w:pPr>
              <w:jc w:val="right"/>
              <w:textAlignment w:val="bottom"/>
            </w:pPr>
            <w:r>
              <w:rPr>
                <w:rFonts w:ascii="Arial" w:eastAsia="宋体" w:hAnsi="Arial" w:cs="Arial"/>
                <w:color w:val="000000"/>
                <w:sz w:val="17"/>
                <w:szCs w:val="17"/>
              </w:rPr>
              <w:t>2,552 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76BE"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6BF" w14:textId="77777777" w:rsidR="00066C63" w:rsidRDefault="009656F6">
            <w:pPr>
              <w:jc w:val="right"/>
              <w:textAlignment w:val="bottom"/>
            </w:pPr>
            <w:r>
              <w:rPr>
                <w:rFonts w:ascii="Arial" w:eastAsia="宋体" w:hAnsi="Arial" w:cs="Arial"/>
                <w:color w:val="000000"/>
                <w:sz w:val="17"/>
                <w:szCs w:val="17"/>
              </w:rPr>
              <w:t>1,919 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6C0"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6C1" w14:textId="77777777" w:rsidR="00066C63" w:rsidRDefault="009656F6">
            <w:pPr>
              <w:jc w:val="right"/>
              <w:textAlignment w:val="bottom"/>
            </w:pPr>
            <w:r>
              <w:rPr>
                <w:rFonts w:ascii="Arial" w:eastAsia="宋体" w:hAnsi="Arial" w:cs="Arial"/>
                <w:color w:val="000000"/>
                <w:sz w:val="17"/>
                <w:szCs w:val="17"/>
              </w:rPr>
              <w:t>33 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6C2" w14:textId="77777777" w:rsidR="00066C63" w:rsidRDefault="009656F6">
            <w:pPr>
              <w:jc w:val="right"/>
              <w:textAlignment w:val="bottom"/>
            </w:pPr>
            <w:r>
              <w:rPr>
                <w:rFonts w:ascii="Arial" w:eastAsia="宋体" w:hAnsi="Arial" w:cs="Arial"/>
                <w:color w:val="000000"/>
                <w:sz w:val="17"/>
                <w:szCs w:val="17"/>
              </w:rPr>
              <w:t>%</w:t>
            </w:r>
          </w:p>
        </w:tc>
      </w:tr>
      <w:tr w:rsidR="00066C63" w14:paraId="669C76D2"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76C4" w14:textId="77777777" w:rsidR="00066C63" w:rsidRDefault="009656F6">
            <w:pPr>
              <w:textAlignment w:val="bottom"/>
            </w:pPr>
            <w:r>
              <w:rPr>
                <w:rFonts w:ascii="Arial" w:eastAsia="宋体" w:hAnsi="Arial" w:cs="Arial"/>
                <w:color w:val="000000"/>
                <w:sz w:val="17"/>
                <w:szCs w:val="17"/>
              </w:rPr>
              <w:t>Asia Pacific &amp; Latin America</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76C5" w14:textId="77777777" w:rsidR="00066C63" w:rsidRDefault="009656F6">
            <w:pPr>
              <w:jc w:val="right"/>
              <w:textAlignment w:val="bottom"/>
            </w:pPr>
            <w:r>
              <w:rPr>
                <w:rFonts w:ascii="Arial" w:eastAsia="宋体" w:hAnsi="Arial" w:cs="Arial"/>
                <w:color w:val="000000"/>
                <w:sz w:val="17"/>
                <w:szCs w:val="17"/>
              </w:rPr>
              <w:t>408 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76C6"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6C7" w14:textId="77777777" w:rsidR="00066C63" w:rsidRDefault="009656F6">
            <w:pPr>
              <w:jc w:val="right"/>
              <w:textAlignment w:val="bottom"/>
            </w:pPr>
            <w:r>
              <w:rPr>
                <w:rFonts w:ascii="Arial" w:eastAsia="宋体" w:hAnsi="Arial" w:cs="Arial"/>
                <w:color w:val="000000"/>
                <w:sz w:val="17"/>
                <w:szCs w:val="17"/>
              </w:rPr>
              <w:t>387 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6C8"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6C9" w14:textId="77777777" w:rsidR="00066C63" w:rsidRDefault="009656F6">
            <w:pPr>
              <w:jc w:val="right"/>
              <w:textAlignment w:val="bottom"/>
            </w:pPr>
            <w:r>
              <w:rPr>
                <w:rFonts w:ascii="Arial" w:eastAsia="宋体" w:hAnsi="Arial" w:cs="Arial"/>
                <w:color w:val="000000"/>
                <w:sz w:val="17"/>
                <w:szCs w:val="17"/>
              </w:rPr>
              <w:t>5 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6CA" w14:textId="77777777" w:rsidR="00066C63" w:rsidRDefault="009656F6">
            <w:pPr>
              <w:jc w:val="right"/>
              <w:textAlignment w:val="bottom"/>
            </w:pPr>
            <w:r>
              <w:rPr>
                <w:rFonts w:ascii="Arial" w:eastAsia="宋体" w:hAnsi="Arial" w:cs="Arial"/>
                <w:color w:val="000000"/>
                <w:sz w:val="17"/>
                <w:szCs w:val="17"/>
              </w:rPr>
              <w:t>%</w:t>
            </w:r>
          </w:p>
        </w:tc>
        <w:tc>
          <w:tcPr>
            <w:tcW w:w="0" w:type="auto"/>
            <w:gridSpan w:val="3"/>
            <w:tcBorders>
              <w:top w:val="single" w:sz="8" w:space="0" w:color="808080"/>
            </w:tcBorders>
            <w:shd w:val="clear" w:color="auto" w:fill="auto"/>
            <w:tcMar>
              <w:top w:w="0" w:type="dxa"/>
              <w:left w:w="20" w:type="dxa"/>
              <w:bottom w:w="0" w:type="dxa"/>
              <w:right w:w="20" w:type="dxa"/>
            </w:tcMar>
          </w:tcPr>
          <w:p w14:paraId="669C76CB" w14:textId="77777777" w:rsidR="00066C63" w:rsidRDefault="00066C63">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76CC" w14:textId="77777777" w:rsidR="00066C63" w:rsidRDefault="009656F6">
            <w:pPr>
              <w:jc w:val="right"/>
              <w:textAlignment w:val="bottom"/>
            </w:pPr>
            <w:r>
              <w:rPr>
                <w:rFonts w:ascii="Arial" w:eastAsia="宋体" w:hAnsi="Arial" w:cs="Arial"/>
                <w:color w:val="000000"/>
                <w:sz w:val="17"/>
                <w:szCs w:val="17"/>
              </w:rPr>
              <w:t>1,112 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76CD"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6CE" w14:textId="77777777" w:rsidR="00066C63" w:rsidRDefault="009656F6">
            <w:pPr>
              <w:jc w:val="right"/>
              <w:textAlignment w:val="bottom"/>
            </w:pPr>
            <w:r>
              <w:rPr>
                <w:rFonts w:ascii="Arial" w:eastAsia="宋体" w:hAnsi="Arial" w:cs="Arial"/>
                <w:color w:val="000000"/>
                <w:sz w:val="17"/>
                <w:szCs w:val="17"/>
              </w:rPr>
              <w:t>1,105 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6CF"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6D0" w14:textId="77777777" w:rsidR="00066C63" w:rsidRDefault="009656F6">
            <w:pPr>
              <w:jc w:val="right"/>
              <w:textAlignment w:val="bottom"/>
            </w:pPr>
            <w:r>
              <w:rPr>
                <w:rFonts w:ascii="Arial" w:eastAsia="宋体" w:hAnsi="Arial" w:cs="Arial"/>
                <w:color w:val="000000"/>
                <w:sz w:val="17"/>
                <w:szCs w:val="17"/>
              </w:rPr>
              <w:t>1 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6D1" w14:textId="77777777" w:rsidR="00066C63" w:rsidRDefault="009656F6">
            <w:pPr>
              <w:jc w:val="right"/>
              <w:textAlignment w:val="bottom"/>
            </w:pPr>
            <w:r>
              <w:rPr>
                <w:rFonts w:ascii="Arial" w:eastAsia="宋体" w:hAnsi="Arial" w:cs="Arial"/>
                <w:color w:val="000000"/>
                <w:sz w:val="17"/>
                <w:szCs w:val="17"/>
              </w:rPr>
              <w:t>%</w:t>
            </w:r>
          </w:p>
        </w:tc>
      </w:tr>
      <w:tr w:rsidR="00066C63" w14:paraId="669C76E1"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76D3" w14:textId="77777777" w:rsidR="00066C63" w:rsidRDefault="009656F6">
            <w:pPr>
              <w:textAlignment w:val="bottom"/>
            </w:pPr>
            <w:r>
              <w:rPr>
                <w:rFonts w:ascii="Arial" w:eastAsia="宋体" w:hAnsi="Arial" w:cs="Arial"/>
                <w:color w:val="000000"/>
                <w:sz w:val="17"/>
                <w:szCs w:val="17"/>
              </w:rPr>
              <w:t>Global Brand Divisions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76D4" w14:textId="77777777" w:rsidR="00066C63" w:rsidRDefault="009656F6">
            <w:pPr>
              <w:jc w:val="right"/>
              <w:textAlignment w:val="bottom"/>
            </w:pPr>
            <w:r>
              <w:rPr>
                <w:rFonts w:ascii="Arial" w:eastAsia="宋体" w:hAnsi="Arial" w:cs="Arial"/>
                <w:color w:val="000000"/>
                <w:sz w:val="17"/>
                <w:szCs w:val="17"/>
              </w:rPr>
              <w:t>(852)</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76D5"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6D6" w14:textId="77777777" w:rsidR="00066C63" w:rsidRDefault="009656F6">
            <w:pPr>
              <w:jc w:val="right"/>
              <w:textAlignment w:val="bottom"/>
            </w:pPr>
            <w:r>
              <w:rPr>
                <w:rFonts w:ascii="Arial" w:eastAsia="宋体" w:hAnsi="Arial" w:cs="Arial"/>
                <w:color w:val="000000"/>
                <w:sz w:val="17"/>
                <w:szCs w:val="17"/>
              </w:rPr>
              <w:t>(895)</w:t>
            </w:r>
          </w:p>
        </w:tc>
        <w:tc>
          <w:tcPr>
            <w:tcW w:w="0" w:type="auto"/>
            <w:tcBorders>
              <w:top w:val="single" w:sz="8" w:space="0" w:color="808080"/>
            </w:tcBorders>
            <w:shd w:val="clear" w:color="auto" w:fill="auto"/>
            <w:tcMar>
              <w:top w:w="40" w:type="dxa"/>
              <w:left w:w="0" w:type="dxa"/>
              <w:bottom w:w="40" w:type="dxa"/>
              <w:right w:w="20" w:type="dxa"/>
            </w:tcMar>
            <w:vAlign w:val="bottom"/>
          </w:tcPr>
          <w:p w14:paraId="669C76D7"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6D8" w14:textId="77777777" w:rsidR="00066C63" w:rsidRDefault="009656F6">
            <w:pPr>
              <w:jc w:val="right"/>
              <w:textAlignment w:val="bottom"/>
            </w:pPr>
            <w:r>
              <w:rPr>
                <w:rFonts w:ascii="Arial" w:eastAsia="宋体" w:hAnsi="Arial" w:cs="Arial"/>
                <w:color w:val="000000"/>
                <w:sz w:val="17"/>
                <w:szCs w:val="17"/>
              </w:rPr>
              <w:t>5 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6D9" w14:textId="77777777" w:rsidR="00066C63" w:rsidRDefault="009656F6">
            <w:pPr>
              <w:jc w:val="right"/>
              <w:textAlignment w:val="bottom"/>
            </w:pPr>
            <w:r>
              <w:rPr>
                <w:rFonts w:ascii="Arial" w:eastAsia="宋体" w:hAnsi="Arial" w:cs="Arial"/>
                <w:color w:val="000000"/>
                <w:sz w:val="17"/>
                <w:szCs w:val="17"/>
              </w:rPr>
              <w:t>%</w:t>
            </w:r>
          </w:p>
        </w:tc>
        <w:tc>
          <w:tcPr>
            <w:tcW w:w="0" w:type="auto"/>
            <w:gridSpan w:val="3"/>
            <w:tcBorders>
              <w:top w:val="single" w:sz="8" w:space="0" w:color="808080"/>
            </w:tcBorders>
            <w:shd w:val="clear" w:color="auto" w:fill="auto"/>
            <w:tcMar>
              <w:top w:w="0" w:type="dxa"/>
              <w:left w:w="20" w:type="dxa"/>
              <w:bottom w:w="0" w:type="dxa"/>
              <w:right w:w="20" w:type="dxa"/>
            </w:tcMar>
          </w:tcPr>
          <w:p w14:paraId="669C76DA" w14:textId="77777777" w:rsidR="00066C63" w:rsidRDefault="00066C63">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76DB" w14:textId="77777777" w:rsidR="00066C63" w:rsidRDefault="009656F6">
            <w:pPr>
              <w:jc w:val="right"/>
              <w:textAlignment w:val="bottom"/>
            </w:pPr>
            <w:r>
              <w:rPr>
                <w:rFonts w:ascii="Arial" w:eastAsia="宋体" w:hAnsi="Arial" w:cs="Arial"/>
                <w:color w:val="000000"/>
                <w:sz w:val="17"/>
                <w:szCs w:val="17"/>
              </w:rPr>
              <w:t>(2,546)</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76DC"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6DD" w14:textId="77777777" w:rsidR="00066C63" w:rsidRDefault="009656F6">
            <w:pPr>
              <w:jc w:val="right"/>
              <w:textAlignment w:val="bottom"/>
            </w:pPr>
            <w:r>
              <w:rPr>
                <w:rFonts w:ascii="Arial" w:eastAsia="宋体" w:hAnsi="Arial" w:cs="Arial"/>
                <w:color w:val="000000"/>
                <w:sz w:val="17"/>
                <w:szCs w:val="17"/>
              </w:rPr>
              <w:t>(2,624)</w:t>
            </w:r>
          </w:p>
        </w:tc>
        <w:tc>
          <w:tcPr>
            <w:tcW w:w="0" w:type="auto"/>
            <w:tcBorders>
              <w:top w:val="single" w:sz="8" w:space="0" w:color="808080"/>
            </w:tcBorders>
            <w:shd w:val="clear" w:color="auto" w:fill="auto"/>
            <w:tcMar>
              <w:top w:w="40" w:type="dxa"/>
              <w:left w:w="0" w:type="dxa"/>
              <w:bottom w:w="40" w:type="dxa"/>
              <w:right w:w="20" w:type="dxa"/>
            </w:tcMar>
            <w:vAlign w:val="bottom"/>
          </w:tcPr>
          <w:p w14:paraId="669C76DE"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6DF" w14:textId="77777777" w:rsidR="00066C63" w:rsidRDefault="009656F6">
            <w:pPr>
              <w:jc w:val="right"/>
              <w:textAlignment w:val="bottom"/>
            </w:pPr>
            <w:r>
              <w:rPr>
                <w:rFonts w:ascii="Arial" w:eastAsia="宋体" w:hAnsi="Arial" w:cs="Arial"/>
                <w:color w:val="000000"/>
                <w:sz w:val="17"/>
                <w:szCs w:val="17"/>
              </w:rPr>
              <w:t>3 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6E0" w14:textId="77777777" w:rsidR="00066C63" w:rsidRDefault="009656F6">
            <w:pPr>
              <w:jc w:val="right"/>
              <w:textAlignment w:val="bottom"/>
            </w:pPr>
            <w:r>
              <w:rPr>
                <w:rFonts w:ascii="Arial" w:eastAsia="宋体" w:hAnsi="Arial" w:cs="Arial"/>
                <w:color w:val="000000"/>
                <w:sz w:val="17"/>
                <w:szCs w:val="17"/>
              </w:rPr>
              <w:t>%</w:t>
            </w:r>
          </w:p>
        </w:tc>
      </w:tr>
      <w:tr w:rsidR="00066C63" w14:paraId="669C76F0"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6E2" w14:textId="77777777" w:rsidR="00066C63" w:rsidRDefault="009656F6">
            <w:pPr>
              <w:textAlignment w:val="bottom"/>
            </w:pPr>
            <w:r>
              <w:rPr>
                <w:rFonts w:ascii="Arial" w:eastAsia="宋体" w:hAnsi="Arial" w:cs="Arial"/>
                <w:b/>
                <w:bCs/>
                <w:color w:val="000000"/>
                <w:sz w:val="17"/>
                <w:szCs w:val="17"/>
              </w:rPr>
              <w:t>TOTAL NIKE BRAND</w:t>
            </w:r>
            <w:r>
              <w:rPr>
                <w:rFonts w:ascii="Arial" w:eastAsia="宋体" w:hAnsi="Arial" w:cs="Arial"/>
                <w:color w:val="000000"/>
                <w:sz w:val="11"/>
                <w:szCs w:val="11"/>
              </w:rPr>
              <w:t>(1)</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669C76E3" w14:textId="77777777" w:rsidR="00066C63" w:rsidRDefault="009656F6">
            <w:pPr>
              <w:jc w:val="right"/>
              <w:textAlignment w:val="bottom"/>
            </w:pPr>
            <w:r>
              <w:rPr>
                <w:rFonts w:ascii="Arial" w:eastAsia="宋体" w:hAnsi="Arial" w:cs="Arial"/>
                <w:b/>
                <w:bCs/>
                <w:color w:val="000000"/>
                <w:sz w:val="17"/>
                <w:szCs w:val="17"/>
              </w:rPr>
              <w:t>2,032</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76E4" w14:textId="77777777" w:rsidR="00066C63" w:rsidRDefault="00066C63">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76E5" w14:textId="77777777" w:rsidR="00066C63" w:rsidRDefault="009656F6">
            <w:pPr>
              <w:jc w:val="right"/>
              <w:textAlignment w:val="bottom"/>
            </w:pPr>
            <w:r>
              <w:rPr>
                <w:rFonts w:ascii="Arial" w:eastAsia="宋体" w:hAnsi="Arial" w:cs="Arial"/>
                <w:b/>
                <w:bCs/>
                <w:color w:val="000000"/>
                <w:sz w:val="17"/>
                <w:szCs w:val="17"/>
              </w:rPr>
              <w:t>1,560</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76E6" w14:textId="77777777" w:rsidR="00066C63" w:rsidRDefault="00066C63">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76E7" w14:textId="77777777" w:rsidR="00066C63" w:rsidRDefault="009656F6">
            <w:pPr>
              <w:jc w:val="right"/>
              <w:textAlignment w:val="bottom"/>
            </w:pPr>
            <w:r>
              <w:rPr>
                <w:rFonts w:ascii="Arial" w:eastAsia="宋体" w:hAnsi="Arial" w:cs="Arial"/>
                <w:b/>
                <w:bCs/>
                <w:color w:val="000000"/>
                <w:sz w:val="17"/>
                <w:szCs w:val="17"/>
              </w:rPr>
              <w:t>30</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76E8" w14:textId="77777777" w:rsidR="00066C63" w:rsidRDefault="009656F6">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tcPr>
          <w:p w14:paraId="669C76E9" w14:textId="77777777" w:rsidR="00066C63" w:rsidRDefault="00066C63">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669C76EA" w14:textId="77777777" w:rsidR="00066C63" w:rsidRDefault="009656F6">
            <w:pPr>
              <w:jc w:val="right"/>
              <w:textAlignment w:val="bottom"/>
            </w:pPr>
            <w:r>
              <w:rPr>
                <w:rFonts w:ascii="Arial" w:eastAsia="宋体" w:hAnsi="Arial" w:cs="Arial"/>
                <w:b/>
                <w:bCs/>
                <w:color w:val="000000"/>
                <w:sz w:val="17"/>
                <w:szCs w:val="17"/>
              </w:rPr>
              <w:t>6,298</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76EB" w14:textId="77777777" w:rsidR="00066C63" w:rsidRDefault="00066C63">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76EC" w14:textId="77777777" w:rsidR="00066C63" w:rsidRDefault="009656F6">
            <w:pPr>
              <w:jc w:val="right"/>
              <w:textAlignment w:val="bottom"/>
            </w:pPr>
            <w:r>
              <w:rPr>
                <w:rFonts w:ascii="Arial" w:eastAsia="宋体" w:hAnsi="Arial" w:cs="Arial"/>
                <w:b/>
                <w:bCs/>
                <w:color w:val="000000"/>
                <w:sz w:val="17"/>
                <w:szCs w:val="17"/>
              </w:rPr>
              <w:t>5,006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76ED" w14:textId="77777777" w:rsidR="00066C63" w:rsidRDefault="00066C63">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76EE" w14:textId="77777777" w:rsidR="00066C63" w:rsidRDefault="009656F6">
            <w:pPr>
              <w:jc w:val="right"/>
              <w:textAlignment w:val="bottom"/>
            </w:pPr>
            <w:r>
              <w:rPr>
                <w:rFonts w:ascii="Arial" w:eastAsia="宋体" w:hAnsi="Arial" w:cs="Arial"/>
                <w:b/>
                <w:bCs/>
                <w:color w:val="000000"/>
                <w:sz w:val="17"/>
                <w:szCs w:val="17"/>
              </w:rPr>
              <w:t>26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76EF" w14:textId="77777777" w:rsidR="00066C63" w:rsidRDefault="009656F6">
            <w:pPr>
              <w:jc w:val="right"/>
              <w:textAlignment w:val="bottom"/>
            </w:pPr>
            <w:r>
              <w:rPr>
                <w:rFonts w:ascii="Arial" w:eastAsia="宋体" w:hAnsi="Arial" w:cs="Arial"/>
                <w:b/>
                <w:bCs/>
                <w:color w:val="000000"/>
                <w:sz w:val="17"/>
                <w:szCs w:val="17"/>
              </w:rPr>
              <w:t>%</w:t>
            </w:r>
          </w:p>
        </w:tc>
      </w:tr>
      <w:tr w:rsidR="00066C63" w14:paraId="669C76FF"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6F1" w14:textId="77777777" w:rsidR="00066C63" w:rsidRDefault="009656F6">
            <w:pPr>
              <w:textAlignment w:val="bottom"/>
            </w:pPr>
            <w:r>
              <w:rPr>
                <w:rFonts w:ascii="Arial" w:eastAsia="宋体" w:hAnsi="Arial" w:cs="Arial"/>
                <w:color w:val="000000"/>
                <w:sz w:val="17"/>
                <w:szCs w:val="17"/>
              </w:rPr>
              <w:t>Converse</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669C76F2" w14:textId="77777777" w:rsidR="00066C63" w:rsidRDefault="009656F6">
            <w:pPr>
              <w:jc w:val="right"/>
              <w:textAlignment w:val="bottom"/>
            </w:pPr>
            <w:r>
              <w:rPr>
                <w:rFonts w:ascii="Arial" w:eastAsia="宋体" w:hAnsi="Arial" w:cs="Arial"/>
                <w:color w:val="000000"/>
                <w:sz w:val="17"/>
                <w:szCs w:val="17"/>
              </w:rPr>
              <w:t>150 </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76F3" w14:textId="77777777" w:rsidR="00066C63" w:rsidRDefault="00066C63">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76F4" w14:textId="77777777" w:rsidR="00066C63" w:rsidRDefault="009656F6">
            <w:pPr>
              <w:jc w:val="right"/>
              <w:textAlignment w:val="bottom"/>
            </w:pPr>
            <w:r>
              <w:rPr>
                <w:rFonts w:ascii="Arial" w:eastAsia="宋体" w:hAnsi="Arial" w:cs="Arial"/>
                <w:color w:val="000000"/>
                <w:sz w:val="17"/>
                <w:szCs w:val="17"/>
              </w:rPr>
              <w:t>96 </w:t>
            </w:r>
          </w:p>
        </w:tc>
        <w:tc>
          <w:tcPr>
            <w:tcW w:w="0" w:type="auto"/>
            <w:tcBorders>
              <w:top w:val="single" w:sz="8" w:space="0" w:color="E87722"/>
            </w:tcBorders>
            <w:shd w:val="clear" w:color="auto" w:fill="auto"/>
            <w:tcMar>
              <w:top w:w="40" w:type="dxa"/>
              <w:left w:w="0" w:type="dxa"/>
              <w:bottom w:w="40" w:type="dxa"/>
              <w:right w:w="20" w:type="dxa"/>
            </w:tcMar>
            <w:vAlign w:val="bottom"/>
          </w:tcPr>
          <w:p w14:paraId="669C76F5" w14:textId="77777777" w:rsidR="00066C63" w:rsidRDefault="00066C63">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76F6" w14:textId="77777777" w:rsidR="00066C63" w:rsidRDefault="009656F6">
            <w:pPr>
              <w:jc w:val="right"/>
              <w:textAlignment w:val="bottom"/>
            </w:pPr>
            <w:r>
              <w:rPr>
                <w:rFonts w:ascii="Arial" w:eastAsia="宋体" w:hAnsi="Arial" w:cs="Arial"/>
                <w:color w:val="000000"/>
                <w:sz w:val="17"/>
                <w:szCs w:val="17"/>
              </w:rPr>
              <w:t>56 </w:t>
            </w:r>
          </w:p>
        </w:tc>
        <w:tc>
          <w:tcPr>
            <w:tcW w:w="0" w:type="auto"/>
            <w:tcBorders>
              <w:top w:val="single" w:sz="8" w:space="0" w:color="E87722"/>
            </w:tcBorders>
            <w:shd w:val="clear" w:color="auto" w:fill="auto"/>
            <w:tcMar>
              <w:top w:w="40" w:type="dxa"/>
              <w:left w:w="0" w:type="dxa"/>
              <w:bottom w:w="40" w:type="dxa"/>
              <w:right w:w="20" w:type="dxa"/>
            </w:tcMar>
            <w:vAlign w:val="bottom"/>
          </w:tcPr>
          <w:p w14:paraId="669C76F7" w14:textId="77777777" w:rsidR="00066C63" w:rsidRDefault="009656F6">
            <w:pPr>
              <w:jc w:val="right"/>
              <w:textAlignment w:val="bottom"/>
            </w:pPr>
            <w:r>
              <w:rPr>
                <w:rFonts w:ascii="Arial" w:eastAsia="宋体" w:hAnsi="Arial" w:cs="Arial"/>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tcPr>
          <w:p w14:paraId="669C76F8" w14:textId="77777777" w:rsidR="00066C63" w:rsidRDefault="00066C63">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669C76F9" w14:textId="77777777" w:rsidR="00066C63" w:rsidRDefault="009656F6">
            <w:pPr>
              <w:jc w:val="right"/>
              <w:textAlignment w:val="bottom"/>
            </w:pPr>
            <w:r>
              <w:rPr>
                <w:rFonts w:ascii="Arial" w:eastAsia="宋体" w:hAnsi="Arial" w:cs="Arial"/>
                <w:color w:val="000000"/>
                <w:sz w:val="17"/>
                <w:szCs w:val="17"/>
              </w:rPr>
              <w:t>405 </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76FA" w14:textId="77777777" w:rsidR="00066C63" w:rsidRDefault="00066C63">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76FB" w14:textId="77777777" w:rsidR="00066C63" w:rsidRDefault="009656F6">
            <w:pPr>
              <w:jc w:val="right"/>
              <w:textAlignment w:val="bottom"/>
            </w:pPr>
            <w:r>
              <w:rPr>
                <w:rFonts w:ascii="Arial" w:eastAsia="宋体" w:hAnsi="Arial" w:cs="Arial"/>
                <w:color w:val="000000"/>
                <w:sz w:val="17"/>
                <w:szCs w:val="17"/>
              </w:rPr>
              <w:t>324 </w:t>
            </w:r>
          </w:p>
        </w:tc>
        <w:tc>
          <w:tcPr>
            <w:tcW w:w="0" w:type="auto"/>
            <w:tcBorders>
              <w:top w:val="single" w:sz="8" w:space="0" w:color="E87722"/>
            </w:tcBorders>
            <w:shd w:val="clear" w:color="auto" w:fill="auto"/>
            <w:tcMar>
              <w:top w:w="40" w:type="dxa"/>
              <w:left w:w="0" w:type="dxa"/>
              <w:bottom w:w="40" w:type="dxa"/>
              <w:right w:w="20" w:type="dxa"/>
            </w:tcMar>
            <w:vAlign w:val="bottom"/>
          </w:tcPr>
          <w:p w14:paraId="669C76FC" w14:textId="77777777" w:rsidR="00066C63" w:rsidRDefault="00066C63">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76FD" w14:textId="77777777" w:rsidR="00066C63" w:rsidRDefault="009656F6">
            <w:pPr>
              <w:jc w:val="right"/>
              <w:textAlignment w:val="bottom"/>
            </w:pPr>
            <w:r>
              <w:rPr>
                <w:rFonts w:ascii="Arial" w:eastAsia="宋体" w:hAnsi="Arial" w:cs="Arial"/>
                <w:color w:val="000000"/>
                <w:sz w:val="17"/>
                <w:szCs w:val="17"/>
              </w:rPr>
              <w:t>25 </w:t>
            </w:r>
          </w:p>
        </w:tc>
        <w:tc>
          <w:tcPr>
            <w:tcW w:w="0" w:type="auto"/>
            <w:tcBorders>
              <w:top w:val="single" w:sz="8" w:space="0" w:color="E87722"/>
            </w:tcBorders>
            <w:shd w:val="clear" w:color="auto" w:fill="auto"/>
            <w:tcMar>
              <w:top w:w="40" w:type="dxa"/>
              <w:left w:w="0" w:type="dxa"/>
              <w:bottom w:w="40" w:type="dxa"/>
              <w:right w:w="20" w:type="dxa"/>
            </w:tcMar>
            <w:vAlign w:val="bottom"/>
          </w:tcPr>
          <w:p w14:paraId="669C76FE" w14:textId="77777777" w:rsidR="00066C63" w:rsidRDefault="009656F6">
            <w:pPr>
              <w:jc w:val="right"/>
              <w:textAlignment w:val="bottom"/>
            </w:pPr>
            <w:r>
              <w:rPr>
                <w:rFonts w:ascii="Arial" w:eastAsia="宋体" w:hAnsi="Arial" w:cs="Arial"/>
                <w:color w:val="000000"/>
                <w:sz w:val="17"/>
                <w:szCs w:val="17"/>
              </w:rPr>
              <w:t>%</w:t>
            </w:r>
          </w:p>
        </w:tc>
      </w:tr>
      <w:tr w:rsidR="00066C63" w14:paraId="669C770E"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7700" w14:textId="77777777" w:rsidR="00066C63" w:rsidRDefault="009656F6">
            <w:pPr>
              <w:textAlignment w:val="bottom"/>
            </w:pPr>
            <w:r>
              <w:rPr>
                <w:rFonts w:ascii="Arial" w:eastAsia="宋体" w:hAnsi="Arial" w:cs="Arial"/>
                <w:color w:val="000000"/>
                <w:sz w:val="17"/>
                <w:szCs w:val="17"/>
              </w:rPr>
              <w:t>Corporate</w:t>
            </w:r>
            <w:r>
              <w:rPr>
                <w:rFonts w:ascii="Arial" w:eastAsia="宋体" w:hAnsi="Arial" w:cs="Arial"/>
                <w:color w:val="000000"/>
                <w:sz w:val="11"/>
                <w:szCs w:val="11"/>
              </w:rPr>
              <w:t>(2)</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7701" w14:textId="77777777" w:rsidR="00066C63" w:rsidRDefault="009656F6">
            <w:pPr>
              <w:jc w:val="right"/>
              <w:textAlignment w:val="bottom"/>
            </w:pPr>
            <w:r>
              <w:rPr>
                <w:rFonts w:ascii="Arial" w:eastAsia="宋体" w:hAnsi="Arial" w:cs="Arial"/>
                <w:color w:val="000000"/>
                <w:sz w:val="17"/>
                <w:szCs w:val="17"/>
              </w:rPr>
              <w:t>(482)</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7702"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703" w14:textId="77777777" w:rsidR="00066C63" w:rsidRDefault="009656F6">
            <w:pPr>
              <w:jc w:val="right"/>
              <w:textAlignment w:val="bottom"/>
            </w:pPr>
            <w:r>
              <w:rPr>
                <w:rFonts w:ascii="Arial" w:eastAsia="宋体" w:hAnsi="Arial" w:cs="Arial"/>
                <w:color w:val="000000"/>
                <w:sz w:val="17"/>
                <w:szCs w:val="17"/>
              </w:rPr>
              <w:t>(763)</w:t>
            </w:r>
          </w:p>
        </w:tc>
        <w:tc>
          <w:tcPr>
            <w:tcW w:w="0" w:type="auto"/>
            <w:tcBorders>
              <w:top w:val="single" w:sz="8" w:space="0" w:color="808080"/>
            </w:tcBorders>
            <w:shd w:val="clear" w:color="auto" w:fill="auto"/>
            <w:tcMar>
              <w:top w:w="40" w:type="dxa"/>
              <w:left w:w="0" w:type="dxa"/>
              <w:bottom w:w="40" w:type="dxa"/>
              <w:right w:w="20" w:type="dxa"/>
            </w:tcMar>
            <w:vAlign w:val="bottom"/>
          </w:tcPr>
          <w:p w14:paraId="669C7704"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705" w14:textId="77777777" w:rsidR="00066C63" w:rsidRDefault="009656F6">
            <w:pPr>
              <w:jc w:val="right"/>
              <w:textAlignment w:val="bottom"/>
            </w:pPr>
            <w:r>
              <w:rPr>
                <w:rFonts w:ascii="Arial" w:eastAsia="宋体" w:hAnsi="Arial" w:cs="Arial"/>
                <w:color w:val="000000"/>
                <w:sz w:val="17"/>
                <w:szCs w:val="17"/>
              </w:rPr>
              <w:t>37 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706" w14:textId="77777777" w:rsidR="00066C63" w:rsidRDefault="009656F6">
            <w:pPr>
              <w:jc w:val="right"/>
              <w:textAlignment w:val="bottom"/>
            </w:pPr>
            <w:r>
              <w:rPr>
                <w:rFonts w:ascii="Arial" w:eastAsia="宋体" w:hAnsi="Arial" w:cs="Arial"/>
                <w:color w:val="000000"/>
                <w:sz w:val="17"/>
                <w:szCs w:val="17"/>
              </w:rPr>
              <w:t>%</w:t>
            </w:r>
          </w:p>
        </w:tc>
        <w:tc>
          <w:tcPr>
            <w:tcW w:w="0" w:type="auto"/>
            <w:gridSpan w:val="3"/>
            <w:tcBorders>
              <w:top w:val="single" w:sz="8" w:space="0" w:color="808080"/>
            </w:tcBorders>
            <w:shd w:val="clear" w:color="auto" w:fill="auto"/>
            <w:tcMar>
              <w:top w:w="0" w:type="dxa"/>
              <w:left w:w="20" w:type="dxa"/>
              <w:bottom w:w="0" w:type="dxa"/>
              <w:right w:w="20" w:type="dxa"/>
            </w:tcMar>
          </w:tcPr>
          <w:p w14:paraId="669C7707" w14:textId="77777777" w:rsidR="00066C63" w:rsidRDefault="00066C63">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7708" w14:textId="77777777" w:rsidR="00066C63" w:rsidRDefault="009656F6">
            <w:pPr>
              <w:jc w:val="right"/>
              <w:textAlignment w:val="bottom"/>
            </w:pPr>
            <w:r>
              <w:rPr>
                <w:rFonts w:ascii="Arial" w:eastAsia="宋体" w:hAnsi="Arial" w:cs="Arial"/>
                <w:color w:val="000000"/>
                <w:sz w:val="17"/>
                <w:szCs w:val="17"/>
              </w:rPr>
              <w:t>(1,697)</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7709"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70A" w14:textId="77777777" w:rsidR="00066C63" w:rsidRDefault="009656F6">
            <w:pPr>
              <w:jc w:val="right"/>
              <w:textAlignment w:val="bottom"/>
            </w:pPr>
            <w:r>
              <w:rPr>
                <w:rFonts w:ascii="Arial" w:eastAsia="宋体" w:hAnsi="Arial" w:cs="Arial"/>
                <w:color w:val="000000"/>
                <w:sz w:val="17"/>
                <w:szCs w:val="17"/>
              </w:rPr>
              <w:t>(1,600)</w:t>
            </w:r>
          </w:p>
        </w:tc>
        <w:tc>
          <w:tcPr>
            <w:tcW w:w="0" w:type="auto"/>
            <w:tcBorders>
              <w:top w:val="single" w:sz="8" w:space="0" w:color="808080"/>
            </w:tcBorders>
            <w:shd w:val="clear" w:color="auto" w:fill="auto"/>
            <w:tcMar>
              <w:top w:w="40" w:type="dxa"/>
              <w:left w:w="0" w:type="dxa"/>
              <w:bottom w:w="40" w:type="dxa"/>
              <w:right w:w="20" w:type="dxa"/>
            </w:tcMar>
            <w:vAlign w:val="bottom"/>
          </w:tcPr>
          <w:p w14:paraId="669C770B"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70C" w14:textId="77777777" w:rsidR="00066C63" w:rsidRDefault="009656F6">
            <w:pPr>
              <w:jc w:val="right"/>
              <w:textAlignment w:val="bottom"/>
            </w:pPr>
            <w:r>
              <w:rPr>
                <w:rFonts w:ascii="Arial" w:eastAsia="宋体" w:hAnsi="Arial" w:cs="Arial"/>
                <w:color w:val="000000"/>
                <w:sz w:val="17"/>
                <w:szCs w:val="17"/>
              </w:rPr>
              <w:t>-6 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70D" w14:textId="77777777" w:rsidR="00066C63" w:rsidRDefault="009656F6">
            <w:pPr>
              <w:jc w:val="right"/>
              <w:textAlignment w:val="bottom"/>
            </w:pPr>
            <w:r>
              <w:rPr>
                <w:rFonts w:ascii="Arial" w:eastAsia="宋体" w:hAnsi="Arial" w:cs="Arial"/>
                <w:color w:val="000000"/>
                <w:sz w:val="17"/>
                <w:szCs w:val="17"/>
              </w:rPr>
              <w:t>%</w:t>
            </w:r>
          </w:p>
        </w:tc>
      </w:tr>
      <w:tr w:rsidR="00066C63" w14:paraId="669C771D"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70F" w14:textId="77777777" w:rsidR="00066C63" w:rsidRDefault="009656F6">
            <w:pPr>
              <w:textAlignment w:val="bottom"/>
            </w:pPr>
            <w:r>
              <w:rPr>
                <w:rFonts w:ascii="Arial" w:eastAsia="宋体" w:hAnsi="Arial" w:cs="Arial"/>
                <w:b/>
                <w:bCs/>
                <w:color w:val="000000"/>
                <w:sz w:val="17"/>
                <w:szCs w:val="17"/>
              </w:rPr>
              <w:t>TOTAL NIKE, INC. EARNINGS BEFORE INTEREST AND TAXES</w:t>
            </w:r>
            <w:r>
              <w:rPr>
                <w:rFonts w:ascii="Arial" w:eastAsia="宋体" w:hAnsi="Arial" w:cs="Arial"/>
                <w:color w:val="000000"/>
                <w:sz w:val="11"/>
                <w:szCs w:val="11"/>
              </w:rPr>
              <w:t>(1)</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669C7710" w14:textId="77777777" w:rsidR="00066C63" w:rsidRDefault="009656F6">
            <w:pPr>
              <w:jc w:val="right"/>
              <w:textAlignment w:val="bottom"/>
            </w:pPr>
            <w:r>
              <w:rPr>
                <w:rFonts w:ascii="Arial" w:eastAsia="宋体" w:hAnsi="Arial" w:cs="Arial"/>
                <w:b/>
                <w:bCs/>
                <w:color w:val="000000"/>
                <w:sz w:val="17"/>
                <w:szCs w:val="17"/>
              </w:rPr>
              <w:t>1,700</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7711" w14:textId="77777777" w:rsidR="00066C63" w:rsidRDefault="00066C63">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7712" w14:textId="77777777" w:rsidR="00066C63" w:rsidRDefault="009656F6">
            <w:pPr>
              <w:jc w:val="right"/>
              <w:textAlignment w:val="bottom"/>
            </w:pPr>
            <w:r>
              <w:rPr>
                <w:rFonts w:ascii="Arial" w:eastAsia="宋体" w:hAnsi="Arial" w:cs="Arial"/>
                <w:b/>
                <w:bCs/>
                <w:color w:val="000000"/>
                <w:sz w:val="17"/>
                <w:szCs w:val="17"/>
              </w:rPr>
              <w:t>893</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7713" w14:textId="77777777" w:rsidR="00066C63" w:rsidRDefault="00066C63">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7714" w14:textId="77777777" w:rsidR="00066C63" w:rsidRDefault="009656F6">
            <w:pPr>
              <w:jc w:val="right"/>
              <w:textAlignment w:val="bottom"/>
            </w:pPr>
            <w:r>
              <w:rPr>
                <w:rFonts w:ascii="Arial" w:eastAsia="宋体" w:hAnsi="Arial" w:cs="Arial"/>
                <w:b/>
                <w:bCs/>
                <w:color w:val="000000"/>
                <w:sz w:val="17"/>
                <w:szCs w:val="17"/>
              </w:rPr>
              <w:t>90</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7715" w14:textId="77777777" w:rsidR="00066C63" w:rsidRDefault="009656F6">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tcPr>
          <w:p w14:paraId="669C7716" w14:textId="77777777" w:rsidR="00066C63" w:rsidRDefault="00066C63">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669C7717" w14:textId="77777777" w:rsidR="00066C63" w:rsidRDefault="009656F6">
            <w:pPr>
              <w:jc w:val="right"/>
              <w:textAlignment w:val="bottom"/>
            </w:pPr>
            <w:r>
              <w:rPr>
                <w:rFonts w:ascii="Arial" w:eastAsia="宋体" w:hAnsi="Arial" w:cs="Arial"/>
                <w:b/>
                <w:bCs/>
                <w:color w:val="000000"/>
                <w:sz w:val="17"/>
                <w:szCs w:val="17"/>
              </w:rPr>
              <w:t>5,006</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7718" w14:textId="77777777" w:rsidR="00066C63" w:rsidRDefault="00066C63">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7719" w14:textId="77777777" w:rsidR="00066C63" w:rsidRDefault="009656F6">
            <w:pPr>
              <w:jc w:val="right"/>
              <w:textAlignment w:val="bottom"/>
            </w:pPr>
            <w:r>
              <w:rPr>
                <w:rFonts w:ascii="Arial" w:eastAsia="宋体" w:hAnsi="Arial" w:cs="Arial"/>
                <w:b/>
                <w:bCs/>
                <w:color w:val="000000"/>
                <w:sz w:val="17"/>
                <w:szCs w:val="17"/>
              </w:rPr>
              <w:t>3,730</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771A" w14:textId="77777777" w:rsidR="00066C63" w:rsidRDefault="00066C63">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771B" w14:textId="77777777" w:rsidR="00066C63" w:rsidRDefault="009656F6">
            <w:pPr>
              <w:jc w:val="right"/>
              <w:textAlignment w:val="bottom"/>
            </w:pPr>
            <w:r>
              <w:rPr>
                <w:rFonts w:ascii="Arial" w:eastAsia="宋体" w:hAnsi="Arial" w:cs="Arial"/>
                <w:b/>
                <w:bCs/>
                <w:color w:val="000000"/>
                <w:sz w:val="17"/>
                <w:szCs w:val="17"/>
              </w:rPr>
              <w:t>34</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771C" w14:textId="77777777" w:rsidR="00066C63" w:rsidRDefault="009656F6">
            <w:pPr>
              <w:jc w:val="right"/>
              <w:textAlignment w:val="bottom"/>
            </w:pPr>
            <w:r>
              <w:rPr>
                <w:rFonts w:ascii="Arial" w:eastAsia="宋体" w:hAnsi="Arial" w:cs="Arial"/>
                <w:b/>
                <w:bCs/>
                <w:color w:val="000000"/>
                <w:sz w:val="17"/>
                <w:szCs w:val="17"/>
              </w:rPr>
              <w:t>%</w:t>
            </w:r>
          </w:p>
        </w:tc>
      </w:tr>
      <w:tr w:rsidR="00066C63" w14:paraId="669C772C"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71E" w14:textId="77777777" w:rsidR="00066C63" w:rsidRDefault="009656F6">
            <w:pPr>
              <w:textAlignment w:val="bottom"/>
            </w:pPr>
            <w:r>
              <w:rPr>
                <w:rFonts w:ascii="Arial" w:eastAsia="宋体" w:hAnsi="Arial" w:cs="Arial"/>
                <w:color w:val="000000"/>
                <w:sz w:val="17"/>
                <w:szCs w:val="17"/>
              </w:rPr>
              <w:t>Interest expense (income), net</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669C771F" w14:textId="77777777" w:rsidR="00066C63" w:rsidRDefault="009656F6">
            <w:pPr>
              <w:jc w:val="right"/>
              <w:textAlignment w:val="bottom"/>
            </w:pPr>
            <w:r>
              <w:rPr>
                <w:rFonts w:ascii="Arial" w:eastAsia="宋体" w:hAnsi="Arial" w:cs="Arial"/>
                <w:color w:val="000000"/>
                <w:sz w:val="17"/>
                <w:szCs w:val="17"/>
              </w:rPr>
              <w:t>64 </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7720" w14:textId="77777777" w:rsidR="00066C63" w:rsidRDefault="00066C63">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7721" w14:textId="77777777" w:rsidR="00066C63" w:rsidRDefault="009656F6">
            <w:pPr>
              <w:jc w:val="right"/>
              <w:textAlignment w:val="bottom"/>
            </w:pPr>
            <w:r>
              <w:rPr>
                <w:rFonts w:ascii="Arial" w:eastAsia="宋体" w:hAnsi="Arial" w:cs="Arial"/>
                <w:color w:val="000000"/>
                <w:sz w:val="17"/>
                <w:szCs w:val="17"/>
              </w:rPr>
              <w:t>12 </w:t>
            </w:r>
          </w:p>
        </w:tc>
        <w:tc>
          <w:tcPr>
            <w:tcW w:w="0" w:type="auto"/>
            <w:tcBorders>
              <w:top w:val="single" w:sz="8" w:space="0" w:color="E87722"/>
            </w:tcBorders>
            <w:shd w:val="clear" w:color="auto" w:fill="auto"/>
            <w:tcMar>
              <w:top w:w="40" w:type="dxa"/>
              <w:left w:w="0" w:type="dxa"/>
              <w:bottom w:w="40" w:type="dxa"/>
              <w:right w:w="20" w:type="dxa"/>
            </w:tcMar>
            <w:vAlign w:val="bottom"/>
          </w:tcPr>
          <w:p w14:paraId="669C7722" w14:textId="77777777" w:rsidR="00066C63" w:rsidRDefault="00066C63">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7723" w14:textId="77777777" w:rsidR="00066C63" w:rsidRDefault="009656F6">
            <w:pPr>
              <w:jc w:val="right"/>
              <w:textAlignment w:val="bottom"/>
            </w:pP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7724" w14:textId="77777777" w:rsidR="00066C63" w:rsidRDefault="00066C63">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7725" w14:textId="77777777" w:rsidR="00066C63" w:rsidRDefault="00066C63">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669C7726" w14:textId="77777777" w:rsidR="00066C63" w:rsidRDefault="009656F6">
            <w:pPr>
              <w:jc w:val="right"/>
              <w:textAlignment w:val="bottom"/>
            </w:pPr>
            <w:r>
              <w:rPr>
                <w:rFonts w:ascii="Arial" w:eastAsia="宋体" w:hAnsi="Arial" w:cs="Arial"/>
                <w:color w:val="000000"/>
                <w:sz w:val="17"/>
                <w:szCs w:val="17"/>
              </w:rPr>
              <w:t>199 </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7727" w14:textId="77777777" w:rsidR="00066C63" w:rsidRDefault="00066C63">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7728" w14:textId="77777777" w:rsidR="00066C63" w:rsidRDefault="009656F6">
            <w:pPr>
              <w:jc w:val="right"/>
              <w:textAlignment w:val="bottom"/>
            </w:pPr>
            <w:r>
              <w:rPr>
                <w:rFonts w:ascii="Arial" w:eastAsia="宋体" w:hAnsi="Arial" w:cs="Arial"/>
                <w:color w:val="000000"/>
                <w:sz w:val="17"/>
                <w:szCs w:val="17"/>
              </w:rPr>
              <w:t>39 </w:t>
            </w:r>
          </w:p>
        </w:tc>
        <w:tc>
          <w:tcPr>
            <w:tcW w:w="0" w:type="auto"/>
            <w:tcBorders>
              <w:top w:val="single" w:sz="8" w:space="0" w:color="E87722"/>
            </w:tcBorders>
            <w:shd w:val="clear" w:color="auto" w:fill="auto"/>
            <w:tcMar>
              <w:top w:w="40" w:type="dxa"/>
              <w:left w:w="0" w:type="dxa"/>
              <w:bottom w:w="40" w:type="dxa"/>
              <w:right w:w="20" w:type="dxa"/>
            </w:tcMar>
            <w:vAlign w:val="bottom"/>
          </w:tcPr>
          <w:p w14:paraId="669C7729" w14:textId="77777777" w:rsidR="00066C63" w:rsidRDefault="00066C63">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772A" w14:textId="77777777" w:rsidR="00066C63" w:rsidRDefault="009656F6">
            <w:pPr>
              <w:jc w:val="right"/>
              <w:textAlignment w:val="bottom"/>
            </w:pP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772B" w14:textId="77777777" w:rsidR="00066C63" w:rsidRDefault="00066C63">
            <w:pPr>
              <w:jc w:val="right"/>
              <w:rPr>
                <w:rFonts w:ascii="宋体"/>
              </w:rPr>
            </w:pPr>
          </w:p>
        </w:tc>
      </w:tr>
      <w:tr w:rsidR="00066C63" w14:paraId="669C773F"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669C772D" w14:textId="77777777" w:rsidR="00066C63" w:rsidRDefault="009656F6">
            <w:pPr>
              <w:textAlignment w:val="bottom"/>
            </w:pPr>
            <w:r>
              <w:rPr>
                <w:rFonts w:ascii="Arial" w:eastAsia="宋体" w:hAnsi="Arial" w:cs="Arial"/>
                <w:b/>
                <w:bCs/>
                <w:color w:val="000000"/>
                <w:sz w:val="17"/>
                <w:szCs w:val="17"/>
              </w:rPr>
              <w:t>TOTAL NIKE, INC. INCOME BEFORE INCOME TAXES</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69C772E"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669C772F" w14:textId="77777777" w:rsidR="00066C63" w:rsidRDefault="009656F6">
            <w:pPr>
              <w:jc w:val="right"/>
              <w:textAlignment w:val="bottom"/>
            </w:pPr>
            <w:r>
              <w:rPr>
                <w:rFonts w:ascii="Arial" w:eastAsia="宋体" w:hAnsi="Arial" w:cs="Arial"/>
                <w:b/>
                <w:bCs/>
                <w:color w:val="000000"/>
                <w:sz w:val="17"/>
                <w:szCs w:val="17"/>
              </w:rPr>
              <w:t>1,636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69C7730" w14:textId="77777777" w:rsidR="00066C63" w:rsidRDefault="00066C63">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69C7731"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69C7732" w14:textId="77777777" w:rsidR="00066C63" w:rsidRDefault="009656F6">
            <w:pPr>
              <w:jc w:val="right"/>
              <w:textAlignment w:val="bottom"/>
            </w:pPr>
            <w:r>
              <w:rPr>
                <w:rFonts w:ascii="Arial" w:eastAsia="宋体" w:hAnsi="Arial" w:cs="Arial"/>
                <w:b/>
                <w:bCs/>
                <w:color w:val="000000"/>
                <w:sz w:val="17"/>
                <w:szCs w:val="17"/>
              </w:rPr>
              <w:t>881</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69C7733" w14:textId="77777777" w:rsidR="00066C63" w:rsidRDefault="00066C63">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669C7734" w14:textId="77777777" w:rsidR="00066C63" w:rsidRDefault="009656F6">
            <w:pPr>
              <w:jc w:val="right"/>
              <w:textAlignment w:val="bottom"/>
            </w:pPr>
            <w:r>
              <w:rPr>
                <w:rFonts w:ascii="Arial" w:eastAsia="宋体" w:hAnsi="Arial" w:cs="Arial"/>
                <w:b/>
                <w:bCs/>
                <w:color w:val="000000"/>
                <w:sz w:val="17"/>
                <w:szCs w:val="17"/>
              </w:rPr>
              <w:t>86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69C7735" w14:textId="77777777" w:rsidR="00066C63" w:rsidRDefault="009656F6">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tcPr>
          <w:p w14:paraId="669C7736" w14:textId="77777777" w:rsidR="00066C63" w:rsidRDefault="00066C63">
            <w:pPr>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69C7737"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669C7738" w14:textId="77777777" w:rsidR="00066C63" w:rsidRDefault="009656F6">
            <w:pPr>
              <w:jc w:val="right"/>
              <w:textAlignment w:val="bottom"/>
            </w:pPr>
            <w:r>
              <w:rPr>
                <w:rFonts w:ascii="Arial" w:eastAsia="宋体" w:hAnsi="Arial" w:cs="Arial"/>
                <w:b/>
                <w:bCs/>
                <w:color w:val="000000"/>
                <w:sz w:val="17"/>
                <w:szCs w:val="17"/>
              </w:rPr>
              <w:t>4,807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69C7739" w14:textId="77777777" w:rsidR="00066C63" w:rsidRDefault="00066C63">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69C773A"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69C773B" w14:textId="77777777" w:rsidR="00066C63" w:rsidRDefault="009656F6">
            <w:pPr>
              <w:jc w:val="right"/>
              <w:textAlignment w:val="bottom"/>
            </w:pPr>
            <w:r>
              <w:rPr>
                <w:rFonts w:ascii="Arial" w:eastAsia="宋体" w:hAnsi="Arial" w:cs="Arial"/>
                <w:b/>
                <w:bCs/>
                <w:color w:val="000000"/>
                <w:sz w:val="17"/>
                <w:szCs w:val="17"/>
              </w:rPr>
              <w:t>3,691</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69C773C" w14:textId="77777777" w:rsidR="00066C63" w:rsidRDefault="00066C63">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669C773D" w14:textId="77777777" w:rsidR="00066C63" w:rsidRDefault="009656F6">
            <w:pPr>
              <w:jc w:val="right"/>
              <w:textAlignment w:val="bottom"/>
            </w:pPr>
            <w:r>
              <w:rPr>
                <w:rFonts w:ascii="Arial" w:eastAsia="宋体" w:hAnsi="Arial" w:cs="Arial"/>
                <w:b/>
                <w:bCs/>
                <w:color w:val="000000"/>
                <w:sz w:val="17"/>
                <w:szCs w:val="17"/>
              </w:rPr>
              <w:t>30</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69C773E" w14:textId="77777777" w:rsidR="00066C63" w:rsidRDefault="009656F6">
            <w:pPr>
              <w:jc w:val="right"/>
              <w:textAlignment w:val="bottom"/>
            </w:pPr>
            <w:r>
              <w:rPr>
                <w:rFonts w:ascii="Arial" w:eastAsia="宋体" w:hAnsi="Arial" w:cs="Arial"/>
                <w:b/>
                <w:bCs/>
                <w:color w:val="000000"/>
                <w:sz w:val="17"/>
                <w:szCs w:val="17"/>
              </w:rPr>
              <w:t>%</w:t>
            </w:r>
          </w:p>
        </w:tc>
      </w:tr>
    </w:tbl>
    <w:p w14:paraId="669C7740" w14:textId="77777777" w:rsidR="00066C63" w:rsidRDefault="009656F6">
      <w:pPr>
        <w:spacing w:before="60" w:after="60"/>
        <w:ind w:hanging="360"/>
      </w:pPr>
      <w:r>
        <w:rPr>
          <w:rFonts w:ascii="Arial" w:eastAsia="宋体" w:hAnsi="Arial" w:cs="Arial"/>
          <w:i/>
          <w:iCs/>
          <w:color w:val="000000"/>
          <w:sz w:val="14"/>
          <w:szCs w:val="14"/>
        </w:rPr>
        <w:t>(1)    Total NIKE Brand EBIT and Total NIKE, Inc. EBIT represent non-GAAP financial measures. See "Use of</w:t>
      </w:r>
      <w:r>
        <w:rPr>
          <w:rFonts w:ascii="Arial" w:eastAsia="宋体" w:hAnsi="Arial" w:cs="Arial"/>
          <w:i/>
          <w:iCs/>
          <w:color w:val="000000"/>
          <w:sz w:val="14"/>
          <w:szCs w:val="14"/>
        </w:rPr>
        <w:t xml:space="preserve"> Non-GAAP Financial Measures" for further information.</w:t>
      </w:r>
    </w:p>
    <w:p w14:paraId="669C7741" w14:textId="77777777" w:rsidR="00066C63" w:rsidRDefault="009656F6">
      <w:pPr>
        <w:spacing w:before="60" w:after="60"/>
        <w:ind w:hanging="360"/>
      </w:pPr>
      <w:r>
        <w:rPr>
          <w:rFonts w:ascii="Arial" w:eastAsia="宋体" w:hAnsi="Arial" w:cs="Arial"/>
          <w:i/>
          <w:iCs/>
          <w:color w:val="000000"/>
          <w:sz w:val="14"/>
          <w:szCs w:val="14"/>
        </w:rPr>
        <w:t>(2)    The three and nine months ended February 29, 2020 includes a $400 million impairment charge associated with our planned, strategic distributor partnership transition within APLA. Refer to Note 1</w:t>
      </w:r>
      <w:r>
        <w:rPr>
          <w:rFonts w:ascii="Arial" w:eastAsia="宋体" w:hAnsi="Arial" w:cs="Arial"/>
          <w:i/>
          <w:iCs/>
          <w:color w:val="000000"/>
          <w:sz w:val="14"/>
          <w:szCs w:val="14"/>
        </w:rPr>
        <w:t>3 — Acquisitions and Divestitures within the accompanying Notes to the Unaudited Condensed Consolidated Financial Statements for additional information.</w:t>
      </w:r>
    </w:p>
    <w:p w14:paraId="669C7742" w14:textId="77777777" w:rsidR="00066C63" w:rsidRDefault="009656F6">
      <w:pPr>
        <w:spacing w:before="240" w:after="120"/>
      </w:pPr>
      <w:r>
        <w:rPr>
          <w:rFonts w:ascii="sans-serif" w:eastAsia="sans-serif" w:hAnsi="sans-serif" w:cs="sans-serif"/>
          <w:b/>
          <w:bCs/>
          <w:color w:val="000000"/>
          <w:sz w:val="28"/>
          <w:szCs w:val="28"/>
        </w:rPr>
        <w:t>NORTH AMERICA</w:t>
      </w:r>
    </w:p>
    <w:tbl>
      <w:tblPr>
        <w:tblW w:w="5000" w:type="pct"/>
        <w:tblCellMar>
          <w:top w:w="15" w:type="dxa"/>
          <w:left w:w="15" w:type="dxa"/>
          <w:bottom w:w="15" w:type="dxa"/>
          <w:right w:w="15" w:type="dxa"/>
        </w:tblCellMar>
        <w:tblLook w:val="04A0" w:firstRow="1" w:lastRow="0" w:firstColumn="1" w:lastColumn="0" w:noHBand="0" w:noVBand="1"/>
      </w:tblPr>
      <w:tblGrid>
        <w:gridCol w:w="49"/>
        <w:gridCol w:w="1149"/>
        <w:gridCol w:w="36"/>
        <w:gridCol w:w="115"/>
        <w:gridCol w:w="693"/>
        <w:gridCol w:w="36"/>
        <w:gridCol w:w="115"/>
        <w:gridCol w:w="693"/>
        <w:gridCol w:w="36"/>
        <w:gridCol w:w="85"/>
        <w:gridCol w:w="542"/>
        <w:gridCol w:w="170"/>
        <w:gridCol w:w="98"/>
        <w:gridCol w:w="744"/>
        <w:gridCol w:w="170"/>
        <w:gridCol w:w="36"/>
        <w:gridCol w:w="36"/>
        <w:gridCol w:w="36"/>
        <w:gridCol w:w="115"/>
        <w:gridCol w:w="693"/>
        <w:gridCol w:w="36"/>
        <w:gridCol w:w="115"/>
        <w:gridCol w:w="693"/>
        <w:gridCol w:w="36"/>
        <w:gridCol w:w="85"/>
        <w:gridCol w:w="542"/>
        <w:gridCol w:w="170"/>
        <w:gridCol w:w="98"/>
        <w:gridCol w:w="744"/>
        <w:gridCol w:w="170"/>
      </w:tblGrid>
      <w:tr w:rsidR="00066C63" w14:paraId="669C7761" w14:textId="77777777">
        <w:tc>
          <w:tcPr>
            <w:tcW w:w="50" w:type="pct"/>
            <w:shd w:val="clear" w:color="auto" w:fill="auto"/>
          </w:tcPr>
          <w:p w14:paraId="669C7743" w14:textId="77777777" w:rsidR="00066C63" w:rsidRDefault="00066C63">
            <w:pPr>
              <w:rPr>
                <w:rFonts w:ascii="宋体"/>
              </w:rPr>
            </w:pPr>
          </w:p>
        </w:tc>
        <w:tc>
          <w:tcPr>
            <w:tcW w:w="1264" w:type="pct"/>
            <w:shd w:val="clear" w:color="auto" w:fill="auto"/>
          </w:tcPr>
          <w:p w14:paraId="669C7744" w14:textId="77777777" w:rsidR="00066C63" w:rsidRDefault="00066C63">
            <w:pPr>
              <w:rPr>
                <w:rFonts w:ascii="宋体"/>
              </w:rPr>
            </w:pPr>
          </w:p>
        </w:tc>
        <w:tc>
          <w:tcPr>
            <w:tcW w:w="5" w:type="pct"/>
            <w:shd w:val="clear" w:color="auto" w:fill="auto"/>
          </w:tcPr>
          <w:p w14:paraId="669C7745" w14:textId="77777777" w:rsidR="00066C63" w:rsidRDefault="00066C63">
            <w:pPr>
              <w:rPr>
                <w:rFonts w:ascii="宋体"/>
              </w:rPr>
            </w:pPr>
          </w:p>
        </w:tc>
        <w:tc>
          <w:tcPr>
            <w:tcW w:w="50" w:type="pct"/>
            <w:shd w:val="clear" w:color="auto" w:fill="auto"/>
          </w:tcPr>
          <w:p w14:paraId="669C7746" w14:textId="77777777" w:rsidR="00066C63" w:rsidRDefault="00066C63">
            <w:pPr>
              <w:rPr>
                <w:rFonts w:ascii="宋体"/>
              </w:rPr>
            </w:pPr>
          </w:p>
        </w:tc>
        <w:tc>
          <w:tcPr>
            <w:tcW w:w="446" w:type="pct"/>
            <w:shd w:val="clear" w:color="auto" w:fill="auto"/>
          </w:tcPr>
          <w:p w14:paraId="669C7747" w14:textId="77777777" w:rsidR="00066C63" w:rsidRDefault="00066C63">
            <w:pPr>
              <w:rPr>
                <w:rFonts w:ascii="宋体"/>
              </w:rPr>
            </w:pPr>
          </w:p>
        </w:tc>
        <w:tc>
          <w:tcPr>
            <w:tcW w:w="5" w:type="pct"/>
            <w:shd w:val="clear" w:color="auto" w:fill="auto"/>
          </w:tcPr>
          <w:p w14:paraId="669C7748" w14:textId="77777777" w:rsidR="00066C63" w:rsidRDefault="00066C63">
            <w:pPr>
              <w:rPr>
                <w:rFonts w:ascii="宋体"/>
              </w:rPr>
            </w:pPr>
          </w:p>
        </w:tc>
        <w:tc>
          <w:tcPr>
            <w:tcW w:w="50" w:type="pct"/>
            <w:shd w:val="clear" w:color="auto" w:fill="auto"/>
          </w:tcPr>
          <w:p w14:paraId="669C7749" w14:textId="77777777" w:rsidR="00066C63" w:rsidRDefault="00066C63">
            <w:pPr>
              <w:rPr>
                <w:rFonts w:ascii="宋体"/>
              </w:rPr>
            </w:pPr>
          </w:p>
        </w:tc>
        <w:tc>
          <w:tcPr>
            <w:tcW w:w="446" w:type="pct"/>
            <w:shd w:val="clear" w:color="auto" w:fill="auto"/>
          </w:tcPr>
          <w:p w14:paraId="669C774A" w14:textId="77777777" w:rsidR="00066C63" w:rsidRDefault="00066C63">
            <w:pPr>
              <w:rPr>
                <w:rFonts w:ascii="宋体"/>
              </w:rPr>
            </w:pPr>
          </w:p>
        </w:tc>
        <w:tc>
          <w:tcPr>
            <w:tcW w:w="5" w:type="pct"/>
            <w:shd w:val="clear" w:color="auto" w:fill="auto"/>
          </w:tcPr>
          <w:p w14:paraId="669C774B" w14:textId="77777777" w:rsidR="00066C63" w:rsidRDefault="00066C63">
            <w:pPr>
              <w:rPr>
                <w:rFonts w:ascii="宋体"/>
              </w:rPr>
            </w:pPr>
          </w:p>
        </w:tc>
        <w:tc>
          <w:tcPr>
            <w:tcW w:w="50" w:type="pct"/>
            <w:shd w:val="clear" w:color="auto" w:fill="auto"/>
          </w:tcPr>
          <w:p w14:paraId="669C774C" w14:textId="77777777" w:rsidR="00066C63" w:rsidRDefault="00066C63">
            <w:pPr>
              <w:rPr>
                <w:rFonts w:ascii="宋体"/>
              </w:rPr>
            </w:pPr>
          </w:p>
        </w:tc>
        <w:tc>
          <w:tcPr>
            <w:tcW w:w="323" w:type="pct"/>
            <w:shd w:val="clear" w:color="auto" w:fill="auto"/>
          </w:tcPr>
          <w:p w14:paraId="669C774D" w14:textId="77777777" w:rsidR="00066C63" w:rsidRDefault="00066C63">
            <w:pPr>
              <w:rPr>
                <w:rFonts w:ascii="宋体"/>
              </w:rPr>
            </w:pPr>
          </w:p>
        </w:tc>
        <w:tc>
          <w:tcPr>
            <w:tcW w:w="5" w:type="pct"/>
            <w:shd w:val="clear" w:color="auto" w:fill="auto"/>
          </w:tcPr>
          <w:p w14:paraId="669C774E" w14:textId="77777777" w:rsidR="00066C63" w:rsidRDefault="00066C63">
            <w:pPr>
              <w:rPr>
                <w:rFonts w:ascii="宋体"/>
              </w:rPr>
            </w:pPr>
          </w:p>
        </w:tc>
        <w:tc>
          <w:tcPr>
            <w:tcW w:w="50" w:type="pct"/>
            <w:shd w:val="clear" w:color="auto" w:fill="auto"/>
          </w:tcPr>
          <w:p w14:paraId="669C774F" w14:textId="77777777" w:rsidR="00066C63" w:rsidRDefault="00066C63">
            <w:pPr>
              <w:rPr>
                <w:rFonts w:ascii="宋体"/>
              </w:rPr>
            </w:pPr>
          </w:p>
        </w:tc>
        <w:tc>
          <w:tcPr>
            <w:tcW w:w="384" w:type="pct"/>
            <w:shd w:val="clear" w:color="auto" w:fill="auto"/>
          </w:tcPr>
          <w:p w14:paraId="669C7750" w14:textId="77777777" w:rsidR="00066C63" w:rsidRDefault="00066C63">
            <w:pPr>
              <w:rPr>
                <w:rFonts w:ascii="宋体"/>
              </w:rPr>
            </w:pPr>
          </w:p>
        </w:tc>
        <w:tc>
          <w:tcPr>
            <w:tcW w:w="5" w:type="pct"/>
            <w:shd w:val="clear" w:color="auto" w:fill="auto"/>
          </w:tcPr>
          <w:p w14:paraId="669C7751" w14:textId="77777777" w:rsidR="00066C63" w:rsidRDefault="00066C63">
            <w:pPr>
              <w:rPr>
                <w:rFonts w:ascii="宋体"/>
              </w:rPr>
            </w:pPr>
          </w:p>
        </w:tc>
        <w:tc>
          <w:tcPr>
            <w:tcW w:w="5" w:type="pct"/>
            <w:shd w:val="clear" w:color="auto" w:fill="auto"/>
          </w:tcPr>
          <w:p w14:paraId="669C7752" w14:textId="77777777" w:rsidR="00066C63" w:rsidRDefault="00066C63">
            <w:pPr>
              <w:rPr>
                <w:rFonts w:ascii="宋体"/>
              </w:rPr>
            </w:pPr>
          </w:p>
        </w:tc>
        <w:tc>
          <w:tcPr>
            <w:tcW w:w="28" w:type="pct"/>
            <w:shd w:val="clear" w:color="auto" w:fill="auto"/>
          </w:tcPr>
          <w:p w14:paraId="669C7753" w14:textId="77777777" w:rsidR="00066C63" w:rsidRDefault="00066C63">
            <w:pPr>
              <w:rPr>
                <w:rFonts w:ascii="宋体"/>
              </w:rPr>
            </w:pPr>
          </w:p>
        </w:tc>
        <w:tc>
          <w:tcPr>
            <w:tcW w:w="5" w:type="pct"/>
            <w:shd w:val="clear" w:color="auto" w:fill="auto"/>
          </w:tcPr>
          <w:p w14:paraId="669C7754" w14:textId="77777777" w:rsidR="00066C63" w:rsidRDefault="00066C63">
            <w:pPr>
              <w:rPr>
                <w:rFonts w:ascii="宋体"/>
              </w:rPr>
            </w:pPr>
          </w:p>
        </w:tc>
        <w:tc>
          <w:tcPr>
            <w:tcW w:w="50" w:type="pct"/>
            <w:shd w:val="clear" w:color="auto" w:fill="auto"/>
          </w:tcPr>
          <w:p w14:paraId="669C7755" w14:textId="77777777" w:rsidR="00066C63" w:rsidRDefault="00066C63">
            <w:pPr>
              <w:rPr>
                <w:rFonts w:ascii="宋体"/>
              </w:rPr>
            </w:pPr>
          </w:p>
        </w:tc>
        <w:tc>
          <w:tcPr>
            <w:tcW w:w="446" w:type="pct"/>
            <w:shd w:val="clear" w:color="auto" w:fill="auto"/>
          </w:tcPr>
          <w:p w14:paraId="669C7756" w14:textId="77777777" w:rsidR="00066C63" w:rsidRDefault="00066C63">
            <w:pPr>
              <w:rPr>
                <w:rFonts w:ascii="宋体"/>
              </w:rPr>
            </w:pPr>
          </w:p>
        </w:tc>
        <w:tc>
          <w:tcPr>
            <w:tcW w:w="5" w:type="pct"/>
            <w:shd w:val="clear" w:color="auto" w:fill="auto"/>
          </w:tcPr>
          <w:p w14:paraId="669C7757" w14:textId="77777777" w:rsidR="00066C63" w:rsidRDefault="00066C63">
            <w:pPr>
              <w:rPr>
                <w:rFonts w:ascii="宋体"/>
              </w:rPr>
            </w:pPr>
          </w:p>
        </w:tc>
        <w:tc>
          <w:tcPr>
            <w:tcW w:w="50" w:type="pct"/>
            <w:shd w:val="clear" w:color="auto" w:fill="auto"/>
          </w:tcPr>
          <w:p w14:paraId="669C7758" w14:textId="77777777" w:rsidR="00066C63" w:rsidRDefault="00066C63">
            <w:pPr>
              <w:rPr>
                <w:rFonts w:ascii="宋体"/>
              </w:rPr>
            </w:pPr>
          </w:p>
        </w:tc>
        <w:tc>
          <w:tcPr>
            <w:tcW w:w="446" w:type="pct"/>
            <w:shd w:val="clear" w:color="auto" w:fill="auto"/>
          </w:tcPr>
          <w:p w14:paraId="669C7759" w14:textId="77777777" w:rsidR="00066C63" w:rsidRDefault="00066C63">
            <w:pPr>
              <w:rPr>
                <w:rFonts w:ascii="宋体"/>
              </w:rPr>
            </w:pPr>
          </w:p>
        </w:tc>
        <w:tc>
          <w:tcPr>
            <w:tcW w:w="5" w:type="pct"/>
            <w:shd w:val="clear" w:color="auto" w:fill="auto"/>
          </w:tcPr>
          <w:p w14:paraId="669C775A" w14:textId="77777777" w:rsidR="00066C63" w:rsidRDefault="00066C63">
            <w:pPr>
              <w:rPr>
                <w:rFonts w:ascii="宋体"/>
              </w:rPr>
            </w:pPr>
          </w:p>
        </w:tc>
        <w:tc>
          <w:tcPr>
            <w:tcW w:w="50" w:type="pct"/>
            <w:shd w:val="clear" w:color="auto" w:fill="auto"/>
          </w:tcPr>
          <w:p w14:paraId="669C775B" w14:textId="77777777" w:rsidR="00066C63" w:rsidRDefault="00066C63">
            <w:pPr>
              <w:rPr>
                <w:rFonts w:ascii="宋体"/>
              </w:rPr>
            </w:pPr>
          </w:p>
        </w:tc>
        <w:tc>
          <w:tcPr>
            <w:tcW w:w="323" w:type="pct"/>
            <w:shd w:val="clear" w:color="auto" w:fill="auto"/>
          </w:tcPr>
          <w:p w14:paraId="669C775C" w14:textId="77777777" w:rsidR="00066C63" w:rsidRDefault="00066C63">
            <w:pPr>
              <w:rPr>
                <w:rFonts w:ascii="宋体"/>
              </w:rPr>
            </w:pPr>
          </w:p>
        </w:tc>
        <w:tc>
          <w:tcPr>
            <w:tcW w:w="5" w:type="pct"/>
            <w:shd w:val="clear" w:color="auto" w:fill="auto"/>
          </w:tcPr>
          <w:p w14:paraId="669C775D" w14:textId="77777777" w:rsidR="00066C63" w:rsidRDefault="00066C63">
            <w:pPr>
              <w:rPr>
                <w:rFonts w:ascii="宋体"/>
              </w:rPr>
            </w:pPr>
          </w:p>
        </w:tc>
        <w:tc>
          <w:tcPr>
            <w:tcW w:w="50" w:type="pct"/>
            <w:shd w:val="clear" w:color="auto" w:fill="auto"/>
          </w:tcPr>
          <w:p w14:paraId="669C775E" w14:textId="77777777" w:rsidR="00066C63" w:rsidRDefault="00066C63">
            <w:pPr>
              <w:rPr>
                <w:rFonts w:ascii="宋体"/>
              </w:rPr>
            </w:pPr>
          </w:p>
        </w:tc>
        <w:tc>
          <w:tcPr>
            <w:tcW w:w="385" w:type="pct"/>
            <w:shd w:val="clear" w:color="auto" w:fill="auto"/>
          </w:tcPr>
          <w:p w14:paraId="669C775F" w14:textId="77777777" w:rsidR="00066C63" w:rsidRDefault="00066C63">
            <w:pPr>
              <w:rPr>
                <w:rFonts w:ascii="宋体"/>
              </w:rPr>
            </w:pPr>
          </w:p>
        </w:tc>
        <w:tc>
          <w:tcPr>
            <w:tcW w:w="5" w:type="pct"/>
            <w:shd w:val="clear" w:color="auto" w:fill="auto"/>
          </w:tcPr>
          <w:p w14:paraId="669C7760" w14:textId="77777777" w:rsidR="00066C63" w:rsidRDefault="00066C63">
            <w:pPr>
              <w:rPr>
                <w:rFonts w:ascii="宋体"/>
              </w:rPr>
            </w:pPr>
          </w:p>
        </w:tc>
      </w:tr>
      <w:tr w:rsidR="00066C63" w14:paraId="669C7766" w14:textId="77777777">
        <w:tc>
          <w:tcPr>
            <w:tcW w:w="0" w:type="auto"/>
            <w:gridSpan w:val="3"/>
            <w:shd w:val="clear" w:color="auto" w:fill="auto"/>
            <w:tcMar>
              <w:top w:w="0" w:type="dxa"/>
              <w:left w:w="20" w:type="dxa"/>
              <w:bottom w:w="0" w:type="dxa"/>
              <w:right w:w="20" w:type="dxa"/>
            </w:tcMar>
          </w:tcPr>
          <w:p w14:paraId="669C7762" w14:textId="77777777" w:rsidR="00066C63" w:rsidRDefault="00066C63">
            <w:pPr>
              <w:rPr>
                <w:rFonts w:ascii="宋体"/>
              </w:rPr>
            </w:pPr>
          </w:p>
        </w:tc>
        <w:tc>
          <w:tcPr>
            <w:tcW w:w="0" w:type="auto"/>
            <w:gridSpan w:val="12"/>
            <w:shd w:val="clear" w:color="auto" w:fill="auto"/>
            <w:tcMar>
              <w:top w:w="40" w:type="dxa"/>
              <w:left w:w="20" w:type="dxa"/>
              <w:bottom w:w="40" w:type="dxa"/>
              <w:right w:w="20" w:type="dxa"/>
            </w:tcMar>
            <w:vAlign w:val="bottom"/>
          </w:tcPr>
          <w:p w14:paraId="669C7763" w14:textId="77777777" w:rsidR="00066C63" w:rsidRDefault="009656F6">
            <w:pPr>
              <w:jc w:val="center"/>
              <w:textAlignment w:val="bottom"/>
            </w:pPr>
            <w:r>
              <w:rPr>
                <w:rFonts w:ascii="sans-serif" w:eastAsia="sans-serif" w:hAnsi="sans-serif" w:cs="sans-serif"/>
                <w:b/>
                <w:bCs/>
                <w:color w:val="000000"/>
                <w:sz w:val="17"/>
                <w:szCs w:val="17"/>
              </w:rPr>
              <w:t xml:space="preserve">THREE MONTHS ENDED </w:t>
            </w:r>
          </w:p>
        </w:tc>
        <w:tc>
          <w:tcPr>
            <w:tcW w:w="0" w:type="auto"/>
            <w:gridSpan w:val="3"/>
            <w:shd w:val="clear" w:color="auto" w:fill="auto"/>
            <w:tcMar>
              <w:top w:w="0" w:type="dxa"/>
              <w:left w:w="20" w:type="dxa"/>
              <w:bottom w:w="0" w:type="dxa"/>
              <w:right w:w="20" w:type="dxa"/>
            </w:tcMar>
          </w:tcPr>
          <w:p w14:paraId="669C7764" w14:textId="77777777" w:rsidR="00066C63" w:rsidRDefault="00066C63">
            <w:pPr>
              <w:rPr>
                <w:rFonts w:ascii="宋体"/>
              </w:rPr>
            </w:pPr>
          </w:p>
        </w:tc>
        <w:tc>
          <w:tcPr>
            <w:tcW w:w="0" w:type="auto"/>
            <w:gridSpan w:val="12"/>
            <w:shd w:val="clear" w:color="auto" w:fill="auto"/>
            <w:tcMar>
              <w:top w:w="40" w:type="dxa"/>
              <w:left w:w="20" w:type="dxa"/>
              <w:bottom w:w="40" w:type="dxa"/>
              <w:right w:w="20" w:type="dxa"/>
            </w:tcMar>
            <w:vAlign w:val="bottom"/>
          </w:tcPr>
          <w:p w14:paraId="669C7765" w14:textId="77777777" w:rsidR="00066C63" w:rsidRDefault="009656F6">
            <w:pPr>
              <w:jc w:val="center"/>
              <w:textAlignment w:val="bottom"/>
            </w:pPr>
            <w:r>
              <w:rPr>
                <w:rFonts w:ascii="sans-serif" w:eastAsia="sans-serif" w:hAnsi="sans-serif" w:cs="sans-serif"/>
                <w:b/>
                <w:bCs/>
                <w:color w:val="000000"/>
                <w:sz w:val="17"/>
                <w:szCs w:val="17"/>
              </w:rPr>
              <w:t xml:space="preserve">NINE MONTHS ENDED </w:t>
            </w:r>
          </w:p>
        </w:tc>
      </w:tr>
      <w:tr w:rsidR="00066C63" w14:paraId="669C7771" w14:textId="77777777">
        <w:tc>
          <w:tcPr>
            <w:tcW w:w="0" w:type="auto"/>
            <w:gridSpan w:val="3"/>
            <w:shd w:val="clear" w:color="auto" w:fill="auto"/>
            <w:tcMar>
              <w:top w:w="40" w:type="dxa"/>
              <w:left w:w="20" w:type="dxa"/>
              <w:bottom w:w="40" w:type="dxa"/>
              <w:right w:w="20" w:type="dxa"/>
            </w:tcMar>
            <w:vAlign w:val="bottom"/>
          </w:tcPr>
          <w:p w14:paraId="669C7767" w14:textId="77777777" w:rsidR="00066C63" w:rsidRDefault="009656F6">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768" w14:textId="77777777" w:rsidR="00066C63" w:rsidRDefault="009656F6">
            <w:pPr>
              <w:jc w:val="center"/>
              <w:textAlignment w:val="bottom"/>
            </w:pPr>
            <w:r>
              <w:rPr>
                <w:rFonts w:ascii="sans-serif" w:eastAsia="sans-serif" w:hAnsi="sans-serif" w:cs="sans-serif"/>
                <w:b/>
                <w:bCs/>
                <w:color w:val="000000"/>
                <w:sz w:val="17"/>
                <w:szCs w:val="17"/>
              </w:rPr>
              <w:t>FEBRUARY 28, 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769" w14:textId="77777777" w:rsidR="00066C63" w:rsidRDefault="009656F6">
            <w:pPr>
              <w:jc w:val="center"/>
              <w:textAlignment w:val="bottom"/>
            </w:pPr>
            <w:r>
              <w:rPr>
                <w:rFonts w:ascii="sans-serif" w:eastAsia="sans-serif" w:hAnsi="sans-serif" w:cs="sans-serif"/>
                <w:b/>
                <w:bCs/>
                <w:color w:val="000000"/>
                <w:sz w:val="17"/>
                <w:szCs w:val="17"/>
              </w:rPr>
              <w:t>FEBRUARY 29, 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76A" w14:textId="77777777" w:rsidR="00066C63" w:rsidRDefault="009656F6">
            <w:pPr>
              <w:jc w:val="right"/>
              <w:textAlignment w:val="bottom"/>
            </w:pPr>
            <w:r>
              <w:rPr>
                <w:rFonts w:ascii="sans-serif" w:eastAsia="sans-serif" w:hAnsi="sans-serif" w:cs="sans-serif"/>
                <w:b/>
                <w:bCs/>
                <w:color w:val="000000"/>
                <w:sz w:val="17"/>
                <w:szCs w:val="17"/>
              </w:rPr>
              <w:t>% CHANGE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76B" w14:textId="77777777" w:rsidR="00066C63" w:rsidRDefault="009656F6">
            <w:pPr>
              <w:jc w:val="right"/>
              <w:textAlignment w:val="bottom"/>
            </w:pPr>
            <w:r>
              <w:rPr>
                <w:rFonts w:ascii="sans-serif" w:eastAsia="sans-serif" w:hAnsi="sans-serif" w:cs="sans-serif"/>
                <w:b/>
                <w:bCs/>
                <w:color w:val="000000"/>
                <w:sz w:val="17"/>
                <w:szCs w:val="17"/>
              </w:rPr>
              <w:t xml:space="preserve">% CHANGE </w:t>
            </w:r>
            <w:r>
              <w:rPr>
                <w:rFonts w:ascii="sans-serif" w:eastAsia="sans-serif" w:hAnsi="sans-serif" w:cs="sans-serif"/>
                <w:b/>
                <w:bCs/>
                <w:color w:val="000000"/>
                <w:sz w:val="17"/>
                <w:szCs w:val="17"/>
              </w:rPr>
              <w:t>EXCLUDING CURRENCY CHANGES</w:t>
            </w:r>
          </w:p>
        </w:tc>
        <w:tc>
          <w:tcPr>
            <w:tcW w:w="0" w:type="auto"/>
            <w:gridSpan w:val="3"/>
            <w:shd w:val="clear" w:color="auto" w:fill="auto"/>
            <w:tcMar>
              <w:top w:w="0" w:type="dxa"/>
              <w:left w:w="20" w:type="dxa"/>
              <w:bottom w:w="0" w:type="dxa"/>
              <w:right w:w="20" w:type="dxa"/>
            </w:tcMar>
          </w:tcPr>
          <w:p w14:paraId="669C776C" w14:textId="77777777" w:rsidR="00066C63" w:rsidRDefault="00066C63">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76D" w14:textId="77777777" w:rsidR="00066C63" w:rsidRDefault="009656F6">
            <w:pPr>
              <w:jc w:val="center"/>
              <w:textAlignment w:val="bottom"/>
            </w:pPr>
            <w:r>
              <w:rPr>
                <w:rFonts w:ascii="sans-serif" w:eastAsia="sans-serif" w:hAnsi="sans-serif" w:cs="sans-serif"/>
                <w:b/>
                <w:bCs/>
                <w:color w:val="000000"/>
                <w:sz w:val="17"/>
                <w:szCs w:val="17"/>
              </w:rPr>
              <w:t>FEBRUARY 28, 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76E" w14:textId="77777777" w:rsidR="00066C63" w:rsidRDefault="009656F6">
            <w:pPr>
              <w:jc w:val="center"/>
              <w:textAlignment w:val="bottom"/>
            </w:pPr>
            <w:r>
              <w:rPr>
                <w:rFonts w:ascii="sans-serif" w:eastAsia="sans-serif" w:hAnsi="sans-serif" w:cs="sans-serif"/>
                <w:b/>
                <w:bCs/>
                <w:color w:val="000000"/>
                <w:sz w:val="17"/>
                <w:szCs w:val="17"/>
              </w:rPr>
              <w:t>FEBRUARY 29, 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76F" w14:textId="77777777" w:rsidR="00066C63" w:rsidRDefault="009656F6">
            <w:pPr>
              <w:jc w:val="right"/>
              <w:textAlignment w:val="bottom"/>
            </w:pPr>
            <w:r>
              <w:rPr>
                <w:rFonts w:ascii="sans-serif" w:eastAsia="sans-serif" w:hAnsi="sans-serif" w:cs="sans-serif"/>
                <w:b/>
                <w:bCs/>
                <w:color w:val="000000"/>
                <w:sz w:val="17"/>
                <w:szCs w:val="17"/>
              </w:rPr>
              <w:t>% CHANGE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770" w14:textId="77777777" w:rsidR="00066C63" w:rsidRDefault="009656F6">
            <w:pPr>
              <w:jc w:val="right"/>
              <w:textAlignment w:val="bottom"/>
            </w:pPr>
            <w:r>
              <w:rPr>
                <w:rFonts w:ascii="sans-serif" w:eastAsia="sans-serif" w:hAnsi="sans-serif" w:cs="sans-serif"/>
                <w:b/>
                <w:bCs/>
                <w:color w:val="000000"/>
                <w:sz w:val="17"/>
                <w:szCs w:val="17"/>
              </w:rPr>
              <w:t>% CHANGE EXCLUDING CURRENCY CHANGES</w:t>
            </w:r>
          </w:p>
        </w:tc>
      </w:tr>
      <w:tr w:rsidR="00066C63" w14:paraId="669C777C"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772" w14:textId="77777777" w:rsidR="00066C63" w:rsidRDefault="009656F6">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FFF1E7"/>
            <w:tcMar>
              <w:top w:w="0" w:type="dxa"/>
              <w:left w:w="20" w:type="dxa"/>
              <w:bottom w:w="0" w:type="dxa"/>
              <w:right w:w="20" w:type="dxa"/>
            </w:tcMar>
          </w:tcPr>
          <w:p w14:paraId="669C7773"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7774"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7775"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7776"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7777" w14:textId="77777777" w:rsidR="00066C63" w:rsidRDefault="00066C63">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669C7778"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7779"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777A"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777B" w14:textId="77777777" w:rsidR="00066C63" w:rsidRDefault="00066C63">
            <w:pPr>
              <w:rPr>
                <w:rFonts w:ascii="宋体"/>
              </w:rPr>
            </w:pPr>
          </w:p>
        </w:tc>
      </w:tr>
      <w:tr w:rsidR="00066C63" w14:paraId="669C7793"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777D" w14:textId="77777777" w:rsidR="00066C63" w:rsidRDefault="009656F6">
            <w:pPr>
              <w:textAlignment w:val="bottom"/>
            </w:pPr>
            <w:r>
              <w:rPr>
                <w:rFonts w:ascii="Arial" w:eastAsia="宋体" w:hAnsi="Arial" w:cs="Arial"/>
                <w:color w:val="000000"/>
                <w:sz w:val="17"/>
                <w:szCs w:val="17"/>
              </w:rPr>
              <w:t>Footwear</w:t>
            </w:r>
          </w:p>
        </w:tc>
        <w:tc>
          <w:tcPr>
            <w:tcW w:w="0" w:type="auto"/>
            <w:tcBorders>
              <w:top w:val="single" w:sz="8" w:space="0" w:color="808080"/>
            </w:tcBorders>
            <w:shd w:val="clear" w:color="auto" w:fill="FFF1E7"/>
            <w:tcMar>
              <w:top w:w="40" w:type="dxa"/>
              <w:left w:w="20" w:type="dxa"/>
              <w:bottom w:w="40" w:type="dxa"/>
              <w:right w:w="0" w:type="dxa"/>
            </w:tcMar>
            <w:vAlign w:val="bottom"/>
          </w:tcPr>
          <w:p w14:paraId="669C777E"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669C777F" w14:textId="77777777" w:rsidR="00066C63" w:rsidRDefault="009656F6">
            <w:pPr>
              <w:jc w:val="right"/>
              <w:textAlignment w:val="bottom"/>
            </w:pPr>
            <w:r>
              <w:rPr>
                <w:rFonts w:ascii="Arial" w:eastAsia="宋体" w:hAnsi="Arial" w:cs="Arial"/>
                <w:color w:val="000000"/>
                <w:sz w:val="17"/>
                <w:szCs w:val="17"/>
              </w:rPr>
              <w:t>2,382 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7780" w14:textId="77777777" w:rsidR="00066C63" w:rsidRDefault="00066C63">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669C7781"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669C7782" w14:textId="77777777" w:rsidR="00066C63" w:rsidRDefault="009656F6">
            <w:pPr>
              <w:jc w:val="right"/>
              <w:textAlignment w:val="bottom"/>
            </w:pPr>
            <w:r>
              <w:rPr>
                <w:rFonts w:ascii="Arial" w:eastAsia="宋体" w:hAnsi="Arial" w:cs="Arial"/>
                <w:color w:val="000000"/>
                <w:sz w:val="17"/>
                <w:szCs w:val="17"/>
              </w:rPr>
              <w:t>2,628 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783"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784" w14:textId="77777777" w:rsidR="00066C63" w:rsidRDefault="009656F6">
            <w:pPr>
              <w:jc w:val="right"/>
              <w:textAlignment w:val="bottom"/>
            </w:pPr>
            <w:r>
              <w:rPr>
                <w:rFonts w:ascii="Arial" w:eastAsia="宋体" w:hAnsi="Arial" w:cs="Arial"/>
                <w:color w:val="000000"/>
                <w:sz w:val="17"/>
                <w:szCs w:val="17"/>
              </w:rPr>
              <w:t>-9 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785" w14:textId="77777777" w:rsidR="00066C63" w:rsidRDefault="009656F6">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786" w14:textId="77777777" w:rsidR="00066C63" w:rsidRDefault="009656F6">
            <w:pPr>
              <w:jc w:val="right"/>
              <w:textAlignment w:val="bottom"/>
            </w:pPr>
            <w:r>
              <w:rPr>
                <w:rFonts w:ascii="Arial" w:eastAsia="宋体" w:hAnsi="Arial" w:cs="Arial"/>
                <w:color w:val="000000"/>
                <w:sz w:val="17"/>
                <w:szCs w:val="17"/>
              </w:rPr>
              <w:t>-9 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787" w14:textId="77777777" w:rsidR="00066C63" w:rsidRDefault="009656F6">
            <w:pPr>
              <w:jc w:val="right"/>
              <w:textAlignment w:val="bottom"/>
            </w:pPr>
            <w:r>
              <w:rPr>
                <w:rFonts w:ascii="Arial" w:eastAsia="宋体" w:hAnsi="Arial" w:cs="Arial"/>
                <w:color w:val="000000"/>
                <w:sz w:val="17"/>
                <w:szCs w:val="17"/>
              </w:rPr>
              <w:t>%</w:t>
            </w:r>
          </w:p>
        </w:tc>
        <w:tc>
          <w:tcPr>
            <w:tcW w:w="0" w:type="auto"/>
            <w:gridSpan w:val="3"/>
            <w:tcBorders>
              <w:top w:val="single" w:sz="8" w:space="0" w:color="808080"/>
            </w:tcBorders>
            <w:shd w:val="clear" w:color="auto" w:fill="auto"/>
            <w:tcMar>
              <w:top w:w="0" w:type="dxa"/>
              <w:left w:w="20" w:type="dxa"/>
              <w:bottom w:w="0" w:type="dxa"/>
              <w:right w:w="20" w:type="dxa"/>
            </w:tcMar>
          </w:tcPr>
          <w:p w14:paraId="669C7788" w14:textId="77777777" w:rsidR="00066C63" w:rsidRDefault="00066C63">
            <w:pPr>
              <w:rPr>
                <w:rFonts w:ascii="宋体"/>
              </w:rPr>
            </w:pPr>
          </w:p>
        </w:tc>
        <w:tc>
          <w:tcPr>
            <w:tcW w:w="0" w:type="auto"/>
            <w:tcBorders>
              <w:top w:val="single" w:sz="8" w:space="0" w:color="808080"/>
            </w:tcBorders>
            <w:shd w:val="clear" w:color="auto" w:fill="FFF1E7"/>
            <w:tcMar>
              <w:top w:w="40" w:type="dxa"/>
              <w:left w:w="20" w:type="dxa"/>
              <w:bottom w:w="40" w:type="dxa"/>
              <w:right w:w="0" w:type="dxa"/>
            </w:tcMar>
            <w:vAlign w:val="bottom"/>
          </w:tcPr>
          <w:p w14:paraId="669C7789"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669C778A" w14:textId="77777777" w:rsidR="00066C63" w:rsidRDefault="009656F6">
            <w:pPr>
              <w:jc w:val="right"/>
              <w:textAlignment w:val="bottom"/>
            </w:pPr>
            <w:r>
              <w:rPr>
                <w:rFonts w:ascii="Arial" w:eastAsia="宋体" w:hAnsi="Arial" w:cs="Arial"/>
                <w:color w:val="000000"/>
                <w:sz w:val="17"/>
                <w:szCs w:val="17"/>
              </w:rPr>
              <w:t>7,851 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778B" w14:textId="77777777" w:rsidR="00066C63" w:rsidRDefault="00066C63">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669C778C"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669C778D" w14:textId="77777777" w:rsidR="00066C63" w:rsidRDefault="009656F6">
            <w:pPr>
              <w:jc w:val="right"/>
              <w:textAlignment w:val="bottom"/>
            </w:pPr>
            <w:r>
              <w:rPr>
                <w:rFonts w:ascii="Arial" w:eastAsia="宋体" w:hAnsi="Arial" w:cs="Arial"/>
                <w:color w:val="000000"/>
                <w:sz w:val="17"/>
                <w:szCs w:val="17"/>
              </w:rPr>
              <w:t>7,723 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78E"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78F" w14:textId="77777777" w:rsidR="00066C63" w:rsidRDefault="009656F6">
            <w:pPr>
              <w:jc w:val="right"/>
              <w:textAlignment w:val="bottom"/>
            </w:pPr>
            <w:r>
              <w:rPr>
                <w:rFonts w:ascii="Arial" w:eastAsia="宋体" w:hAnsi="Arial" w:cs="Arial"/>
                <w:color w:val="000000"/>
                <w:sz w:val="17"/>
                <w:szCs w:val="17"/>
              </w:rPr>
              <w:t>2 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790" w14:textId="77777777" w:rsidR="00066C63" w:rsidRDefault="009656F6">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791" w14:textId="77777777" w:rsidR="00066C63" w:rsidRDefault="009656F6">
            <w:pPr>
              <w:jc w:val="right"/>
              <w:textAlignment w:val="bottom"/>
            </w:pPr>
            <w:r>
              <w:rPr>
                <w:rFonts w:ascii="Arial" w:eastAsia="宋体" w:hAnsi="Arial" w:cs="Arial"/>
                <w:color w:val="000000"/>
                <w:sz w:val="17"/>
                <w:szCs w:val="17"/>
              </w:rPr>
              <w:t>2 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792" w14:textId="77777777" w:rsidR="00066C63" w:rsidRDefault="009656F6">
            <w:pPr>
              <w:jc w:val="right"/>
              <w:textAlignment w:val="bottom"/>
            </w:pPr>
            <w:r>
              <w:rPr>
                <w:rFonts w:ascii="Arial" w:eastAsia="宋体" w:hAnsi="Arial" w:cs="Arial"/>
                <w:color w:val="000000"/>
                <w:sz w:val="17"/>
                <w:szCs w:val="17"/>
              </w:rPr>
              <w:t>%</w:t>
            </w:r>
          </w:p>
        </w:tc>
      </w:tr>
      <w:tr w:rsidR="00066C63" w14:paraId="669C77A6"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7794" w14:textId="77777777" w:rsidR="00066C63" w:rsidRDefault="009656F6">
            <w:pPr>
              <w:textAlignment w:val="bottom"/>
            </w:pPr>
            <w:r>
              <w:rPr>
                <w:rFonts w:ascii="Arial" w:eastAsia="宋体" w:hAnsi="Arial" w:cs="Arial"/>
                <w:color w:val="000000"/>
                <w:sz w:val="17"/>
                <w:szCs w:val="17"/>
              </w:rPr>
              <w:t>Apparel</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7795" w14:textId="77777777" w:rsidR="00066C63" w:rsidRDefault="009656F6">
            <w:pPr>
              <w:jc w:val="right"/>
              <w:textAlignment w:val="bottom"/>
            </w:pPr>
            <w:r>
              <w:rPr>
                <w:rFonts w:ascii="Arial" w:eastAsia="宋体" w:hAnsi="Arial" w:cs="Arial"/>
                <w:color w:val="000000"/>
                <w:sz w:val="17"/>
                <w:szCs w:val="17"/>
              </w:rPr>
              <w:t>1,087 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7796"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797" w14:textId="77777777" w:rsidR="00066C63" w:rsidRDefault="009656F6">
            <w:pPr>
              <w:jc w:val="right"/>
              <w:textAlignment w:val="bottom"/>
            </w:pPr>
            <w:r>
              <w:rPr>
                <w:rFonts w:ascii="Arial" w:eastAsia="宋体" w:hAnsi="Arial" w:cs="Arial"/>
                <w:color w:val="000000"/>
                <w:sz w:val="17"/>
                <w:szCs w:val="17"/>
              </w:rPr>
              <w:t>1,228 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798"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799" w14:textId="77777777" w:rsidR="00066C63" w:rsidRDefault="009656F6">
            <w:pPr>
              <w:jc w:val="right"/>
              <w:textAlignment w:val="bottom"/>
            </w:pPr>
            <w:r>
              <w:rPr>
                <w:rFonts w:ascii="Arial" w:eastAsia="宋体" w:hAnsi="Arial" w:cs="Arial"/>
                <w:color w:val="000000"/>
                <w:sz w:val="17"/>
                <w:szCs w:val="17"/>
              </w:rPr>
              <w:t>-11 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79A" w14:textId="77777777" w:rsidR="00066C63" w:rsidRDefault="009656F6">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79B" w14:textId="77777777" w:rsidR="00066C63" w:rsidRDefault="009656F6">
            <w:pPr>
              <w:jc w:val="right"/>
              <w:textAlignment w:val="bottom"/>
            </w:pPr>
            <w:r>
              <w:rPr>
                <w:rFonts w:ascii="Arial" w:eastAsia="宋体" w:hAnsi="Arial" w:cs="Arial"/>
                <w:color w:val="000000"/>
                <w:sz w:val="17"/>
                <w:szCs w:val="17"/>
              </w:rPr>
              <w:t>-12 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79C" w14:textId="77777777" w:rsidR="00066C63" w:rsidRDefault="009656F6">
            <w:pPr>
              <w:jc w:val="right"/>
              <w:textAlignment w:val="bottom"/>
            </w:pPr>
            <w:r>
              <w:rPr>
                <w:rFonts w:ascii="Arial" w:eastAsia="宋体" w:hAnsi="Arial" w:cs="Arial"/>
                <w:color w:val="000000"/>
                <w:sz w:val="17"/>
                <w:szCs w:val="17"/>
              </w:rPr>
              <w:t>%</w:t>
            </w:r>
          </w:p>
        </w:tc>
        <w:tc>
          <w:tcPr>
            <w:tcW w:w="0" w:type="auto"/>
            <w:gridSpan w:val="3"/>
            <w:tcBorders>
              <w:top w:val="single" w:sz="8" w:space="0" w:color="808080"/>
            </w:tcBorders>
            <w:shd w:val="clear" w:color="auto" w:fill="auto"/>
            <w:tcMar>
              <w:top w:w="0" w:type="dxa"/>
              <w:left w:w="20" w:type="dxa"/>
              <w:bottom w:w="0" w:type="dxa"/>
              <w:right w:w="20" w:type="dxa"/>
            </w:tcMar>
          </w:tcPr>
          <w:p w14:paraId="669C779D" w14:textId="77777777" w:rsidR="00066C63" w:rsidRDefault="00066C63">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779E" w14:textId="77777777" w:rsidR="00066C63" w:rsidRDefault="009656F6">
            <w:pPr>
              <w:jc w:val="right"/>
              <w:textAlignment w:val="bottom"/>
            </w:pPr>
            <w:r>
              <w:rPr>
                <w:rFonts w:ascii="Arial" w:eastAsia="宋体" w:hAnsi="Arial" w:cs="Arial"/>
                <w:color w:val="000000"/>
                <w:sz w:val="17"/>
                <w:szCs w:val="17"/>
              </w:rPr>
              <w:t>3,580 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779F"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7A0" w14:textId="77777777" w:rsidR="00066C63" w:rsidRDefault="009656F6">
            <w:pPr>
              <w:jc w:val="right"/>
              <w:textAlignment w:val="bottom"/>
            </w:pPr>
            <w:r>
              <w:rPr>
                <w:rFonts w:ascii="Arial" w:eastAsia="宋体" w:hAnsi="Arial" w:cs="Arial"/>
                <w:color w:val="000000"/>
                <w:sz w:val="17"/>
                <w:szCs w:val="17"/>
              </w:rPr>
              <w:t>4,076 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7A1"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7A2" w14:textId="77777777" w:rsidR="00066C63" w:rsidRDefault="009656F6">
            <w:pPr>
              <w:jc w:val="right"/>
              <w:textAlignment w:val="bottom"/>
            </w:pPr>
            <w:r>
              <w:rPr>
                <w:rFonts w:ascii="Arial" w:eastAsia="宋体" w:hAnsi="Arial" w:cs="Arial"/>
                <w:color w:val="000000"/>
                <w:sz w:val="17"/>
                <w:szCs w:val="17"/>
              </w:rPr>
              <w:t>-12 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7A3" w14:textId="77777777" w:rsidR="00066C63" w:rsidRDefault="009656F6">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7A4" w14:textId="77777777" w:rsidR="00066C63" w:rsidRDefault="009656F6">
            <w:pPr>
              <w:jc w:val="right"/>
              <w:textAlignment w:val="bottom"/>
            </w:pPr>
            <w:r>
              <w:rPr>
                <w:rFonts w:ascii="Arial" w:eastAsia="宋体" w:hAnsi="Arial" w:cs="Arial"/>
                <w:color w:val="000000"/>
                <w:sz w:val="17"/>
                <w:szCs w:val="17"/>
              </w:rPr>
              <w:t>-12 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7A5" w14:textId="77777777" w:rsidR="00066C63" w:rsidRDefault="009656F6">
            <w:pPr>
              <w:jc w:val="right"/>
              <w:textAlignment w:val="bottom"/>
            </w:pPr>
            <w:r>
              <w:rPr>
                <w:rFonts w:ascii="Arial" w:eastAsia="宋体" w:hAnsi="Arial" w:cs="Arial"/>
                <w:color w:val="000000"/>
                <w:sz w:val="17"/>
                <w:szCs w:val="17"/>
              </w:rPr>
              <w:t>%</w:t>
            </w:r>
          </w:p>
        </w:tc>
      </w:tr>
      <w:tr w:rsidR="00066C63" w14:paraId="669C77B9"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77A7" w14:textId="77777777" w:rsidR="00066C63" w:rsidRDefault="009656F6">
            <w:pPr>
              <w:textAlignment w:val="bottom"/>
            </w:pPr>
            <w:r>
              <w:rPr>
                <w:rFonts w:ascii="Arial" w:eastAsia="宋体" w:hAnsi="Arial" w:cs="Arial"/>
                <w:color w:val="000000"/>
                <w:sz w:val="17"/>
                <w:szCs w:val="17"/>
              </w:rPr>
              <w:t>Equipment</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77A8" w14:textId="77777777" w:rsidR="00066C63" w:rsidRDefault="009656F6">
            <w:pPr>
              <w:jc w:val="right"/>
              <w:textAlignment w:val="bottom"/>
            </w:pPr>
            <w:r>
              <w:rPr>
                <w:rFonts w:ascii="Arial" w:eastAsia="宋体" w:hAnsi="Arial" w:cs="Arial"/>
                <w:color w:val="000000"/>
                <w:sz w:val="17"/>
                <w:szCs w:val="17"/>
              </w:rPr>
              <w:t>95 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77A9"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7AA" w14:textId="77777777" w:rsidR="00066C63" w:rsidRDefault="009656F6">
            <w:pPr>
              <w:jc w:val="right"/>
              <w:textAlignment w:val="bottom"/>
            </w:pPr>
            <w:r>
              <w:rPr>
                <w:rFonts w:ascii="Arial" w:eastAsia="宋体" w:hAnsi="Arial" w:cs="Arial"/>
                <w:color w:val="000000"/>
                <w:sz w:val="17"/>
                <w:szCs w:val="17"/>
              </w:rPr>
              <w:t>123 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7AB"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7AC" w14:textId="77777777" w:rsidR="00066C63" w:rsidRDefault="009656F6">
            <w:pPr>
              <w:jc w:val="right"/>
              <w:textAlignment w:val="bottom"/>
            </w:pPr>
            <w:r>
              <w:rPr>
                <w:rFonts w:ascii="Arial" w:eastAsia="宋体" w:hAnsi="Arial" w:cs="Arial"/>
                <w:color w:val="000000"/>
                <w:sz w:val="17"/>
                <w:szCs w:val="17"/>
              </w:rPr>
              <w:t>-23 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7AD" w14:textId="77777777" w:rsidR="00066C63" w:rsidRDefault="009656F6">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7AE" w14:textId="77777777" w:rsidR="00066C63" w:rsidRDefault="009656F6">
            <w:pPr>
              <w:jc w:val="right"/>
              <w:textAlignment w:val="bottom"/>
            </w:pPr>
            <w:r>
              <w:rPr>
                <w:rFonts w:ascii="Arial" w:eastAsia="宋体" w:hAnsi="Arial" w:cs="Arial"/>
                <w:color w:val="000000"/>
                <w:sz w:val="17"/>
                <w:szCs w:val="17"/>
              </w:rPr>
              <w:t>-22 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7AF" w14:textId="77777777" w:rsidR="00066C63" w:rsidRDefault="009656F6">
            <w:pPr>
              <w:jc w:val="right"/>
              <w:textAlignment w:val="bottom"/>
            </w:pPr>
            <w:r>
              <w:rPr>
                <w:rFonts w:ascii="Arial" w:eastAsia="宋体" w:hAnsi="Arial" w:cs="Arial"/>
                <w:color w:val="000000"/>
                <w:sz w:val="17"/>
                <w:szCs w:val="17"/>
              </w:rPr>
              <w:t>%</w:t>
            </w:r>
          </w:p>
        </w:tc>
        <w:tc>
          <w:tcPr>
            <w:tcW w:w="0" w:type="auto"/>
            <w:gridSpan w:val="3"/>
            <w:tcBorders>
              <w:top w:val="single" w:sz="8" w:space="0" w:color="808080"/>
            </w:tcBorders>
            <w:shd w:val="clear" w:color="auto" w:fill="auto"/>
            <w:tcMar>
              <w:top w:w="0" w:type="dxa"/>
              <w:left w:w="20" w:type="dxa"/>
              <w:bottom w:w="0" w:type="dxa"/>
              <w:right w:w="20" w:type="dxa"/>
            </w:tcMar>
          </w:tcPr>
          <w:p w14:paraId="669C77B0" w14:textId="77777777" w:rsidR="00066C63" w:rsidRDefault="00066C63">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77B1" w14:textId="77777777" w:rsidR="00066C63" w:rsidRDefault="009656F6">
            <w:pPr>
              <w:jc w:val="right"/>
              <w:textAlignment w:val="bottom"/>
            </w:pPr>
            <w:r>
              <w:rPr>
                <w:rFonts w:ascii="Arial" w:eastAsia="宋体" w:hAnsi="Arial" w:cs="Arial"/>
                <w:color w:val="000000"/>
                <w:sz w:val="17"/>
                <w:szCs w:val="17"/>
              </w:rPr>
              <w:t>364 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77B2"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7B3" w14:textId="77777777" w:rsidR="00066C63" w:rsidRDefault="009656F6">
            <w:pPr>
              <w:jc w:val="right"/>
              <w:textAlignment w:val="bottom"/>
            </w:pPr>
            <w:r>
              <w:rPr>
                <w:rFonts w:ascii="Arial" w:eastAsia="宋体" w:hAnsi="Arial" w:cs="Arial"/>
                <w:color w:val="000000"/>
                <w:sz w:val="17"/>
                <w:szCs w:val="17"/>
              </w:rPr>
              <w:t>455 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7B4"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7B5" w14:textId="77777777" w:rsidR="00066C63" w:rsidRDefault="009656F6">
            <w:pPr>
              <w:jc w:val="right"/>
              <w:textAlignment w:val="bottom"/>
            </w:pPr>
            <w:r>
              <w:rPr>
                <w:rFonts w:ascii="Arial" w:eastAsia="宋体" w:hAnsi="Arial" w:cs="Arial"/>
                <w:color w:val="000000"/>
                <w:sz w:val="17"/>
                <w:szCs w:val="17"/>
              </w:rPr>
              <w:t>-20 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7B6" w14:textId="77777777" w:rsidR="00066C63" w:rsidRDefault="009656F6">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7B7" w14:textId="77777777" w:rsidR="00066C63" w:rsidRDefault="009656F6">
            <w:pPr>
              <w:jc w:val="right"/>
              <w:textAlignment w:val="bottom"/>
            </w:pPr>
            <w:r>
              <w:rPr>
                <w:rFonts w:ascii="Arial" w:eastAsia="宋体" w:hAnsi="Arial" w:cs="Arial"/>
                <w:color w:val="000000"/>
                <w:sz w:val="17"/>
                <w:szCs w:val="17"/>
              </w:rPr>
              <w:t>-20 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7B8" w14:textId="77777777" w:rsidR="00066C63" w:rsidRDefault="009656F6">
            <w:pPr>
              <w:jc w:val="right"/>
              <w:textAlignment w:val="bottom"/>
            </w:pPr>
            <w:r>
              <w:rPr>
                <w:rFonts w:ascii="Arial" w:eastAsia="宋体" w:hAnsi="Arial" w:cs="Arial"/>
                <w:color w:val="000000"/>
                <w:sz w:val="17"/>
                <w:szCs w:val="17"/>
              </w:rPr>
              <w:t>%</w:t>
            </w:r>
          </w:p>
        </w:tc>
      </w:tr>
      <w:tr w:rsidR="00066C63" w14:paraId="669C77D0"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7BA" w14:textId="77777777" w:rsidR="00066C63" w:rsidRDefault="009656F6">
            <w:pPr>
              <w:textAlignment w:val="bottom"/>
            </w:pPr>
            <w:r>
              <w:rPr>
                <w:rFonts w:ascii="Arial" w:eastAsia="宋体" w:hAnsi="Arial" w:cs="Arial"/>
                <w:b/>
                <w:bCs/>
                <w:color w:val="000000"/>
                <w:sz w:val="17"/>
                <w:szCs w:val="17"/>
              </w:rPr>
              <w:t>TOTAL 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669C77BB"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669C77BC" w14:textId="77777777" w:rsidR="00066C63" w:rsidRDefault="009656F6">
            <w:pPr>
              <w:jc w:val="right"/>
              <w:textAlignment w:val="bottom"/>
            </w:pPr>
            <w:r>
              <w:rPr>
                <w:rFonts w:ascii="Arial" w:eastAsia="宋体" w:hAnsi="Arial" w:cs="Arial"/>
                <w:b/>
                <w:bCs/>
                <w:color w:val="000000"/>
                <w:sz w:val="17"/>
                <w:szCs w:val="17"/>
              </w:rPr>
              <w:t>3,564</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77BD" w14:textId="77777777" w:rsidR="00066C63" w:rsidRDefault="00066C63">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69C77BE"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69C77BF" w14:textId="77777777" w:rsidR="00066C63" w:rsidRDefault="009656F6">
            <w:pPr>
              <w:jc w:val="right"/>
              <w:textAlignment w:val="bottom"/>
            </w:pPr>
            <w:r>
              <w:rPr>
                <w:rFonts w:ascii="Arial" w:eastAsia="宋体" w:hAnsi="Arial" w:cs="Arial"/>
                <w:b/>
                <w:bCs/>
                <w:color w:val="000000"/>
                <w:sz w:val="17"/>
                <w:szCs w:val="17"/>
              </w:rPr>
              <w:t>3,979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77C0" w14:textId="77777777" w:rsidR="00066C63" w:rsidRDefault="00066C63">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77C1" w14:textId="77777777" w:rsidR="00066C63" w:rsidRDefault="009656F6">
            <w:pPr>
              <w:jc w:val="right"/>
              <w:textAlignment w:val="bottom"/>
            </w:pPr>
            <w:r>
              <w:rPr>
                <w:rFonts w:ascii="Arial" w:eastAsia="宋体" w:hAnsi="Arial" w:cs="Arial"/>
                <w:b/>
                <w:bCs/>
                <w:color w:val="000000"/>
                <w:sz w:val="17"/>
                <w:szCs w:val="17"/>
              </w:rPr>
              <w:t>-10</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77C2" w14:textId="77777777" w:rsidR="00066C63" w:rsidRDefault="009656F6">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77C3" w14:textId="77777777" w:rsidR="00066C63" w:rsidRDefault="009656F6">
            <w:pPr>
              <w:jc w:val="right"/>
              <w:textAlignment w:val="bottom"/>
            </w:pPr>
            <w:r>
              <w:rPr>
                <w:rFonts w:ascii="Arial" w:eastAsia="宋体" w:hAnsi="Arial" w:cs="Arial"/>
                <w:b/>
                <w:bCs/>
                <w:color w:val="000000"/>
                <w:sz w:val="17"/>
                <w:szCs w:val="17"/>
              </w:rPr>
              <w:t>-11</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77C4" w14:textId="77777777" w:rsidR="00066C63" w:rsidRDefault="009656F6">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tcPr>
          <w:p w14:paraId="669C77C5" w14:textId="77777777" w:rsidR="00066C63" w:rsidRDefault="00066C63">
            <w:pPr>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669C77C6"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669C77C7" w14:textId="77777777" w:rsidR="00066C63" w:rsidRDefault="009656F6">
            <w:pPr>
              <w:jc w:val="right"/>
              <w:textAlignment w:val="bottom"/>
            </w:pPr>
            <w:r>
              <w:rPr>
                <w:rFonts w:ascii="Arial" w:eastAsia="宋体" w:hAnsi="Arial" w:cs="Arial"/>
                <w:b/>
                <w:bCs/>
                <w:color w:val="000000"/>
                <w:sz w:val="17"/>
                <w:szCs w:val="17"/>
              </w:rPr>
              <w:t>11,795</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77C8" w14:textId="77777777" w:rsidR="00066C63" w:rsidRDefault="00066C63">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69C77C9"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69C77CA" w14:textId="77777777" w:rsidR="00066C63" w:rsidRDefault="009656F6">
            <w:pPr>
              <w:jc w:val="right"/>
              <w:textAlignment w:val="bottom"/>
            </w:pPr>
            <w:r>
              <w:rPr>
                <w:rFonts w:ascii="Arial" w:eastAsia="宋体" w:hAnsi="Arial" w:cs="Arial"/>
                <w:b/>
                <w:bCs/>
                <w:color w:val="000000"/>
                <w:sz w:val="17"/>
                <w:szCs w:val="17"/>
              </w:rPr>
              <w:t>12,254</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77CB" w14:textId="77777777" w:rsidR="00066C63" w:rsidRDefault="00066C63">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77CC" w14:textId="77777777" w:rsidR="00066C63" w:rsidRDefault="009656F6">
            <w:pPr>
              <w:jc w:val="right"/>
              <w:textAlignment w:val="bottom"/>
            </w:pPr>
            <w:r>
              <w:rPr>
                <w:rFonts w:ascii="Arial" w:eastAsia="宋体" w:hAnsi="Arial" w:cs="Arial"/>
                <w:b/>
                <w:bCs/>
                <w:color w:val="000000"/>
                <w:sz w:val="17"/>
                <w:szCs w:val="17"/>
              </w:rPr>
              <w:t>-4</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77CD" w14:textId="77777777" w:rsidR="00066C63" w:rsidRDefault="009656F6">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77CE" w14:textId="77777777" w:rsidR="00066C63" w:rsidRDefault="009656F6">
            <w:pPr>
              <w:jc w:val="right"/>
              <w:textAlignment w:val="bottom"/>
            </w:pPr>
            <w:r>
              <w:rPr>
                <w:rFonts w:ascii="Arial" w:eastAsia="宋体" w:hAnsi="Arial" w:cs="Arial"/>
                <w:b/>
                <w:bCs/>
                <w:color w:val="000000"/>
                <w:sz w:val="17"/>
                <w:szCs w:val="17"/>
              </w:rPr>
              <w:t>-4</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77CF" w14:textId="77777777" w:rsidR="00066C63" w:rsidRDefault="009656F6">
            <w:pPr>
              <w:jc w:val="right"/>
              <w:textAlignment w:val="bottom"/>
            </w:pPr>
            <w:r>
              <w:rPr>
                <w:rFonts w:ascii="Arial" w:eastAsia="宋体" w:hAnsi="Arial" w:cs="Arial"/>
                <w:b/>
                <w:bCs/>
                <w:color w:val="000000"/>
                <w:sz w:val="17"/>
                <w:szCs w:val="17"/>
              </w:rPr>
              <w:t>%</w:t>
            </w:r>
          </w:p>
        </w:tc>
      </w:tr>
      <w:tr w:rsidR="00066C63" w14:paraId="669C77DB"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7D1" w14:textId="77777777" w:rsidR="00066C63" w:rsidRDefault="009656F6">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FFF1E7"/>
            <w:tcMar>
              <w:top w:w="40" w:type="dxa"/>
              <w:left w:w="20" w:type="dxa"/>
              <w:bottom w:w="40" w:type="dxa"/>
              <w:right w:w="20" w:type="dxa"/>
            </w:tcMar>
            <w:vAlign w:val="bottom"/>
          </w:tcPr>
          <w:p w14:paraId="669C77D2" w14:textId="77777777" w:rsidR="00066C63" w:rsidRDefault="009656F6">
            <w:pPr>
              <w:textAlignment w:val="bottom"/>
            </w:pPr>
            <w:r>
              <w:rPr>
                <w:rFonts w:ascii="Arial" w:eastAsia="宋体" w:hAnsi="Arial" w:cs="Arial"/>
                <w:color w:val="000000"/>
                <w:sz w:val="17"/>
                <w:szCs w:val="17"/>
              </w:rPr>
              <w:t> </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7D3" w14:textId="77777777" w:rsidR="00066C63" w:rsidRDefault="009656F6">
            <w:pPr>
              <w:textAlignment w:val="bottom"/>
            </w:pPr>
            <w:r>
              <w:rPr>
                <w:rFonts w:ascii="Arial" w:eastAsia="宋体" w:hAnsi="Arial" w:cs="Arial"/>
                <w:color w:val="000000"/>
                <w:sz w:val="17"/>
                <w:szCs w:val="17"/>
              </w:rPr>
              <w:t> </w:t>
            </w:r>
          </w:p>
        </w:tc>
        <w:tc>
          <w:tcPr>
            <w:tcW w:w="0" w:type="auto"/>
            <w:gridSpan w:val="3"/>
            <w:tcBorders>
              <w:top w:val="single" w:sz="8" w:space="0" w:color="E87722"/>
            </w:tcBorders>
            <w:shd w:val="clear" w:color="auto" w:fill="auto"/>
            <w:tcMar>
              <w:top w:w="0" w:type="dxa"/>
              <w:left w:w="20" w:type="dxa"/>
              <w:bottom w:w="0" w:type="dxa"/>
              <w:right w:w="20" w:type="dxa"/>
            </w:tcMar>
          </w:tcPr>
          <w:p w14:paraId="669C77D4"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77D5"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77D6" w14:textId="77777777" w:rsidR="00066C63" w:rsidRDefault="00066C63">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669C77D7"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77D8"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77D9"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77DA" w14:textId="77777777" w:rsidR="00066C63" w:rsidRDefault="00066C63">
            <w:pPr>
              <w:rPr>
                <w:rFonts w:ascii="宋体"/>
              </w:rPr>
            </w:pPr>
          </w:p>
        </w:tc>
      </w:tr>
      <w:tr w:rsidR="00066C63" w14:paraId="669C77F2"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77DC" w14:textId="77777777" w:rsidR="00066C63" w:rsidRDefault="009656F6">
            <w:pPr>
              <w:textAlignment w:val="bottom"/>
            </w:pPr>
            <w:r>
              <w:rPr>
                <w:rFonts w:ascii="Arial" w:eastAsia="宋体" w:hAnsi="Arial" w:cs="Arial"/>
                <w:color w:val="000000"/>
                <w:sz w:val="17"/>
                <w:szCs w:val="17"/>
              </w:rPr>
              <w:t>Sales to Wholesale Customers</w:t>
            </w:r>
          </w:p>
        </w:tc>
        <w:tc>
          <w:tcPr>
            <w:tcW w:w="0" w:type="auto"/>
            <w:tcBorders>
              <w:top w:val="single" w:sz="8" w:space="0" w:color="808080"/>
            </w:tcBorders>
            <w:shd w:val="clear" w:color="auto" w:fill="FFF1E7"/>
            <w:tcMar>
              <w:top w:w="40" w:type="dxa"/>
              <w:left w:w="20" w:type="dxa"/>
              <w:bottom w:w="40" w:type="dxa"/>
              <w:right w:w="0" w:type="dxa"/>
            </w:tcMar>
            <w:vAlign w:val="bottom"/>
          </w:tcPr>
          <w:p w14:paraId="669C77DD"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669C77DE" w14:textId="77777777" w:rsidR="00066C63" w:rsidRDefault="009656F6">
            <w:pPr>
              <w:jc w:val="right"/>
              <w:textAlignment w:val="bottom"/>
            </w:pPr>
            <w:r>
              <w:rPr>
                <w:rFonts w:ascii="Arial" w:eastAsia="宋体" w:hAnsi="Arial" w:cs="Arial"/>
                <w:color w:val="000000"/>
                <w:sz w:val="17"/>
                <w:szCs w:val="17"/>
              </w:rPr>
              <w:t>1,894 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77DF" w14:textId="77777777" w:rsidR="00066C63" w:rsidRDefault="00066C63">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669C77E0"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669C77E1" w14:textId="77777777" w:rsidR="00066C63" w:rsidRDefault="009656F6">
            <w:pPr>
              <w:jc w:val="right"/>
              <w:textAlignment w:val="bottom"/>
            </w:pPr>
            <w:r>
              <w:rPr>
                <w:rFonts w:ascii="Arial" w:eastAsia="宋体" w:hAnsi="Arial" w:cs="Arial"/>
                <w:color w:val="000000"/>
                <w:sz w:val="17"/>
                <w:szCs w:val="17"/>
              </w:rPr>
              <w:t>2,521 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7E2"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7E3" w14:textId="77777777" w:rsidR="00066C63" w:rsidRDefault="009656F6">
            <w:pPr>
              <w:jc w:val="right"/>
              <w:textAlignment w:val="bottom"/>
            </w:pPr>
            <w:r>
              <w:rPr>
                <w:rFonts w:ascii="Arial" w:eastAsia="宋体" w:hAnsi="Arial" w:cs="Arial"/>
                <w:color w:val="000000"/>
                <w:sz w:val="17"/>
                <w:szCs w:val="17"/>
              </w:rPr>
              <w:t>-25 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7E4" w14:textId="77777777" w:rsidR="00066C63" w:rsidRDefault="009656F6">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7E5" w14:textId="77777777" w:rsidR="00066C63" w:rsidRDefault="009656F6">
            <w:pPr>
              <w:jc w:val="right"/>
              <w:textAlignment w:val="bottom"/>
            </w:pPr>
            <w:r>
              <w:rPr>
                <w:rFonts w:ascii="Arial" w:eastAsia="宋体" w:hAnsi="Arial" w:cs="Arial"/>
                <w:color w:val="000000"/>
                <w:sz w:val="17"/>
                <w:szCs w:val="17"/>
              </w:rPr>
              <w:t>-25 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7E6" w14:textId="77777777" w:rsidR="00066C63" w:rsidRDefault="009656F6">
            <w:pPr>
              <w:jc w:val="right"/>
              <w:textAlignment w:val="bottom"/>
            </w:pPr>
            <w:r>
              <w:rPr>
                <w:rFonts w:ascii="Arial" w:eastAsia="宋体" w:hAnsi="Arial" w:cs="Arial"/>
                <w:color w:val="000000"/>
                <w:sz w:val="17"/>
                <w:szCs w:val="17"/>
              </w:rPr>
              <w:t>%</w:t>
            </w:r>
          </w:p>
        </w:tc>
        <w:tc>
          <w:tcPr>
            <w:tcW w:w="0" w:type="auto"/>
            <w:gridSpan w:val="3"/>
            <w:tcBorders>
              <w:top w:val="single" w:sz="8" w:space="0" w:color="808080"/>
            </w:tcBorders>
            <w:shd w:val="clear" w:color="auto" w:fill="auto"/>
            <w:tcMar>
              <w:top w:w="0" w:type="dxa"/>
              <w:left w:w="20" w:type="dxa"/>
              <w:bottom w:w="0" w:type="dxa"/>
              <w:right w:w="20" w:type="dxa"/>
            </w:tcMar>
          </w:tcPr>
          <w:p w14:paraId="669C77E7" w14:textId="77777777" w:rsidR="00066C63" w:rsidRDefault="00066C63">
            <w:pPr>
              <w:rPr>
                <w:rFonts w:ascii="宋体"/>
              </w:rPr>
            </w:pPr>
          </w:p>
        </w:tc>
        <w:tc>
          <w:tcPr>
            <w:tcW w:w="0" w:type="auto"/>
            <w:tcBorders>
              <w:top w:val="single" w:sz="8" w:space="0" w:color="808080"/>
            </w:tcBorders>
            <w:shd w:val="clear" w:color="auto" w:fill="FFF1E7"/>
            <w:tcMar>
              <w:top w:w="40" w:type="dxa"/>
              <w:left w:w="20" w:type="dxa"/>
              <w:bottom w:w="40" w:type="dxa"/>
              <w:right w:w="0" w:type="dxa"/>
            </w:tcMar>
            <w:vAlign w:val="bottom"/>
          </w:tcPr>
          <w:p w14:paraId="669C77E8"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669C77E9" w14:textId="77777777" w:rsidR="00066C63" w:rsidRDefault="009656F6">
            <w:pPr>
              <w:jc w:val="right"/>
              <w:textAlignment w:val="bottom"/>
            </w:pPr>
            <w:r>
              <w:rPr>
                <w:rFonts w:ascii="Arial" w:eastAsia="宋体" w:hAnsi="Arial" w:cs="Arial"/>
                <w:color w:val="000000"/>
                <w:sz w:val="17"/>
                <w:szCs w:val="17"/>
              </w:rPr>
              <w:t>6,967 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77EA" w14:textId="77777777" w:rsidR="00066C63" w:rsidRDefault="00066C63">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669C77EB"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669C77EC" w14:textId="77777777" w:rsidR="00066C63" w:rsidRDefault="009656F6">
            <w:pPr>
              <w:jc w:val="right"/>
              <w:textAlignment w:val="bottom"/>
            </w:pPr>
            <w:r>
              <w:rPr>
                <w:rFonts w:ascii="Arial" w:eastAsia="宋体" w:hAnsi="Arial" w:cs="Arial"/>
                <w:color w:val="000000"/>
                <w:sz w:val="17"/>
                <w:szCs w:val="17"/>
              </w:rPr>
              <w:t>8,119 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7ED"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7EE" w14:textId="77777777" w:rsidR="00066C63" w:rsidRDefault="009656F6">
            <w:pPr>
              <w:jc w:val="right"/>
              <w:textAlignment w:val="bottom"/>
            </w:pPr>
            <w:r>
              <w:rPr>
                <w:rFonts w:ascii="Arial" w:eastAsia="宋体" w:hAnsi="Arial" w:cs="Arial"/>
                <w:color w:val="000000"/>
                <w:sz w:val="17"/>
                <w:szCs w:val="17"/>
              </w:rPr>
              <w:t>-14 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7EF" w14:textId="77777777" w:rsidR="00066C63" w:rsidRDefault="009656F6">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7F0" w14:textId="77777777" w:rsidR="00066C63" w:rsidRDefault="009656F6">
            <w:pPr>
              <w:jc w:val="right"/>
              <w:textAlignment w:val="bottom"/>
            </w:pPr>
            <w:r>
              <w:rPr>
                <w:rFonts w:ascii="Arial" w:eastAsia="宋体" w:hAnsi="Arial" w:cs="Arial"/>
                <w:color w:val="000000"/>
                <w:sz w:val="17"/>
                <w:szCs w:val="17"/>
              </w:rPr>
              <w:t>-14 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7F1" w14:textId="77777777" w:rsidR="00066C63" w:rsidRDefault="009656F6">
            <w:pPr>
              <w:jc w:val="right"/>
              <w:textAlignment w:val="bottom"/>
            </w:pPr>
            <w:r>
              <w:rPr>
                <w:rFonts w:ascii="Arial" w:eastAsia="宋体" w:hAnsi="Arial" w:cs="Arial"/>
                <w:color w:val="000000"/>
                <w:sz w:val="17"/>
                <w:szCs w:val="17"/>
              </w:rPr>
              <w:t>%</w:t>
            </w:r>
          </w:p>
        </w:tc>
      </w:tr>
      <w:tr w:rsidR="00066C63" w14:paraId="669C7805"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77F3" w14:textId="77777777" w:rsidR="00066C63" w:rsidRDefault="009656F6">
            <w:pPr>
              <w:textAlignment w:val="bottom"/>
            </w:pPr>
            <w:r>
              <w:rPr>
                <w:rFonts w:ascii="Arial" w:eastAsia="宋体" w:hAnsi="Arial" w:cs="Arial"/>
                <w:color w:val="000000"/>
                <w:sz w:val="17"/>
                <w:szCs w:val="17"/>
              </w:rPr>
              <w:t xml:space="preserve">Sales through </w:t>
            </w:r>
            <w:r>
              <w:rPr>
                <w:rFonts w:ascii="Arial" w:eastAsia="宋体" w:hAnsi="Arial" w:cs="Arial"/>
                <w:color w:val="000000"/>
                <w:sz w:val="17"/>
                <w:szCs w:val="17"/>
              </w:rPr>
              <w:t>NIKE Direct</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77F4" w14:textId="77777777" w:rsidR="00066C63" w:rsidRDefault="009656F6">
            <w:pPr>
              <w:jc w:val="right"/>
              <w:textAlignment w:val="bottom"/>
            </w:pPr>
            <w:r>
              <w:rPr>
                <w:rFonts w:ascii="Arial" w:eastAsia="宋体" w:hAnsi="Arial" w:cs="Arial"/>
                <w:color w:val="000000"/>
                <w:sz w:val="17"/>
                <w:szCs w:val="17"/>
              </w:rPr>
              <w:t>1,670 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77F5"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7F6" w14:textId="77777777" w:rsidR="00066C63" w:rsidRDefault="009656F6">
            <w:pPr>
              <w:jc w:val="right"/>
              <w:textAlignment w:val="bottom"/>
            </w:pPr>
            <w:r>
              <w:rPr>
                <w:rFonts w:ascii="Arial" w:eastAsia="宋体" w:hAnsi="Arial" w:cs="Arial"/>
                <w:color w:val="000000"/>
                <w:sz w:val="17"/>
                <w:szCs w:val="17"/>
              </w:rPr>
              <w:t>1,458 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7F7"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7F8" w14:textId="77777777" w:rsidR="00066C63" w:rsidRDefault="009656F6">
            <w:pPr>
              <w:jc w:val="right"/>
              <w:textAlignment w:val="bottom"/>
            </w:pPr>
            <w:r>
              <w:rPr>
                <w:rFonts w:ascii="Arial" w:eastAsia="宋体" w:hAnsi="Arial" w:cs="Arial"/>
                <w:color w:val="000000"/>
                <w:sz w:val="17"/>
                <w:szCs w:val="17"/>
              </w:rPr>
              <w:t>15 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7F9" w14:textId="77777777" w:rsidR="00066C63" w:rsidRDefault="009656F6">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7FA" w14:textId="77777777" w:rsidR="00066C63" w:rsidRDefault="009656F6">
            <w:pPr>
              <w:jc w:val="right"/>
              <w:textAlignment w:val="bottom"/>
            </w:pPr>
            <w:r>
              <w:rPr>
                <w:rFonts w:ascii="Arial" w:eastAsia="宋体" w:hAnsi="Arial" w:cs="Arial"/>
                <w:color w:val="000000"/>
                <w:sz w:val="17"/>
                <w:szCs w:val="17"/>
              </w:rPr>
              <w:t>15 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7FB" w14:textId="77777777" w:rsidR="00066C63" w:rsidRDefault="009656F6">
            <w:pPr>
              <w:jc w:val="right"/>
              <w:textAlignment w:val="bottom"/>
            </w:pPr>
            <w:r>
              <w:rPr>
                <w:rFonts w:ascii="Arial" w:eastAsia="宋体" w:hAnsi="Arial" w:cs="Arial"/>
                <w:color w:val="000000"/>
                <w:sz w:val="17"/>
                <w:szCs w:val="17"/>
              </w:rPr>
              <w:t>%</w:t>
            </w:r>
          </w:p>
        </w:tc>
        <w:tc>
          <w:tcPr>
            <w:tcW w:w="0" w:type="auto"/>
            <w:gridSpan w:val="3"/>
            <w:tcBorders>
              <w:top w:val="single" w:sz="8" w:space="0" w:color="808080"/>
            </w:tcBorders>
            <w:shd w:val="clear" w:color="auto" w:fill="auto"/>
            <w:tcMar>
              <w:top w:w="0" w:type="dxa"/>
              <w:left w:w="20" w:type="dxa"/>
              <w:bottom w:w="0" w:type="dxa"/>
              <w:right w:w="20" w:type="dxa"/>
            </w:tcMar>
          </w:tcPr>
          <w:p w14:paraId="669C77FC" w14:textId="77777777" w:rsidR="00066C63" w:rsidRDefault="00066C63">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77FD" w14:textId="77777777" w:rsidR="00066C63" w:rsidRDefault="009656F6">
            <w:pPr>
              <w:jc w:val="right"/>
              <w:textAlignment w:val="bottom"/>
            </w:pPr>
            <w:r>
              <w:rPr>
                <w:rFonts w:ascii="Arial" w:eastAsia="宋体" w:hAnsi="Arial" w:cs="Arial"/>
                <w:color w:val="000000"/>
                <w:sz w:val="17"/>
                <w:szCs w:val="17"/>
              </w:rPr>
              <w:t>4,828 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77FE"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7FF" w14:textId="77777777" w:rsidR="00066C63" w:rsidRDefault="009656F6">
            <w:pPr>
              <w:jc w:val="right"/>
              <w:textAlignment w:val="bottom"/>
            </w:pPr>
            <w:r>
              <w:rPr>
                <w:rFonts w:ascii="Arial" w:eastAsia="宋体" w:hAnsi="Arial" w:cs="Arial"/>
                <w:color w:val="000000"/>
                <w:sz w:val="17"/>
                <w:szCs w:val="17"/>
              </w:rPr>
              <w:t>4,135 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800"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801" w14:textId="77777777" w:rsidR="00066C63" w:rsidRDefault="009656F6">
            <w:pPr>
              <w:jc w:val="right"/>
              <w:textAlignment w:val="bottom"/>
            </w:pPr>
            <w:r>
              <w:rPr>
                <w:rFonts w:ascii="Arial" w:eastAsia="宋体" w:hAnsi="Arial" w:cs="Arial"/>
                <w:color w:val="000000"/>
                <w:sz w:val="17"/>
                <w:szCs w:val="17"/>
              </w:rPr>
              <w:t>17 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802" w14:textId="77777777" w:rsidR="00066C63" w:rsidRDefault="009656F6">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803" w14:textId="77777777" w:rsidR="00066C63" w:rsidRDefault="009656F6">
            <w:pPr>
              <w:jc w:val="right"/>
              <w:textAlignment w:val="bottom"/>
            </w:pPr>
            <w:r>
              <w:rPr>
                <w:rFonts w:ascii="Arial" w:eastAsia="宋体" w:hAnsi="Arial" w:cs="Arial"/>
                <w:color w:val="000000"/>
                <w:sz w:val="17"/>
                <w:szCs w:val="17"/>
              </w:rPr>
              <w:t>17 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804" w14:textId="77777777" w:rsidR="00066C63" w:rsidRDefault="009656F6">
            <w:pPr>
              <w:jc w:val="right"/>
              <w:textAlignment w:val="bottom"/>
            </w:pPr>
            <w:r>
              <w:rPr>
                <w:rFonts w:ascii="Arial" w:eastAsia="宋体" w:hAnsi="Arial" w:cs="Arial"/>
                <w:color w:val="000000"/>
                <w:sz w:val="17"/>
                <w:szCs w:val="17"/>
              </w:rPr>
              <w:t>%</w:t>
            </w:r>
          </w:p>
        </w:tc>
      </w:tr>
      <w:tr w:rsidR="00066C63" w14:paraId="669C781C"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806" w14:textId="77777777" w:rsidR="00066C63" w:rsidRDefault="009656F6">
            <w:pPr>
              <w:textAlignment w:val="bottom"/>
            </w:pPr>
            <w:r>
              <w:rPr>
                <w:rFonts w:ascii="Arial" w:eastAsia="宋体" w:hAnsi="Arial" w:cs="Arial"/>
                <w:b/>
                <w:bCs/>
                <w:color w:val="000000"/>
                <w:sz w:val="17"/>
                <w:szCs w:val="17"/>
              </w:rPr>
              <w:t>TOTAL 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669C7807"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669C7808" w14:textId="77777777" w:rsidR="00066C63" w:rsidRDefault="009656F6">
            <w:pPr>
              <w:jc w:val="right"/>
              <w:textAlignment w:val="bottom"/>
            </w:pPr>
            <w:r>
              <w:rPr>
                <w:rFonts w:ascii="Arial" w:eastAsia="宋体" w:hAnsi="Arial" w:cs="Arial"/>
                <w:b/>
                <w:bCs/>
                <w:color w:val="000000"/>
                <w:sz w:val="17"/>
                <w:szCs w:val="17"/>
              </w:rPr>
              <w:t>3,564</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7809" w14:textId="77777777" w:rsidR="00066C63" w:rsidRDefault="00066C63">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69C780A"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69C780B" w14:textId="77777777" w:rsidR="00066C63" w:rsidRDefault="009656F6">
            <w:pPr>
              <w:jc w:val="right"/>
              <w:textAlignment w:val="bottom"/>
            </w:pPr>
            <w:r>
              <w:rPr>
                <w:rFonts w:ascii="Arial" w:eastAsia="宋体" w:hAnsi="Arial" w:cs="Arial"/>
                <w:b/>
                <w:bCs/>
                <w:color w:val="000000"/>
                <w:sz w:val="17"/>
                <w:szCs w:val="17"/>
              </w:rPr>
              <w:t>3,979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780C" w14:textId="77777777" w:rsidR="00066C63" w:rsidRDefault="00066C63">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780D" w14:textId="77777777" w:rsidR="00066C63" w:rsidRDefault="009656F6">
            <w:pPr>
              <w:jc w:val="right"/>
              <w:textAlignment w:val="bottom"/>
            </w:pPr>
            <w:r>
              <w:rPr>
                <w:rFonts w:ascii="Arial" w:eastAsia="宋体" w:hAnsi="Arial" w:cs="Arial"/>
                <w:b/>
                <w:bCs/>
                <w:color w:val="000000"/>
                <w:sz w:val="17"/>
                <w:szCs w:val="17"/>
              </w:rPr>
              <w:t>-10</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780E" w14:textId="77777777" w:rsidR="00066C63" w:rsidRDefault="009656F6">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780F" w14:textId="77777777" w:rsidR="00066C63" w:rsidRDefault="009656F6">
            <w:pPr>
              <w:jc w:val="right"/>
              <w:textAlignment w:val="bottom"/>
            </w:pPr>
            <w:r>
              <w:rPr>
                <w:rFonts w:ascii="Arial" w:eastAsia="宋体" w:hAnsi="Arial" w:cs="Arial"/>
                <w:b/>
                <w:bCs/>
                <w:color w:val="000000"/>
                <w:sz w:val="17"/>
                <w:szCs w:val="17"/>
              </w:rPr>
              <w:t>-11</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7810" w14:textId="77777777" w:rsidR="00066C63" w:rsidRDefault="009656F6">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tcPr>
          <w:p w14:paraId="669C7811" w14:textId="77777777" w:rsidR="00066C63" w:rsidRDefault="00066C63">
            <w:pPr>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669C7812"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669C7813" w14:textId="77777777" w:rsidR="00066C63" w:rsidRDefault="009656F6">
            <w:pPr>
              <w:jc w:val="right"/>
              <w:textAlignment w:val="bottom"/>
            </w:pPr>
            <w:r>
              <w:rPr>
                <w:rFonts w:ascii="Arial" w:eastAsia="宋体" w:hAnsi="Arial" w:cs="Arial"/>
                <w:b/>
                <w:bCs/>
                <w:color w:val="000000"/>
                <w:sz w:val="17"/>
                <w:szCs w:val="17"/>
              </w:rPr>
              <w:t>11,795</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7814" w14:textId="77777777" w:rsidR="00066C63" w:rsidRDefault="00066C63">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69C7815"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69C7816" w14:textId="77777777" w:rsidR="00066C63" w:rsidRDefault="009656F6">
            <w:pPr>
              <w:jc w:val="right"/>
              <w:textAlignment w:val="bottom"/>
            </w:pPr>
            <w:r>
              <w:rPr>
                <w:rFonts w:ascii="Arial" w:eastAsia="宋体" w:hAnsi="Arial" w:cs="Arial"/>
                <w:b/>
                <w:bCs/>
                <w:color w:val="000000"/>
                <w:sz w:val="17"/>
                <w:szCs w:val="17"/>
              </w:rPr>
              <w:t>12,254</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7817" w14:textId="77777777" w:rsidR="00066C63" w:rsidRDefault="00066C63">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7818" w14:textId="77777777" w:rsidR="00066C63" w:rsidRDefault="009656F6">
            <w:pPr>
              <w:jc w:val="right"/>
              <w:textAlignment w:val="bottom"/>
            </w:pPr>
            <w:r>
              <w:rPr>
                <w:rFonts w:ascii="Arial" w:eastAsia="宋体" w:hAnsi="Arial" w:cs="Arial"/>
                <w:b/>
                <w:bCs/>
                <w:color w:val="000000"/>
                <w:sz w:val="17"/>
                <w:szCs w:val="17"/>
              </w:rPr>
              <w:t>-4</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7819" w14:textId="77777777" w:rsidR="00066C63" w:rsidRDefault="009656F6">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781A" w14:textId="77777777" w:rsidR="00066C63" w:rsidRDefault="009656F6">
            <w:pPr>
              <w:jc w:val="right"/>
              <w:textAlignment w:val="bottom"/>
            </w:pPr>
            <w:r>
              <w:rPr>
                <w:rFonts w:ascii="Arial" w:eastAsia="宋体" w:hAnsi="Arial" w:cs="Arial"/>
                <w:b/>
                <w:bCs/>
                <w:color w:val="000000"/>
                <w:sz w:val="17"/>
                <w:szCs w:val="17"/>
              </w:rPr>
              <w:t>-4</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781B" w14:textId="77777777" w:rsidR="00066C63" w:rsidRDefault="009656F6">
            <w:pPr>
              <w:jc w:val="right"/>
              <w:textAlignment w:val="bottom"/>
            </w:pPr>
            <w:r>
              <w:rPr>
                <w:rFonts w:ascii="Arial" w:eastAsia="宋体" w:hAnsi="Arial" w:cs="Arial"/>
                <w:b/>
                <w:bCs/>
                <w:color w:val="000000"/>
                <w:sz w:val="17"/>
                <w:szCs w:val="17"/>
              </w:rPr>
              <w:t>%</w:t>
            </w:r>
          </w:p>
        </w:tc>
      </w:tr>
      <w:tr w:rsidR="00066C63" w14:paraId="669C7831"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669C781D" w14:textId="77777777" w:rsidR="00066C63" w:rsidRDefault="009656F6">
            <w:pPr>
              <w:textAlignment w:val="bottom"/>
            </w:pPr>
            <w:r>
              <w:rPr>
                <w:rFonts w:ascii="Arial" w:eastAsia="宋体" w:hAnsi="Arial" w:cs="Arial"/>
                <w:b/>
                <w:bCs/>
                <w:color w:val="000000"/>
                <w:sz w:val="17"/>
                <w:szCs w:val="17"/>
              </w:rPr>
              <w:t xml:space="preserve">EARNINGS BEFORE </w:t>
            </w:r>
            <w:r>
              <w:rPr>
                <w:rFonts w:ascii="Arial" w:eastAsia="宋体" w:hAnsi="Arial" w:cs="Arial"/>
                <w:b/>
                <w:bCs/>
                <w:color w:val="000000"/>
                <w:sz w:val="17"/>
                <w:szCs w:val="17"/>
              </w:rPr>
              <w:t>INTEREST AND TAXES</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69C781E"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669C781F" w14:textId="77777777" w:rsidR="00066C63" w:rsidRDefault="009656F6">
            <w:pPr>
              <w:jc w:val="right"/>
              <w:textAlignment w:val="bottom"/>
            </w:pPr>
            <w:r>
              <w:rPr>
                <w:rFonts w:ascii="Arial" w:eastAsia="宋体" w:hAnsi="Arial" w:cs="Arial"/>
                <w:b/>
                <w:bCs/>
                <w:color w:val="000000"/>
                <w:sz w:val="17"/>
                <w:szCs w:val="17"/>
              </w:rPr>
              <w:t>970</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69C7820" w14:textId="77777777" w:rsidR="00066C63" w:rsidRDefault="00066C63">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69C7821"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69C7822" w14:textId="77777777" w:rsidR="00066C63" w:rsidRDefault="009656F6">
            <w:pPr>
              <w:jc w:val="right"/>
              <w:textAlignment w:val="bottom"/>
            </w:pPr>
            <w:r>
              <w:rPr>
                <w:rFonts w:ascii="Arial" w:eastAsia="宋体" w:hAnsi="Arial" w:cs="Arial"/>
                <w:b/>
                <w:bCs/>
                <w:color w:val="000000"/>
                <w:sz w:val="17"/>
                <w:szCs w:val="17"/>
              </w:rPr>
              <w:t>937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69C7823" w14:textId="77777777" w:rsidR="00066C63" w:rsidRDefault="00066C63">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669C7824" w14:textId="77777777" w:rsidR="00066C63" w:rsidRDefault="009656F6">
            <w:pPr>
              <w:jc w:val="right"/>
              <w:textAlignment w:val="bottom"/>
            </w:pPr>
            <w:r>
              <w:rPr>
                <w:rFonts w:ascii="Arial" w:eastAsia="宋体" w:hAnsi="Arial" w:cs="Arial"/>
                <w:b/>
                <w:bCs/>
                <w:color w:val="000000"/>
                <w:sz w:val="17"/>
                <w:szCs w:val="17"/>
              </w:rPr>
              <w:t>4</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69C7825" w14:textId="77777777" w:rsidR="00066C63" w:rsidRDefault="009656F6">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tcPr>
          <w:p w14:paraId="669C7826" w14:textId="77777777" w:rsidR="00066C63" w:rsidRDefault="00066C63">
            <w:pPr>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tcPr>
          <w:p w14:paraId="669C7827" w14:textId="77777777" w:rsidR="00066C63" w:rsidRDefault="00066C63">
            <w:pPr>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69C7828"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669C7829" w14:textId="77777777" w:rsidR="00066C63" w:rsidRDefault="009656F6">
            <w:pPr>
              <w:jc w:val="right"/>
              <w:textAlignment w:val="bottom"/>
            </w:pPr>
            <w:r>
              <w:rPr>
                <w:rFonts w:ascii="Arial" w:eastAsia="宋体" w:hAnsi="Arial" w:cs="Arial"/>
                <w:b/>
                <w:bCs/>
                <w:color w:val="000000"/>
                <w:sz w:val="17"/>
                <w:szCs w:val="17"/>
              </w:rPr>
              <w:t>3,295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69C782A" w14:textId="77777777" w:rsidR="00066C63" w:rsidRDefault="00066C63">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69C782B"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69C782C" w14:textId="77777777" w:rsidR="00066C63" w:rsidRDefault="009656F6">
            <w:pPr>
              <w:jc w:val="right"/>
              <w:textAlignment w:val="bottom"/>
            </w:pPr>
            <w:r>
              <w:rPr>
                <w:rFonts w:ascii="Arial" w:eastAsia="宋体" w:hAnsi="Arial" w:cs="Arial"/>
                <w:b/>
                <w:bCs/>
                <w:color w:val="000000"/>
                <w:sz w:val="17"/>
                <w:szCs w:val="17"/>
              </w:rPr>
              <w:t>2,912</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69C782D" w14:textId="77777777" w:rsidR="00066C63" w:rsidRDefault="00066C63">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669C782E" w14:textId="77777777" w:rsidR="00066C63" w:rsidRDefault="009656F6">
            <w:pPr>
              <w:jc w:val="right"/>
              <w:textAlignment w:val="bottom"/>
            </w:pPr>
            <w:r>
              <w:rPr>
                <w:rFonts w:ascii="Arial" w:eastAsia="宋体" w:hAnsi="Arial" w:cs="Arial"/>
                <w:b/>
                <w:bCs/>
                <w:color w:val="000000"/>
                <w:sz w:val="17"/>
                <w:szCs w:val="17"/>
              </w:rPr>
              <w:t>13</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69C782F" w14:textId="77777777" w:rsidR="00066C63" w:rsidRDefault="009656F6">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tcPr>
          <w:p w14:paraId="669C7830" w14:textId="77777777" w:rsidR="00066C63" w:rsidRDefault="00066C63">
            <w:pPr>
              <w:rPr>
                <w:rFonts w:ascii="宋体"/>
              </w:rPr>
            </w:pPr>
          </w:p>
        </w:tc>
      </w:tr>
    </w:tbl>
    <w:p w14:paraId="669C7832" w14:textId="77777777" w:rsidR="00066C63" w:rsidRDefault="009656F6">
      <w:pPr>
        <w:spacing w:before="120" w:after="120"/>
      </w:pPr>
      <w:r>
        <w:rPr>
          <w:rFonts w:ascii="Arial" w:eastAsia="宋体" w:hAnsi="Arial" w:cs="Arial"/>
          <w:color w:val="000000"/>
          <w:sz w:val="17"/>
          <w:szCs w:val="17"/>
        </w:rPr>
        <w:t>We believe there continues to be a meaningful shift in the way consumers shop fo</w:t>
      </w:r>
      <w:r>
        <w:rPr>
          <w:rFonts w:ascii="Arial" w:eastAsia="宋体" w:hAnsi="Arial" w:cs="Arial"/>
          <w:color w:val="000000"/>
          <w:sz w:val="17"/>
          <w:szCs w:val="17"/>
        </w:rPr>
        <w:t>r product and make purchasing decisions across each of our geographies. Consumers are demanding a constant flow of fresh and innovative product, and have an expectation for superior service and rapid delivery, all fueled by the shift toward digital and mon</w:t>
      </w:r>
      <w:r>
        <w:rPr>
          <w:rFonts w:ascii="Arial" w:eastAsia="宋体" w:hAnsi="Arial" w:cs="Arial"/>
          <w:color w:val="000000"/>
          <w:sz w:val="17"/>
          <w:szCs w:val="17"/>
        </w:rPr>
        <w:t>o-brand experiences in NIKE Direct. We anticipate continued evolution within the retail landscape, driven by shifting consumer traffic patterns across digital and physical channels. Specifically in North America, we remain focused on building long-term mom</w:t>
      </w:r>
      <w:r>
        <w:rPr>
          <w:rFonts w:ascii="Arial" w:eastAsia="宋体" w:hAnsi="Arial" w:cs="Arial"/>
          <w:color w:val="000000"/>
          <w:sz w:val="17"/>
          <w:szCs w:val="17"/>
        </w:rPr>
        <w:t>entum with our strategic wholesale customers, which offer a differentiated retail experience. Additionally, over the last three years we have significantly reduced the number of undifferentiated wholesale accounts. During fiscal 2021, we took further steps</w:t>
      </w:r>
      <w:r>
        <w:rPr>
          <w:rFonts w:ascii="Arial" w:eastAsia="宋体" w:hAnsi="Arial" w:cs="Arial"/>
          <w:color w:val="000000"/>
          <w:sz w:val="17"/>
          <w:szCs w:val="17"/>
        </w:rPr>
        <w:t xml:space="preserve"> towards account and channel consolidation by reprioritizing product allocation to benefit NIKE Direct and our differentiated strategic wholesale customers. We expect over the next two fiscal years, we will more aggressively accelerate these changes as we </w:t>
      </w:r>
      <w:r>
        <w:rPr>
          <w:rFonts w:ascii="Arial" w:eastAsia="宋体" w:hAnsi="Arial" w:cs="Arial"/>
          <w:color w:val="000000"/>
          <w:sz w:val="17"/>
          <w:szCs w:val="17"/>
        </w:rPr>
        <w:t>work to reprofile the shape of the marketplace and recapture wholesale revenue declines over time.</w:t>
      </w:r>
    </w:p>
    <w:p w14:paraId="669C7833" w14:textId="77777777" w:rsidR="00066C63" w:rsidRDefault="009656F6">
      <w:pPr>
        <w:spacing w:before="120" w:after="120"/>
        <w:jc w:val="right"/>
      </w:pPr>
      <w:r>
        <w:rPr>
          <w:rFonts w:ascii="Arial" w:eastAsia="宋体" w:hAnsi="Arial" w:cs="Arial"/>
          <w:color w:val="E87722"/>
          <w:sz w:val="17"/>
          <w:szCs w:val="17"/>
        </w:rPr>
        <w:t>33</w:t>
      </w:r>
    </w:p>
    <w:p w14:paraId="669C7834" w14:textId="77777777" w:rsidR="00066C63" w:rsidRDefault="009656F6">
      <w:r>
        <w:pict w14:anchorId="669C7E51">
          <v:rect id="_x0000_i1059" style="width:415.3pt;height:1.5pt" o:hralign="center" o:hrstd="t" o:hr="t" fillcolor="#a0a0a0" stroked="f"/>
        </w:pict>
      </w:r>
    </w:p>
    <w:p w14:paraId="669C7835" w14:textId="77777777" w:rsidR="00066C63" w:rsidRDefault="00066C63"/>
    <w:p w14:paraId="669C7836" w14:textId="77777777" w:rsidR="00066C63" w:rsidRDefault="009656F6">
      <w:hyperlink r:id="rId104" w:anchor="i1e99cb26debe49fe8b698d0f0eb1273a_7" w:history="1">
        <w:r>
          <w:rPr>
            <w:rStyle w:val="a5"/>
            <w:rFonts w:ascii="sans-serif" w:eastAsia="sans-serif" w:hAnsi="sans-serif" w:cs="sans-serif"/>
            <w:sz w:val="17"/>
            <w:szCs w:val="17"/>
          </w:rPr>
          <w:t>Table of Contents</w:t>
        </w:r>
      </w:hyperlink>
    </w:p>
    <w:p w14:paraId="669C7837" w14:textId="77777777" w:rsidR="00066C63" w:rsidRDefault="00066C63"/>
    <w:p w14:paraId="669C7838" w14:textId="77777777" w:rsidR="00066C63" w:rsidRDefault="009656F6">
      <w:pPr>
        <w:spacing w:before="120"/>
      </w:pPr>
      <w:r>
        <w:rPr>
          <w:rFonts w:ascii="sans-serif" w:eastAsia="sans-serif" w:hAnsi="sans-serif" w:cs="sans-serif"/>
          <w:b/>
          <w:bCs/>
          <w:color w:val="808080"/>
          <w:sz w:val="22"/>
          <w:szCs w:val="22"/>
        </w:rPr>
        <w:t>THIRD QUARTER OF FISCAL 2021 COMPARED TO THIRD QUARTER OF FISCAL 2020</w:t>
      </w:r>
    </w:p>
    <w:p w14:paraId="669C7839" w14:textId="77777777" w:rsidR="00066C63" w:rsidRDefault="009656F6">
      <w:pPr>
        <w:spacing w:after="120"/>
      </w:pPr>
      <w:r>
        <w:rPr>
          <w:rFonts w:ascii="Arial" w:eastAsia="宋体" w:hAnsi="Arial" w:cs="Arial"/>
          <w:color w:val="000000"/>
          <w:sz w:val="17"/>
          <w:szCs w:val="17"/>
        </w:rPr>
        <w:t>On a currency-n</w:t>
      </w:r>
      <w:r>
        <w:rPr>
          <w:rFonts w:ascii="Arial" w:eastAsia="宋体" w:hAnsi="Arial" w:cs="Arial"/>
          <w:color w:val="000000"/>
          <w:sz w:val="17"/>
          <w:szCs w:val="17"/>
        </w:rPr>
        <w:t>eutral basis, North America revenues for the third quarter of fiscal 2021 decreased 11% due to declines in all key categories, primarily Sportswear and Running. Lower revenues in North America primarily resulted from a 25% decline in sales to wholesale cus</w:t>
      </w:r>
      <w:r>
        <w:rPr>
          <w:rFonts w:ascii="Arial" w:eastAsia="宋体" w:hAnsi="Arial" w:cs="Arial"/>
          <w:color w:val="000000"/>
          <w:sz w:val="17"/>
          <w:szCs w:val="17"/>
        </w:rPr>
        <w:t>tomers, largely due to global supply chain challenges which caused an increase in transit times of inventory supply and a delay in timing of shipments to our wholesale partners and to a lesser extent, a decrease in distribution to undifferentiated wholesal</w:t>
      </w:r>
      <w:r>
        <w:rPr>
          <w:rFonts w:ascii="Arial" w:eastAsia="宋体" w:hAnsi="Arial" w:cs="Arial"/>
          <w:color w:val="000000"/>
          <w:sz w:val="17"/>
          <w:szCs w:val="17"/>
        </w:rPr>
        <w:t xml:space="preserve">e customers. NIKE Direct revenues increased 15% as strong digital sales growth of 53% more than offset a 20% decline in comparable store sales </w:t>
      </w:r>
      <w:r>
        <w:rPr>
          <w:rFonts w:ascii="Arial" w:eastAsia="宋体" w:hAnsi="Arial" w:cs="Arial"/>
          <w:color w:val="212529"/>
          <w:sz w:val="17"/>
          <w:szCs w:val="17"/>
        </w:rPr>
        <w:t>primarily due to reduced physical retail traffic, in part resulting from safety-related measures in response to C</w:t>
      </w:r>
      <w:r>
        <w:rPr>
          <w:rFonts w:ascii="Arial" w:eastAsia="宋体" w:hAnsi="Arial" w:cs="Arial"/>
          <w:color w:val="212529"/>
          <w:sz w:val="17"/>
          <w:szCs w:val="17"/>
        </w:rPr>
        <w:t>OVID-19</w:t>
      </w:r>
      <w:r>
        <w:rPr>
          <w:rFonts w:ascii="Arial" w:eastAsia="宋体" w:hAnsi="Arial" w:cs="Arial"/>
          <w:color w:val="000000"/>
          <w:sz w:val="17"/>
          <w:szCs w:val="17"/>
        </w:rPr>
        <w:t>.</w:t>
      </w:r>
    </w:p>
    <w:p w14:paraId="669C783A" w14:textId="77777777" w:rsidR="00066C63" w:rsidRDefault="009656F6">
      <w:pPr>
        <w:spacing w:before="120" w:after="120"/>
      </w:pPr>
      <w:r>
        <w:rPr>
          <w:rFonts w:ascii="Arial" w:eastAsia="宋体" w:hAnsi="Arial" w:cs="Arial"/>
          <w:color w:val="000000"/>
          <w:sz w:val="17"/>
          <w:szCs w:val="17"/>
        </w:rPr>
        <w:t xml:space="preserve">Footwear revenues decreased 9% on a currency-neutral basis, due to declines in all key categories, primarily Sportswear and Running. Unit sales of footwear decreased 18%, while higher ASP per pair contributed approximately 9 percentage </w:t>
      </w:r>
      <w:r>
        <w:rPr>
          <w:rFonts w:ascii="Arial" w:eastAsia="宋体" w:hAnsi="Arial" w:cs="Arial"/>
          <w:color w:val="000000"/>
          <w:sz w:val="17"/>
          <w:szCs w:val="17"/>
        </w:rPr>
        <w:t>points. Higher ASP per pair was primarily due to the favorable impact of growth in our NIKE Direct business, as well as higher NIKE Direct and full-price ASPs.</w:t>
      </w:r>
    </w:p>
    <w:p w14:paraId="669C783B" w14:textId="77777777" w:rsidR="00066C63" w:rsidRDefault="009656F6">
      <w:pPr>
        <w:spacing w:before="120" w:after="120"/>
      </w:pPr>
      <w:r>
        <w:rPr>
          <w:rFonts w:ascii="Arial" w:eastAsia="宋体" w:hAnsi="Arial" w:cs="Arial"/>
          <w:color w:val="000000"/>
          <w:sz w:val="17"/>
          <w:szCs w:val="17"/>
        </w:rPr>
        <w:t xml:space="preserve">On a currency-neutral basis, apparel revenues decreased 12%, driven by lower revenues in nearly </w:t>
      </w:r>
      <w:r>
        <w:rPr>
          <w:rFonts w:ascii="Arial" w:eastAsia="宋体" w:hAnsi="Arial" w:cs="Arial"/>
          <w:color w:val="000000"/>
          <w:sz w:val="17"/>
          <w:szCs w:val="17"/>
        </w:rPr>
        <w:t>all key categories, primarily Training. Unit sales of apparel decreased 18%, while higher ASP per unit contributed approximately 6 percentage points. The increase in ASP per unit was primarily driven by the favorable impact of growth in our NIKE Direct bus</w:t>
      </w:r>
      <w:r>
        <w:rPr>
          <w:rFonts w:ascii="Arial" w:eastAsia="宋体" w:hAnsi="Arial" w:cs="Arial"/>
          <w:color w:val="000000"/>
          <w:sz w:val="17"/>
          <w:szCs w:val="17"/>
        </w:rPr>
        <w:t>iness, as well as higher NIKE Direct and off-price ASPs.</w:t>
      </w:r>
    </w:p>
    <w:p w14:paraId="669C783C" w14:textId="77777777" w:rsidR="00066C63" w:rsidRDefault="009656F6">
      <w:r>
        <w:rPr>
          <w:rFonts w:ascii="Arial" w:eastAsia="宋体" w:hAnsi="Arial" w:cs="Arial"/>
          <w:color w:val="000000"/>
          <w:sz w:val="17"/>
          <w:szCs w:val="17"/>
        </w:rPr>
        <w:t xml:space="preserve">Reported EBIT increased 4% as gross margin expansion and lower selling and administrative expense more than offset lower revenues. Gross margin increased approximately 190 basis points primarily due </w:t>
      </w:r>
      <w:r>
        <w:rPr>
          <w:rFonts w:ascii="Arial" w:eastAsia="宋体" w:hAnsi="Arial" w:cs="Arial"/>
          <w:color w:val="000000"/>
          <w:sz w:val="17"/>
          <w:szCs w:val="17"/>
        </w:rPr>
        <w:t>to higher full-price ASP, net of discounts and the favorable impact of growth in our NIKE Direct business. Selling and administrative expense decreased due to lower operating overhead and demand creation expense. Operating overhead expense decreased primar</w:t>
      </w:r>
      <w:r>
        <w:rPr>
          <w:rFonts w:ascii="Arial" w:eastAsia="宋体" w:hAnsi="Arial" w:cs="Arial"/>
          <w:color w:val="000000"/>
          <w:sz w:val="17"/>
          <w:szCs w:val="17"/>
        </w:rPr>
        <w:t>ily as a result of lower bad debt and wage-related expenses, partially offset by an increase in professional services costs. The decrease in demand creation expense reflected lower advertising and marketing expense for brand events and our retail operation</w:t>
      </w:r>
      <w:r>
        <w:rPr>
          <w:rFonts w:ascii="Arial" w:eastAsia="宋体" w:hAnsi="Arial" w:cs="Arial"/>
          <w:color w:val="000000"/>
          <w:sz w:val="17"/>
          <w:szCs w:val="17"/>
        </w:rPr>
        <w:t xml:space="preserve">s, partially offset by continued investments in digital marketing to support heightened digital demand. </w:t>
      </w:r>
    </w:p>
    <w:p w14:paraId="669C783D" w14:textId="77777777" w:rsidR="00066C63" w:rsidRDefault="009656F6">
      <w:pPr>
        <w:spacing w:before="120"/>
      </w:pPr>
      <w:r>
        <w:rPr>
          <w:rFonts w:ascii="sans-serif" w:eastAsia="sans-serif" w:hAnsi="sans-serif" w:cs="sans-serif"/>
          <w:b/>
          <w:bCs/>
          <w:color w:val="808080"/>
          <w:sz w:val="22"/>
          <w:szCs w:val="22"/>
        </w:rPr>
        <w:t>FIRST NINE MONTHS OF FISCAL 2021 COMPARED TO FIRST NINE MONTHS OF FISCAL 2020</w:t>
      </w:r>
    </w:p>
    <w:p w14:paraId="669C783E" w14:textId="77777777" w:rsidR="00066C63" w:rsidRDefault="009656F6">
      <w:pPr>
        <w:spacing w:after="120"/>
      </w:pPr>
      <w:r>
        <w:rPr>
          <w:rFonts w:ascii="Arial" w:eastAsia="宋体" w:hAnsi="Arial" w:cs="Arial"/>
          <w:color w:val="000000"/>
          <w:sz w:val="17"/>
          <w:szCs w:val="17"/>
        </w:rPr>
        <w:t>On a currency-neutral basis, North America revenues for the first nine mo</w:t>
      </w:r>
      <w:r>
        <w:rPr>
          <w:rFonts w:ascii="Arial" w:eastAsia="宋体" w:hAnsi="Arial" w:cs="Arial"/>
          <w:color w:val="000000"/>
          <w:sz w:val="17"/>
          <w:szCs w:val="17"/>
        </w:rPr>
        <w:t xml:space="preserve">nths of fiscal 2021 decreased 4%, driven by declines in most key categories, led by Training and Running. NIKE Direct revenues increased 17%, primarily due to strong digital sales growth of 82%, partially offset by comparable store sales declines of 23%, </w:t>
      </w:r>
      <w:r>
        <w:rPr>
          <w:rFonts w:ascii="Arial" w:eastAsia="宋体" w:hAnsi="Arial" w:cs="Arial"/>
          <w:color w:val="212529"/>
          <w:sz w:val="17"/>
          <w:szCs w:val="17"/>
        </w:rPr>
        <w:t>p</w:t>
      </w:r>
      <w:r>
        <w:rPr>
          <w:rFonts w:ascii="Arial" w:eastAsia="宋体" w:hAnsi="Arial" w:cs="Arial"/>
          <w:color w:val="212529"/>
          <w:sz w:val="17"/>
          <w:szCs w:val="17"/>
        </w:rPr>
        <w:t>rimarily due to reduced physical retail traffic, in part resulting from safety-related measures in response to COVID-19</w:t>
      </w:r>
      <w:r>
        <w:rPr>
          <w:rFonts w:ascii="Arial" w:eastAsia="宋体" w:hAnsi="Arial" w:cs="Arial"/>
          <w:color w:val="000000"/>
          <w:sz w:val="17"/>
          <w:szCs w:val="17"/>
        </w:rPr>
        <w:t>.</w:t>
      </w:r>
    </w:p>
    <w:p w14:paraId="669C783F" w14:textId="77777777" w:rsidR="00066C63" w:rsidRDefault="009656F6">
      <w:pPr>
        <w:spacing w:before="120" w:after="120"/>
      </w:pPr>
      <w:r>
        <w:rPr>
          <w:rFonts w:ascii="Arial" w:eastAsia="宋体" w:hAnsi="Arial" w:cs="Arial"/>
          <w:color w:val="000000"/>
          <w:sz w:val="17"/>
          <w:szCs w:val="17"/>
        </w:rPr>
        <w:t>Footwear revenues increased 2% on a currency-neutral basis largely driven by significant growth in digital. Unit sales of footwear decr</w:t>
      </w:r>
      <w:r>
        <w:rPr>
          <w:rFonts w:ascii="Arial" w:eastAsia="宋体" w:hAnsi="Arial" w:cs="Arial"/>
          <w:color w:val="000000"/>
          <w:sz w:val="17"/>
          <w:szCs w:val="17"/>
        </w:rPr>
        <w:t>eased 5%, while higher ASP per pair contributed approximately 7 percentage points of footwear revenue growth. Higher ASP per pair was primarily due to higher NIKE Direct and full-price ASPs, as well as the favorable impact of growth in our NIKE Direct busi</w:t>
      </w:r>
      <w:r>
        <w:rPr>
          <w:rFonts w:ascii="Arial" w:eastAsia="宋体" w:hAnsi="Arial" w:cs="Arial"/>
          <w:color w:val="000000"/>
          <w:sz w:val="17"/>
          <w:szCs w:val="17"/>
        </w:rPr>
        <w:t>ness.</w:t>
      </w:r>
    </w:p>
    <w:p w14:paraId="669C7840" w14:textId="77777777" w:rsidR="00066C63" w:rsidRDefault="009656F6">
      <w:pPr>
        <w:spacing w:before="120" w:after="120"/>
      </w:pPr>
      <w:r>
        <w:rPr>
          <w:rFonts w:ascii="Arial" w:eastAsia="宋体" w:hAnsi="Arial" w:cs="Arial"/>
          <w:color w:val="000000"/>
          <w:sz w:val="17"/>
          <w:szCs w:val="17"/>
        </w:rPr>
        <w:t xml:space="preserve">On a currency-neutral basis, apparel revenues decreased 12%, driven by declines in most key categories, led by Training. Unit sales of apparel declined 13% and higher ASP per unit contributed approximately 1 percentage point. The increase in ASP per </w:t>
      </w:r>
      <w:r>
        <w:rPr>
          <w:rFonts w:ascii="Arial" w:eastAsia="宋体" w:hAnsi="Arial" w:cs="Arial"/>
          <w:color w:val="000000"/>
          <w:sz w:val="17"/>
          <w:szCs w:val="17"/>
        </w:rPr>
        <w:t xml:space="preserve">unit was driven by the favorable impact of growth in our NIKE Direct business and higher NIKE Direct ASP, partially offset by lower full-price ASP. </w:t>
      </w:r>
    </w:p>
    <w:p w14:paraId="669C7841" w14:textId="77777777" w:rsidR="00066C63" w:rsidRDefault="009656F6">
      <w:pPr>
        <w:spacing w:before="120" w:after="120"/>
      </w:pPr>
      <w:r>
        <w:rPr>
          <w:rFonts w:ascii="Arial" w:eastAsia="宋体" w:hAnsi="Arial" w:cs="Arial"/>
          <w:color w:val="000000"/>
          <w:sz w:val="17"/>
          <w:szCs w:val="17"/>
        </w:rPr>
        <w:t xml:space="preserve">Reported EBIT increased 13% driven by lower selling and administrative expense and gross margin expansion, </w:t>
      </w:r>
      <w:r>
        <w:rPr>
          <w:rFonts w:ascii="Arial" w:eastAsia="宋体" w:hAnsi="Arial" w:cs="Arial"/>
          <w:color w:val="000000"/>
          <w:sz w:val="17"/>
          <w:szCs w:val="17"/>
        </w:rPr>
        <w:t xml:space="preserve">partially offset by lower revenues. Gross margin increased approximately 150 basis points primarily due to higher full-price ASP, net of discounts and lower other costs, partially offset by higher product costs. The decrease in other costs was primarily a </w:t>
      </w:r>
      <w:r>
        <w:rPr>
          <w:rFonts w:ascii="Arial" w:eastAsia="宋体" w:hAnsi="Arial" w:cs="Arial"/>
          <w:color w:val="000000"/>
          <w:sz w:val="17"/>
          <w:szCs w:val="17"/>
        </w:rPr>
        <w:t>result of the favorable impact from the release of factory cancellation cost accruals due to an increase in consumer demand, as well as lower inventory obsolescence, partially offset by higher warehousing and freight costs. Selling and administrative expen</w:t>
      </w:r>
      <w:r>
        <w:rPr>
          <w:rFonts w:ascii="Arial" w:eastAsia="宋体" w:hAnsi="Arial" w:cs="Arial"/>
          <w:color w:val="000000"/>
          <w:sz w:val="17"/>
          <w:szCs w:val="17"/>
        </w:rPr>
        <w:t>se decreased due to lower demand creation and operating overhead expense. The decrease in demand creation expense was primarily due to lower advertising and marketing expense for brand events and our retail operations, partially offset by continued investm</w:t>
      </w:r>
      <w:r>
        <w:rPr>
          <w:rFonts w:ascii="Arial" w:eastAsia="宋体" w:hAnsi="Arial" w:cs="Arial"/>
          <w:color w:val="000000"/>
          <w:sz w:val="17"/>
          <w:szCs w:val="17"/>
        </w:rPr>
        <w:t>ents in digital marketing to support heightened digital demand. Operating overhead expense decreased primarily as a result of lower wage-related expense, partially offset by an increase in professional services costs.</w:t>
      </w:r>
    </w:p>
    <w:p w14:paraId="669C7842" w14:textId="77777777" w:rsidR="00066C63" w:rsidRDefault="009656F6">
      <w:pPr>
        <w:spacing w:before="120" w:after="120"/>
      </w:pPr>
      <w:r>
        <w:rPr>
          <w:rFonts w:ascii="Arial" w:eastAsia="宋体" w:hAnsi="Arial" w:cs="Arial"/>
          <w:color w:val="E87722"/>
          <w:sz w:val="17"/>
          <w:szCs w:val="17"/>
        </w:rPr>
        <w:t>34</w:t>
      </w:r>
      <w:r>
        <w:rPr>
          <w:rFonts w:ascii="sans-serif" w:eastAsia="sans-serif" w:hAnsi="sans-serif" w:cs="sans-serif"/>
          <w:color w:val="000000"/>
          <w:sz w:val="17"/>
          <w:szCs w:val="17"/>
        </w:rPr>
        <w:t xml:space="preserve"> </w:t>
      </w:r>
    </w:p>
    <w:p w14:paraId="669C7843" w14:textId="77777777" w:rsidR="00066C63" w:rsidRDefault="009656F6">
      <w:r>
        <w:pict w14:anchorId="669C7E52">
          <v:rect id="_x0000_i1060" style="width:415.3pt;height:1.5pt" o:hralign="center" o:hrstd="t" o:hr="t" fillcolor="#a0a0a0" stroked="f"/>
        </w:pict>
      </w:r>
    </w:p>
    <w:p w14:paraId="669C7844" w14:textId="77777777" w:rsidR="00066C63" w:rsidRDefault="00066C63"/>
    <w:p w14:paraId="669C7845" w14:textId="77777777" w:rsidR="00066C63" w:rsidRDefault="009656F6">
      <w:hyperlink r:id="rId105" w:anchor="i1e99cb26debe49fe8b698d0f0eb1273a_7" w:history="1">
        <w:r>
          <w:rPr>
            <w:rStyle w:val="a5"/>
            <w:rFonts w:ascii="sans-serif" w:eastAsia="sans-serif" w:hAnsi="sans-serif" w:cs="sans-serif"/>
            <w:sz w:val="17"/>
            <w:szCs w:val="17"/>
          </w:rPr>
          <w:t>Table of Contents</w:t>
        </w:r>
      </w:hyperlink>
    </w:p>
    <w:p w14:paraId="669C7846" w14:textId="77777777" w:rsidR="00066C63" w:rsidRDefault="00066C63"/>
    <w:p w14:paraId="669C7847" w14:textId="77777777" w:rsidR="00066C63" w:rsidRDefault="009656F6">
      <w:pPr>
        <w:spacing w:before="240" w:after="120"/>
      </w:pPr>
      <w:r>
        <w:rPr>
          <w:rFonts w:ascii="sans-serif" w:eastAsia="sans-serif" w:hAnsi="sans-serif" w:cs="sans-serif"/>
          <w:b/>
          <w:bCs/>
          <w:color w:val="000000"/>
          <w:sz w:val="28"/>
          <w:szCs w:val="28"/>
        </w:rPr>
        <w:t>EUROPE, MIDDLE EAST &amp; AFRICA</w:t>
      </w:r>
    </w:p>
    <w:tbl>
      <w:tblPr>
        <w:tblW w:w="5000" w:type="pct"/>
        <w:tblCellMar>
          <w:top w:w="15" w:type="dxa"/>
          <w:left w:w="15" w:type="dxa"/>
          <w:bottom w:w="15" w:type="dxa"/>
          <w:right w:w="15" w:type="dxa"/>
        </w:tblCellMar>
        <w:tblLook w:val="04A0" w:firstRow="1" w:lastRow="0" w:firstColumn="1" w:lastColumn="0" w:noHBand="0" w:noVBand="1"/>
      </w:tblPr>
      <w:tblGrid>
        <w:gridCol w:w="49"/>
        <w:gridCol w:w="1149"/>
        <w:gridCol w:w="36"/>
        <w:gridCol w:w="115"/>
        <w:gridCol w:w="693"/>
        <w:gridCol w:w="36"/>
        <w:gridCol w:w="115"/>
        <w:gridCol w:w="693"/>
        <w:gridCol w:w="36"/>
        <w:gridCol w:w="85"/>
        <w:gridCol w:w="542"/>
        <w:gridCol w:w="170"/>
        <w:gridCol w:w="98"/>
        <w:gridCol w:w="744"/>
        <w:gridCol w:w="170"/>
        <w:gridCol w:w="36"/>
        <w:gridCol w:w="36"/>
        <w:gridCol w:w="36"/>
        <w:gridCol w:w="115"/>
        <w:gridCol w:w="693"/>
        <w:gridCol w:w="36"/>
        <w:gridCol w:w="115"/>
        <w:gridCol w:w="693"/>
        <w:gridCol w:w="36"/>
        <w:gridCol w:w="85"/>
        <w:gridCol w:w="542"/>
        <w:gridCol w:w="170"/>
        <w:gridCol w:w="98"/>
        <w:gridCol w:w="744"/>
        <w:gridCol w:w="170"/>
      </w:tblGrid>
      <w:tr w:rsidR="00066C63" w14:paraId="669C7866" w14:textId="77777777">
        <w:tc>
          <w:tcPr>
            <w:tcW w:w="50" w:type="pct"/>
            <w:shd w:val="clear" w:color="auto" w:fill="auto"/>
          </w:tcPr>
          <w:p w14:paraId="669C7848" w14:textId="77777777" w:rsidR="00066C63" w:rsidRDefault="00066C63">
            <w:pPr>
              <w:rPr>
                <w:rFonts w:ascii="宋体"/>
              </w:rPr>
            </w:pPr>
          </w:p>
        </w:tc>
        <w:tc>
          <w:tcPr>
            <w:tcW w:w="1264" w:type="pct"/>
            <w:shd w:val="clear" w:color="auto" w:fill="auto"/>
          </w:tcPr>
          <w:p w14:paraId="669C7849" w14:textId="77777777" w:rsidR="00066C63" w:rsidRDefault="00066C63">
            <w:pPr>
              <w:rPr>
                <w:rFonts w:ascii="宋体"/>
              </w:rPr>
            </w:pPr>
          </w:p>
        </w:tc>
        <w:tc>
          <w:tcPr>
            <w:tcW w:w="5" w:type="pct"/>
            <w:shd w:val="clear" w:color="auto" w:fill="auto"/>
          </w:tcPr>
          <w:p w14:paraId="669C784A" w14:textId="77777777" w:rsidR="00066C63" w:rsidRDefault="00066C63">
            <w:pPr>
              <w:rPr>
                <w:rFonts w:ascii="宋体"/>
              </w:rPr>
            </w:pPr>
          </w:p>
        </w:tc>
        <w:tc>
          <w:tcPr>
            <w:tcW w:w="50" w:type="pct"/>
            <w:shd w:val="clear" w:color="auto" w:fill="auto"/>
          </w:tcPr>
          <w:p w14:paraId="669C784B" w14:textId="77777777" w:rsidR="00066C63" w:rsidRDefault="00066C63">
            <w:pPr>
              <w:rPr>
                <w:rFonts w:ascii="宋体"/>
              </w:rPr>
            </w:pPr>
          </w:p>
        </w:tc>
        <w:tc>
          <w:tcPr>
            <w:tcW w:w="446" w:type="pct"/>
            <w:shd w:val="clear" w:color="auto" w:fill="auto"/>
          </w:tcPr>
          <w:p w14:paraId="669C784C" w14:textId="77777777" w:rsidR="00066C63" w:rsidRDefault="00066C63">
            <w:pPr>
              <w:rPr>
                <w:rFonts w:ascii="宋体"/>
              </w:rPr>
            </w:pPr>
          </w:p>
        </w:tc>
        <w:tc>
          <w:tcPr>
            <w:tcW w:w="5" w:type="pct"/>
            <w:shd w:val="clear" w:color="auto" w:fill="auto"/>
          </w:tcPr>
          <w:p w14:paraId="669C784D" w14:textId="77777777" w:rsidR="00066C63" w:rsidRDefault="00066C63">
            <w:pPr>
              <w:rPr>
                <w:rFonts w:ascii="宋体"/>
              </w:rPr>
            </w:pPr>
          </w:p>
        </w:tc>
        <w:tc>
          <w:tcPr>
            <w:tcW w:w="50" w:type="pct"/>
            <w:shd w:val="clear" w:color="auto" w:fill="auto"/>
          </w:tcPr>
          <w:p w14:paraId="669C784E" w14:textId="77777777" w:rsidR="00066C63" w:rsidRDefault="00066C63">
            <w:pPr>
              <w:rPr>
                <w:rFonts w:ascii="宋体"/>
              </w:rPr>
            </w:pPr>
          </w:p>
        </w:tc>
        <w:tc>
          <w:tcPr>
            <w:tcW w:w="446" w:type="pct"/>
            <w:shd w:val="clear" w:color="auto" w:fill="auto"/>
          </w:tcPr>
          <w:p w14:paraId="669C784F" w14:textId="77777777" w:rsidR="00066C63" w:rsidRDefault="00066C63">
            <w:pPr>
              <w:rPr>
                <w:rFonts w:ascii="宋体"/>
              </w:rPr>
            </w:pPr>
          </w:p>
        </w:tc>
        <w:tc>
          <w:tcPr>
            <w:tcW w:w="5" w:type="pct"/>
            <w:shd w:val="clear" w:color="auto" w:fill="auto"/>
          </w:tcPr>
          <w:p w14:paraId="669C7850" w14:textId="77777777" w:rsidR="00066C63" w:rsidRDefault="00066C63">
            <w:pPr>
              <w:rPr>
                <w:rFonts w:ascii="宋体"/>
              </w:rPr>
            </w:pPr>
          </w:p>
        </w:tc>
        <w:tc>
          <w:tcPr>
            <w:tcW w:w="50" w:type="pct"/>
            <w:shd w:val="clear" w:color="auto" w:fill="auto"/>
          </w:tcPr>
          <w:p w14:paraId="669C7851" w14:textId="77777777" w:rsidR="00066C63" w:rsidRDefault="00066C63">
            <w:pPr>
              <w:rPr>
                <w:rFonts w:ascii="宋体"/>
              </w:rPr>
            </w:pPr>
          </w:p>
        </w:tc>
        <w:tc>
          <w:tcPr>
            <w:tcW w:w="323" w:type="pct"/>
            <w:shd w:val="clear" w:color="auto" w:fill="auto"/>
          </w:tcPr>
          <w:p w14:paraId="669C7852" w14:textId="77777777" w:rsidR="00066C63" w:rsidRDefault="00066C63">
            <w:pPr>
              <w:rPr>
                <w:rFonts w:ascii="宋体"/>
              </w:rPr>
            </w:pPr>
          </w:p>
        </w:tc>
        <w:tc>
          <w:tcPr>
            <w:tcW w:w="5" w:type="pct"/>
            <w:shd w:val="clear" w:color="auto" w:fill="auto"/>
          </w:tcPr>
          <w:p w14:paraId="669C7853" w14:textId="77777777" w:rsidR="00066C63" w:rsidRDefault="00066C63">
            <w:pPr>
              <w:rPr>
                <w:rFonts w:ascii="宋体"/>
              </w:rPr>
            </w:pPr>
          </w:p>
        </w:tc>
        <w:tc>
          <w:tcPr>
            <w:tcW w:w="50" w:type="pct"/>
            <w:shd w:val="clear" w:color="auto" w:fill="auto"/>
          </w:tcPr>
          <w:p w14:paraId="669C7854" w14:textId="77777777" w:rsidR="00066C63" w:rsidRDefault="00066C63">
            <w:pPr>
              <w:rPr>
                <w:rFonts w:ascii="宋体"/>
              </w:rPr>
            </w:pPr>
          </w:p>
        </w:tc>
        <w:tc>
          <w:tcPr>
            <w:tcW w:w="384" w:type="pct"/>
            <w:shd w:val="clear" w:color="auto" w:fill="auto"/>
          </w:tcPr>
          <w:p w14:paraId="669C7855" w14:textId="77777777" w:rsidR="00066C63" w:rsidRDefault="00066C63">
            <w:pPr>
              <w:rPr>
                <w:rFonts w:ascii="宋体"/>
              </w:rPr>
            </w:pPr>
          </w:p>
        </w:tc>
        <w:tc>
          <w:tcPr>
            <w:tcW w:w="5" w:type="pct"/>
            <w:shd w:val="clear" w:color="auto" w:fill="auto"/>
          </w:tcPr>
          <w:p w14:paraId="669C7856" w14:textId="77777777" w:rsidR="00066C63" w:rsidRDefault="00066C63">
            <w:pPr>
              <w:rPr>
                <w:rFonts w:ascii="宋体"/>
              </w:rPr>
            </w:pPr>
          </w:p>
        </w:tc>
        <w:tc>
          <w:tcPr>
            <w:tcW w:w="5" w:type="pct"/>
            <w:shd w:val="clear" w:color="auto" w:fill="auto"/>
          </w:tcPr>
          <w:p w14:paraId="669C7857" w14:textId="77777777" w:rsidR="00066C63" w:rsidRDefault="00066C63">
            <w:pPr>
              <w:rPr>
                <w:rFonts w:ascii="宋体"/>
              </w:rPr>
            </w:pPr>
          </w:p>
        </w:tc>
        <w:tc>
          <w:tcPr>
            <w:tcW w:w="28" w:type="pct"/>
            <w:shd w:val="clear" w:color="auto" w:fill="auto"/>
          </w:tcPr>
          <w:p w14:paraId="669C7858" w14:textId="77777777" w:rsidR="00066C63" w:rsidRDefault="00066C63">
            <w:pPr>
              <w:rPr>
                <w:rFonts w:ascii="宋体"/>
              </w:rPr>
            </w:pPr>
          </w:p>
        </w:tc>
        <w:tc>
          <w:tcPr>
            <w:tcW w:w="5" w:type="pct"/>
            <w:shd w:val="clear" w:color="auto" w:fill="auto"/>
          </w:tcPr>
          <w:p w14:paraId="669C7859" w14:textId="77777777" w:rsidR="00066C63" w:rsidRDefault="00066C63">
            <w:pPr>
              <w:rPr>
                <w:rFonts w:ascii="宋体"/>
              </w:rPr>
            </w:pPr>
          </w:p>
        </w:tc>
        <w:tc>
          <w:tcPr>
            <w:tcW w:w="50" w:type="pct"/>
            <w:shd w:val="clear" w:color="auto" w:fill="auto"/>
          </w:tcPr>
          <w:p w14:paraId="669C785A" w14:textId="77777777" w:rsidR="00066C63" w:rsidRDefault="00066C63">
            <w:pPr>
              <w:rPr>
                <w:rFonts w:ascii="宋体"/>
              </w:rPr>
            </w:pPr>
          </w:p>
        </w:tc>
        <w:tc>
          <w:tcPr>
            <w:tcW w:w="446" w:type="pct"/>
            <w:shd w:val="clear" w:color="auto" w:fill="auto"/>
          </w:tcPr>
          <w:p w14:paraId="669C785B" w14:textId="77777777" w:rsidR="00066C63" w:rsidRDefault="00066C63">
            <w:pPr>
              <w:rPr>
                <w:rFonts w:ascii="宋体"/>
              </w:rPr>
            </w:pPr>
          </w:p>
        </w:tc>
        <w:tc>
          <w:tcPr>
            <w:tcW w:w="5" w:type="pct"/>
            <w:shd w:val="clear" w:color="auto" w:fill="auto"/>
          </w:tcPr>
          <w:p w14:paraId="669C785C" w14:textId="77777777" w:rsidR="00066C63" w:rsidRDefault="00066C63">
            <w:pPr>
              <w:rPr>
                <w:rFonts w:ascii="宋体"/>
              </w:rPr>
            </w:pPr>
          </w:p>
        </w:tc>
        <w:tc>
          <w:tcPr>
            <w:tcW w:w="50" w:type="pct"/>
            <w:shd w:val="clear" w:color="auto" w:fill="auto"/>
          </w:tcPr>
          <w:p w14:paraId="669C785D" w14:textId="77777777" w:rsidR="00066C63" w:rsidRDefault="00066C63">
            <w:pPr>
              <w:rPr>
                <w:rFonts w:ascii="宋体"/>
              </w:rPr>
            </w:pPr>
          </w:p>
        </w:tc>
        <w:tc>
          <w:tcPr>
            <w:tcW w:w="446" w:type="pct"/>
            <w:shd w:val="clear" w:color="auto" w:fill="auto"/>
          </w:tcPr>
          <w:p w14:paraId="669C785E" w14:textId="77777777" w:rsidR="00066C63" w:rsidRDefault="00066C63">
            <w:pPr>
              <w:rPr>
                <w:rFonts w:ascii="宋体"/>
              </w:rPr>
            </w:pPr>
          </w:p>
        </w:tc>
        <w:tc>
          <w:tcPr>
            <w:tcW w:w="5" w:type="pct"/>
            <w:shd w:val="clear" w:color="auto" w:fill="auto"/>
          </w:tcPr>
          <w:p w14:paraId="669C785F" w14:textId="77777777" w:rsidR="00066C63" w:rsidRDefault="00066C63">
            <w:pPr>
              <w:rPr>
                <w:rFonts w:ascii="宋体"/>
              </w:rPr>
            </w:pPr>
          </w:p>
        </w:tc>
        <w:tc>
          <w:tcPr>
            <w:tcW w:w="50" w:type="pct"/>
            <w:shd w:val="clear" w:color="auto" w:fill="auto"/>
          </w:tcPr>
          <w:p w14:paraId="669C7860" w14:textId="77777777" w:rsidR="00066C63" w:rsidRDefault="00066C63">
            <w:pPr>
              <w:rPr>
                <w:rFonts w:ascii="宋体"/>
              </w:rPr>
            </w:pPr>
          </w:p>
        </w:tc>
        <w:tc>
          <w:tcPr>
            <w:tcW w:w="323" w:type="pct"/>
            <w:shd w:val="clear" w:color="auto" w:fill="auto"/>
          </w:tcPr>
          <w:p w14:paraId="669C7861" w14:textId="77777777" w:rsidR="00066C63" w:rsidRDefault="00066C63">
            <w:pPr>
              <w:rPr>
                <w:rFonts w:ascii="宋体"/>
              </w:rPr>
            </w:pPr>
          </w:p>
        </w:tc>
        <w:tc>
          <w:tcPr>
            <w:tcW w:w="5" w:type="pct"/>
            <w:shd w:val="clear" w:color="auto" w:fill="auto"/>
          </w:tcPr>
          <w:p w14:paraId="669C7862" w14:textId="77777777" w:rsidR="00066C63" w:rsidRDefault="00066C63">
            <w:pPr>
              <w:rPr>
                <w:rFonts w:ascii="宋体"/>
              </w:rPr>
            </w:pPr>
          </w:p>
        </w:tc>
        <w:tc>
          <w:tcPr>
            <w:tcW w:w="50" w:type="pct"/>
            <w:shd w:val="clear" w:color="auto" w:fill="auto"/>
          </w:tcPr>
          <w:p w14:paraId="669C7863" w14:textId="77777777" w:rsidR="00066C63" w:rsidRDefault="00066C63">
            <w:pPr>
              <w:rPr>
                <w:rFonts w:ascii="宋体"/>
              </w:rPr>
            </w:pPr>
          </w:p>
        </w:tc>
        <w:tc>
          <w:tcPr>
            <w:tcW w:w="385" w:type="pct"/>
            <w:shd w:val="clear" w:color="auto" w:fill="auto"/>
          </w:tcPr>
          <w:p w14:paraId="669C7864" w14:textId="77777777" w:rsidR="00066C63" w:rsidRDefault="00066C63">
            <w:pPr>
              <w:rPr>
                <w:rFonts w:ascii="宋体"/>
              </w:rPr>
            </w:pPr>
          </w:p>
        </w:tc>
        <w:tc>
          <w:tcPr>
            <w:tcW w:w="5" w:type="pct"/>
            <w:shd w:val="clear" w:color="auto" w:fill="auto"/>
          </w:tcPr>
          <w:p w14:paraId="669C7865" w14:textId="77777777" w:rsidR="00066C63" w:rsidRDefault="00066C63">
            <w:pPr>
              <w:rPr>
                <w:rFonts w:ascii="宋体"/>
              </w:rPr>
            </w:pPr>
          </w:p>
        </w:tc>
      </w:tr>
      <w:tr w:rsidR="00066C63" w14:paraId="669C786B" w14:textId="77777777">
        <w:tc>
          <w:tcPr>
            <w:tcW w:w="0" w:type="auto"/>
            <w:gridSpan w:val="3"/>
            <w:shd w:val="clear" w:color="auto" w:fill="auto"/>
            <w:tcMar>
              <w:top w:w="0" w:type="dxa"/>
              <w:left w:w="20" w:type="dxa"/>
              <w:bottom w:w="0" w:type="dxa"/>
              <w:right w:w="20" w:type="dxa"/>
            </w:tcMar>
          </w:tcPr>
          <w:p w14:paraId="669C7867" w14:textId="77777777" w:rsidR="00066C63" w:rsidRDefault="00066C63">
            <w:pPr>
              <w:rPr>
                <w:rFonts w:ascii="宋体"/>
              </w:rPr>
            </w:pPr>
          </w:p>
        </w:tc>
        <w:tc>
          <w:tcPr>
            <w:tcW w:w="0" w:type="auto"/>
            <w:gridSpan w:val="12"/>
            <w:shd w:val="clear" w:color="auto" w:fill="auto"/>
            <w:tcMar>
              <w:top w:w="40" w:type="dxa"/>
              <w:left w:w="20" w:type="dxa"/>
              <w:bottom w:w="40" w:type="dxa"/>
              <w:right w:w="20" w:type="dxa"/>
            </w:tcMar>
            <w:vAlign w:val="bottom"/>
          </w:tcPr>
          <w:p w14:paraId="669C7868" w14:textId="77777777" w:rsidR="00066C63" w:rsidRDefault="009656F6">
            <w:pPr>
              <w:jc w:val="center"/>
              <w:textAlignment w:val="bottom"/>
            </w:pPr>
            <w:r>
              <w:rPr>
                <w:rFonts w:ascii="sans-serif" w:eastAsia="sans-serif" w:hAnsi="sans-serif" w:cs="sans-serif"/>
                <w:b/>
                <w:bCs/>
                <w:color w:val="000000"/>
                <w:sz w:val="17"/>
                <w:szCs w:val="17"/>
              </w:rPr>
              <w:t xml:space="preserve">THREE MONTHS ENDED </w:t>
            </w:r>
          </w:p>
        </w:tc>
        <w:tc>
          <w:tcPr>
            <w:tcW w:w="0" w:type="auto"/>
            <w:gridSpan w:val="3"/>
            <w:shd w:val="clear" w:color="auto" w:fill="auto"/>
            <w:tcMar>
              <w:top w:w="0" w:type="dxa"/>
              <w:left w:w="20" w:type="dxa"/>
              <w:bottom w:w="0" w:type="dxa"/>
              <w:right w:w="20" w:type="dxa"/>
            </w:tcMar>
          </w:tcPr>
          <w:p w14:paraId="669C7869" w14:textId="77777777" w:rsidR="00066C63" w:rsidRDefault="00066C63">
            <w:pPr>
              <w:rPr>
                <w:rFonts w:ascii="宋体"/>
              </w:rPr>
            </w:pPr>
          </w:p>
        </w:tc>
        <w:tc>
          <w:tcPr>
            <w:tcW w:w="0" w:type="auto"/>
            <w:gridSpan w:val="12"/>
            <w:shd w:val="clear" w:color="auto" w:fill="auto"/>
            <w:tcMar>
              <w:top w:w="40" w:type="dxa"/>
              <w:left w:w="20" w:type="dxa"/>
              <w:bottom w:w="40" w:type="dxa"/>
              <w:right w:w="20" w:type="dxa"/>
            </w:tcMar>
            <w:vAlign w:val="bottom"/>
          </w:tcPr>
          <w:p w14:paraId="669C786A" w14:textId="77777777" w:rsidR="00066C63" w:rsidRDefault="009656F6">
            <w:pPr>
              <w:jc w:val="center"/>
              <w:textAlignment w:val="bottom"/>
            </w:pPr>
            <w:r>
              <w:rPr>
                <w:rFonts w:ascii="sans-serif" w:eastAsia="sans-serif" w:hAnsi="sans-serif" w:cs="sans-serif"/>
                <w:b/>
                <w:bCs/>
                <w:color w:val="000000"/>
                <w:sz w:val="17"/>
                <w:szCs w:val="17"/>
              </w:rPr>
              <w:t xml:space="preserve">NINE MONTHS ENDED </w:t>
            </w:r>
          </w:p>
        </w:tc>
      </w:tr>
      <w:tr w:rsidR="00066C63" w14:paraId="669C7876" w14:textId="77777777">
        <w:tc>
          <w:tcPr>
            <w:tcW w:w="0" w:type="auto"/>
            <w:gridSpan w:val="3"/>
            <w:shd w:val="clear" w:color="auto" w:fill="auto"/>
            <w:tcMar>
              <w:top w:w="40" w:type="dxa"/>
              <w:left w:w="20" w:type="dxa"/>
              <w:bottom w:w="40" w:type="dxa"/>
              <w:right w:w="20" w:type="dxa"/>
            </w:tcMar>
            <w:vAlign w:val="bottom"/>
          </w:tcPr>
          <w:p w14:paraId="669C786C" w14:textId="77777777" w:rsidR="00066C63" w:rsidRDefault="009656F6">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86D" w14:textId="77777777" w:rsidR="00066C63" w:rsidRDefault="009656F6">
            <w:pPr>
              <w:jc w:val="center"/>
              <w:textAlignment w:val="bottom"/>
            </w:pPr>
            <w:r>
              <w:rPr>
                <w:rFonts w:ascii="sans-serif" w:eastAsia="sans-serif" w:hAnsi="sans-serif" w:cs="sans-serif"/>
                <w:b/>
                <w:bCs/>
                <w:color w:val="000000"/>
                <w:sz w:val="17"/>
                <w:szCs w:val="17"/>
              </w:rPr>
              <w:t>FEBRUARY 28, 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86E" w14:textId="77777777" w:rsidR="00066C63" w:rsidRDefault="009656F6">
            <w:pPr>
              <w:jc w:val="center"/>
              <w:textAlignment w:val="bottom"/>
            </w:pPr>
            <w:r>
              <w:rPr>
                <w:rFonts w:ascii="sans-serif" w:eastAsia="sans-serif" w:hAnsi="sans-serif" w:cs="sans-serif"/>
                <w:b/>
                <w:bCs/>
                <w:color w:val="000000"/>
                <w:sz w:val="17"/>
                <w:szCs w:val="17"/>
              </w:rPr>
              <w:t>FEBRUARY 29, 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86F" w14:textId="77777777" w:rsidR="00066C63" w:rsidRDefault="009656F6">
            <w:pPr>
              <w:jc w:val="right"/>
              <w:textAlignment w:val="bottom"/>
            </w:pPr>
            <w:r>
              <w:rPr>
                <w:rFonts w:ascii="sans-serif" w:eastAsia="sans-serif" w:hAnsi="sans-serif" w:cs="sans-serif"/>
                <w:b/>
                <w:bCs/>
                <w:color w:val="000000"/>
                <w:sz w:val="17"/>
                <w:szCs w:val="17"/>
              </w:rPr>
              <w:t>% CHANGE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870" w14:textId="77777777" w:rsidR="00066C63" w:rsidRDefault="009656F6">
            <w:pPr>
              <w:jc w:val="right"/>
              <w:textAlignment w:val="bottom"/>
            </w:pPr>
            <w:r>
              <w:rPr>
                <w:rFonts w:ascii="sans-serif" w:eastAsia="sans-serif" w:hAnsi="sans-serif" w:cs="sans-serif"/>
                <w:b/>
                <w:bCs/>
                <w:color w:val="000000"/>
                <w:sz w:val="17"/>
                <w:szCs w:val="17"/>
              </w:rPr>
              <w:t xml:space="preserve">% CHANGE </w:t>
            </w:r>
            <w:r>
              <w:rPr>
                <w:rFonts w:ascii="sans-serif" w:eastAsia="sans-serif" w:hAnsi="sans-serif" w:cs="sans-serif"/>
                <w:b/>
                <w:bCs/>
                <w:color w:val="000000"/>
                <w:sz w:val="17"/>
                <w:szCs w:val="17"/>
              </w:rPr>
              <w:t>EXCLUDING CURRENCY CHANGES</w:t>
            </w:r>
          </w:p>
        </w:tc>
        <w:tc>
          <w:tcPr>
            <w:tcW w:w="0" w:type="auto"/>
            <w:gridSpan w:val="3"/>
            <w:shd w:val="clear" w:color="auto" w:fill="auto"/>
            <w:tcMar>
              <w:top w:w="0" w:type="dxa"/>
              <w:left w:w="20" w:type="dxa"/>
              <w:bottom w:w="0" w:type="dxa"/>
              <w:right w:w="20" w:type="dxa"/>
            </w:tcMar>
          </w:tcPr>
          <w:p w14:paraId="669C7871" w14:textId="77777777" w:rsidR="00066C63" w:rsidRDefault="00066C63">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872" w14:textId="77777777" w:rsidR="00066C63" w:rsidRDefault="009656F6">
            <w:pPr>
              <w:jc w:val="center"/>
              <w:textAlignment w:val="bottom"/>
            </w:pPr>
            <w:r>
              <w:rPr>
                <w:rFonts w:ascii="sans-serif" w:eastAsia="sans-serif" w:hAnsi="sans-serif" w:cs="sans-serif"/>
                <w:b/>
                <w:bCs/>
                <w:color w:val="000000"/>
                <w:sz w:val="17"/>
                <w:szCs w:val="17"/>
              </w:rPr>
              <w:t>FEBRUARY 28, 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873" w14:textId="77777777" w:rsidR="00066C63" w:rsidRDefault="009656F6">
            <w:pPr>
              <w:jc w:val="center"/>
              <w:textAlignment w:val="bottom"/>
            </w:pPr>
            <w:r>
              <w:rPr>
                <w:rFonts w:ascii="sans-serif" w:eastAsia="sans-serif" w:hAnsi="sans-serif" w:cs="sans-serif"/>
                <w:b/>
                <w:bCs/>
                <w:color w:val="000000"/>
                <w:sz w:val="17"/>
                <w:szCs w:val="17"/>
              </w:rPr>
              <w:t>FEBRUARY 29, 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874" w14:textId="77777777" w:rsidR="00066C63" w:rsidRDefault="009656F6">
            <w:pPr>
              <w:jc w:val="right"/>
              <w:textAlignment w:val="bottom"/>
            </w:pPr>
            <w:r>
              <w:rPr>
                <w:rFonts w:ascii="sans-serif" w:eastAsia="sans-serif" w:hAnsi="sans-serif" w:cs="sans-serif"/>
                <w:b/>
                <w:bCs/>
                <w:color w:val="000000"/>
                <w:sz w:val="17"/>
                <w:szCs w:val="17"/>
              </w:rPr>
              <w:t>% CHANGE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875" w14:textId="77777777" w:rsidR="00066C63" w:rsidRDefault="009656F6">
            <w:pPr>
              <w:jc w:val="right"/>
              <w:textAlignment w:val="bottom"/>
            </w:pPr>
            <w:r>
              <w:rPr>
                <w:rFonts w:ascii="sans-serif" w:eastAsia="sans-serif" w:hAnsi="sans-serif" w:cs="sans-serif"/>
                <w:b/>
                <w:bCs/>
                <w:color w:val="000000"/>
                <w:sz w:val="17"/>
                <w:szCs w:val="17"/>
              </w:rPr>
              <w:t>% CHANGE EXCLUDING CURRENCY CHANGES</w:t>
            </w:r>
          </w:p>
        </w:tc>
      </w:tr>
      <w:tr w:rsidR="00066C63" w14:paraId="669C7881"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877" w14:textId="77777777" w:rsidR="00066C63" w:rsidRDefault="009656F6">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FFF1E7"/>
            <w:tcMar>
              <w:top w:w="0" w:type="dxa"/>
              <w:left w:w="20" w:type="dxa"/>
              <w:bottom w:w="0" w:type="dxa"/>
              <w:right w:w="20" w:type="dxa"/>
            </w:tcMar>
          </w:tcPr>
          <w:p w14:paraId="669C7878"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7879"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787A"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787B"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787C" w14:textId="77777777" w:rsidR="00066C63" w:rsidRDefault="00066C63">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669C787D"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787E"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787F"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7880" w14:textId="77777777" w:rsidR="00066C63" w:rsidRDefault="00066C63">
            <w:pPr>
              <w:rPr>
                <w:rFonts w:ascii="宋体"/>
              </w:rPr>
            </w:pPr>
          </w:p>
        </w:tc>
      </w:tr>
      <w:tr w:rsidR="00066C63" w14:paraId="669C7898"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7882" w14:textId="77777777" w:rsidR="00066C63" w:rsidRDefault="009656F6">
            <w:pPr>
              <w:textAlignment w:val="bottom"/>
            </w:pPr>
            <w:r>
              <w:rPr>
                <w:rFonts w:ascii="Arial" w:eastAsia="宋体" w:hAnsi="Arial" w:cs="Arial"/>
                <w:color w:val="000000"/>
                <w:sz w:val="17"/>
                <w:szCs w:val="17"/>
              </w:rPr>
              <w:t>Footwear</w:t>
            </w:r>
          </w:p>
        </w:tc>
        <w:tc>
          <w:tcPr>
            <w:tcW w:w="0" w:type="auto"/>
            <w:tcBorders>
              <w:top w:val="single" w:sz="8" w:space="0" w:color="808080"/>
            </w:tcBorders>
            <w:shd w:val="clear" w:color="auto" w:fill="FFF1E7"/>
            <w:tcMar>
              <w:top w:w="40" w:type="dxa"/>
              <w:left w:w="20" w:type="dxa"/>
              <w:bottom w:w="40" w:type="dxa"/>
              <w:right w:w="0" w:type="dxa"/>
            </w:tcMar>
            <w:vAlign w:val="bottom"/>
          </w:tcPr>
          <w:p w14:paraId="669C7883"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669C7884" w14:textId="77777777" w:rsidR="00066C63" w:rsidRDefault="009656F6">
            <w:pPr>
              <w:jc w:val="right"/>
              <w:textAlignment w:val="bottom"/>
            </w:pPr>
            <w:r>
              <w:rPr>
                <w:rFonts w:ascii="Arial" w:eastAsia="宋体" w:hAnsi="Arial" w:cs="Arial"/>
                <w:color w:val="000000"/>
                <w:sz w:val="17"/>
                <w:szCs w:val="17"/>
              </w:rPr>
              <w:t>1,606 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7885" w14:textId="77777777" w:rsidR="00066C63" w:rsidRDefault="00066C63">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669C7886"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669C7887" w14:textId="77777777" w:rsidR="00066C63" w:rsidRDefault="009656F6">
            <w:pPr>
              <w:jc w:val="right"/>
              <w:textAlignment w:val="bottom"/>
            </w:pPr>
            <w:r>
              <w:rPr>
                <w:rFonts w:ascii="Arial" w:eastAsia="宋体" w:hAnsi="Arial" w:cs="Arial"/>
                <w:color w:val="000000"/>
                <w:sz w:val="17"/>
                <w:szCs w:val="17"/>
              </w:rPr>
              <w:t>1,711 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888"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889" w14:textId="77777777" w:rsidR="00066C63" w:rsidRDefault="009656F6">
            <w:pPr>
              <w:jc w:val="right"/>
              <w:textAlignment w:val="bottom"/>
            </w:pPr>
            <w:r>
              <w:rPr>
                <w:rFonts w:ascii="Arial" w:eastAsia="宋体" w:hAnsi="Arial" w:cs="Arial"/>
                <w:color w:val="000000"/>
                <w:sz w:val="17"/>
                <w:szCs w:val="17"/>
              </w:rPr>
              <w:t>-6 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88A" w14:textId="77777777" w:rsidR="00066C63" w:rsidRDefault="009656F6">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88B" w14:textId="77777777" w:rsidR="00066C63" w:rsidRDefault="009656F6">
            <w:pPr>
              <w:jc w:val="right"/>
              <w:textAlignment w:val="bottom"/>
            </w:pPr>
            <w:r>
              <w:rPr>
                <w:rFonts w:ascii="Arial" w:eastAsia="宋体" w:hAnsi="Arial" w:cs="Arial"/>
                <w:color w:val="000000"/>
                <w:sz w:val="17"/>
                <w:szCs w:val="17"/>
              </w:rPr>
              <w:t>-11 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88C" w14:textId="77777777" w:rsidR="00066C63" w:rsidRDefault="009656F6">
            <w:pPr>
              <w:jc w:val="right"/>
              <w:textAlignment w:val="bottom"/>
            </w:pPr>
            <w:r>
              <w:rPr>
                <w:rFonts w:ascii="Arial" w:eastAsia="宋体" w:hAnsi="Arial" w:cs="Arial"/>
                <w:color w:val="000000"/>
                <w:sz w:val="17"/>
                <w:szCs w:val="17"/>
              </w:rPr>
              <w:t>%</w:t>
            </w:r>
          </w:p>
        </w:tc>
        <w:tc>
          <w:tcPr>
            <w:tcW w:w="0" w:type="auto"/>
            <w:gridSpan w:val="3"/>
            <w:tcBorders>
              <w:top w:val="single" w:sz="8" w:space="0" w:color="808080"/>
            </w:tcBorders>
            <w:shd w:val="clear" w:color="auto" w:fill="auto"/>
            <w:tcMar>
              <w:top w:w="0" w:type="dxa"/>
              <w:left w:w="20" w:type="dxa"/>
              <w:bottom w:w="0" w:type="dxa"/>
              <w:right w:w="20" w:type="dxa"/>
            </w:tcMar>
          </w:tcPr>
          <w:p w14:paraId="669C788D" w14:textId="77777777" w:rsidR="00066C63" w:rsidRDefault="00066C63">
            <w:pPr>
              <w:rPr>
                <w:rFonts w:ascii="宋体"/>
              </w:rPr>
            </w:pPr>
          </w:p>
        </w:tc>
        <w:tc>
          <w:tcPr>
            <w:tcW w:w="0" w:type="auto"/>
            <w:tcBorders>
              <w:top w:val="single" w:sz="8" w:space="0" w:color="808080"/>
            </w:tcBorders>
            <w:shd w:val="clear" w:color="auto" w:fill="FFF1E7"/>
            <w:tcMar>
              <w:top w:w="40" w:type="dxa"/>
              <w:left w:w="20" w:type="dxa"/>
              <w:bottom w:w="40" w:type="dxa"/>
              <w:right w:w="0" w:type="dxa"/>
            </w:tcMar>
            <w:vAlign w:val="bottom"/>
          </w:tcPr>
          <w:p w14:paraId="669C788E"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669C788F" w14:textId="77777777" w:rsidR="00066C63" w:rsidRDefault="009656F6">
            <w:pPr>
              <w:jc w:val="right"/>
              <w:textAlignment w:val="bottom"/>
            </w:pPr>
            <w:r>
              <w:rPr>
                <w:rFonts w:ascii="Arial" w:eastAsia="宋体" w:hAnsi="Arial" w:cs="Arial"/>
                <w:color w:val="000000"/>
                <w:sz w:val="17"/>
                <w:szCs w:val="17"/>
              </w:rPr>
              <w:t>5,139 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7890" w14:textId="77777777" w:rsidR="00066C63" w:rsidRDefault="00066C63">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669C7891"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669C7892" w14:textId="77777777" w:rsidR="00066C63" w:rsidRDefault="009656F6">
            <w:pPr>
              <w:jc w:val="right"/>
              <w:textAlignment w:val="bottom"/>
            </w:pPr>
            <w:r>
              <w:rPr>
                <w:rFonts w:ascii="Arial" w:eastAsia="宋体" w:hAnsi="Arial" w:cs="Arial"/>
                <w:color w:val="000000"/>
                <w:sz w:val="17"/>
                <w:szCs w:val="17"/>
              </w:rPr>
              <w:t>5,005 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893"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894" w14:textId="77777777" w:rsidR="00066C63" w:rsidRDefault="009656F6">
            <w:pPr>
              <w:jc w:val="right"/>
              <w:textAlignment w:val="bottom"/>
            </w:pPr>
            <w:r>
              <w:rPr>
                <w:rFonts w:ascii="Arial" w:eastAsia="宋体" w:hAnsi="Arial" w:cs="Arial"/>
                <w:color w:val="000000"/>
                <w:sz w:val="17"/>
                <w:szCs w:val="17"/>
              </w:rPr>
              <w:t>3 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895" w14:textId="77777777" w:rsidR="00066C63" w:rsidRDefault="009656F6">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896" w14:textId="77777777" w:rsidR="00066C63" w:rsidRDefault="009656F6">
            <w:pPr>
              <w:jc w:val="right"/>
              <w:textAlignment w:val="bottom"/>
            </w:pPr>
            <w:r>
              <w:rPr>
                <w:rFonts w:ascii="Arial" w:eastAsia="宋体" w:hAnsi="Arial" w:cs="Arial"/>
                <w:color w:val="000000"/>
                <w:sz w:val="17"/>
                <w:szCs w:val="17"/>
              </w:rPr>
              <w:t>-1 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897" w14:textId="77777777" w:rsidR="00066C63" w:rsidRDefault="009656F6">
            <w:pPr>
              <w:jc w:val="right"/>
              <w:textAlignment w:val="bottom"/>
            </w:pPr>
            <w:r>
              <w:rPr>
                <w:rFonts w:ascii="Arial" w:eastAsia="宋体" w:hAnsi="Arial" w:cs="Arial"/>
                <w:color w:val="000000"/>
                <w:sz w:val="17"/>
                <w:szCs w:val="17"/>
              </w:rPr>
              <w:t>%</w:t>
            </w:r>
          </w:p>
        </w:tc>
      </w:tr>
      <w:tr w:rsidR="00066C63" w14:paraId="669C78AB"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7899" w14:textId="77777777" w:rsidR="00066C63" w:rsidRDefault="009656F6">
            <w:pPr>
              <w:textAlignment w:val="bottom"/>
            </w:pPr>
            <w:r>
              <w:rPr>
                <w:rFonts w:ascii="Arial" w:eastAsia="宋体" w:hAnsi="Arial" w:cs="Arial"/>
                <w:color w:val="000000"/>
                <w:sz w:val="17"/>
                <w:szCs w:val="17"/>
              </w:rPr>
              <w:t>Apparel</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789A" w14:textId="77777777" w:rsidR="00066C63" w:rsidRDefault="009656F6">
            <w:pPr>
              <w:jc w:val="right"/>
              <w:textAlignment w:val="bottom"/>
            </w:pPr>
            <w:r>
              <w:rPr>
                <w:rFonts w:ascii="Arial" w:eastAsia="宋体" w:hAnsi="Arial" w:cs="Arial"/>
                <w:color w:val="000000"/>
                <w:sz w:val="17"/>
                <w:szCs w:val="17"/>
              </w:rPr>
              <w:t>898 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789B"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89C" w14:textId="77777777" w:rsidR="00066C63" w:rsidRDefault="009656F6">
            <w:pPr>
              <w:jc w:val="right"/>
              <w:textAlignment w:val="bottom"/>
            </w:pPr>
            <w:r>
              <w:rPr>
                <w:rFonts w:ascii="Arial" w:eastAsia="宋体" w:hAnsi="Arial" w:cs="Arial"/>
                <w:color w:val="000000"/>
                <w:sz w:val="17"/>
                <w:szCs w:val="17"/>
              </w:rPr>
              <w:t>889 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89D"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89E" w14:textId="77777777" w:rsidR="00066C63" w:rsidRDefault="009656F6">
            <w:pPr>
              <w:jc w:val="right"/>
              <w:textAlignment w:val="bottom"/>
            </w:pPr>
            <w:r>
              <w:rPr>
                <w:rFonts w:ascii="Arial" w:eastAsia="宋体" w:hAnsi="Arial" w:cs="Arial"/>
                <w:color w:val="000000"/>
                <w:sz w:val="17"/>
                <w:szCs w:val="17"/>
              </w:rPr>
              <w:t>1 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89F" w14:textId="77777777" w:rsidR="00066C63" w:rsidRDefault="009656F6">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8A0" w14:textId="77777777" w:rsidR="00066C63" w:rsidRDefault="009656F6">
            <w:pPr>
              <w:jc w:val="right"/>
              <w:textAlignment w:val="bottom"/>
            </w:pPr>
            <w:r>
              <w:rPr>
                <w:rFonts w:ascii="Arial" w:eastAsia="宋体" w:hAnsi="Arial" w:cs="Arial"/>
                <w:color w:val="000000"/>
                <w:sz w:val="17"/>
                <w:szCs w:val="17"/>
              </w:rPr>
              <w:t>-4 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8A1" w14:textId="77777777" w:rsidR="00066C63" w:rsidRDefault="009656F6">
            <w:pPr>
              <w:jc w:val="right"/>
              <w:textAlignment w:val="bottom"/>
            </w:pPr>
            <w:r>
              <w:rPr>
                <w:rFonts w:ascii="Arial" w:eastAsia="宋体" w:hAnsi="Arial" w:cs="Arial"/>
                <w:color w:val="000000"/>
                <w:sz w:val="17"/>
                <w:szCs w:val="17"/>
              </w:rPr>
              <w:t>%</w:t>
            </w:r>
          </w:p>
        </w:tc>
        <w:tc>
          <w:tcPr>
            <w:tcW w:w="0" w:type="auto"/>
            <w:gridSpan w:val="3"/>
            <w:tcBorders>
              <w:top w:val="single" w:sz="8" w:space="0" w:color="808080"/>
            </w:tcBorders>
            <w:shd w:val="clear" w:color="auto" w:fill="auto"/>
            <w:tcMar>
              <w:top w:w="0" w:type="dxa"/>
              <w:left w:w="20" w:type="dxa"/>
              <w:bottom w:w="0" w:type="dxa"/>
              <w:right w:w="20" w:type="dxa"/>
            </w:tcMar>
          </w:tcPr>
          <w:p w14:paraId="669C78A2" w14:textId="77777777" w:rsidR="00066C63" w:rsidRDefault="00066C63">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78A3" w14:textId="77777777" w:rsidR="00066C63" w:rsidRDefault="009656F6">
            <w:pPr>
              <w:jc w:val="right"/>
              <w:textAlignment w:val="bottom"/>
            </w:pPr>
            <w:r>
              <w:rPr>
                <w:rFonts w:ascii="Arial" w:eastAsia="宋体" w:hAnsi="Arial" w:cs="Arial"/>
                <w:color w:val="000000"/>
                <w:sz w:val="17"/>
                <w:szCs w:val="17"/>
              </w:rPr>
              <w:t>2,973 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78A4"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8A5" w14:textId="77777777" w:rsidR="00066C63" w:rsidRDefault="009656F6">
            <w:pPr>
              <w:jc w:val="right"/>
              <w:textAlignment w:val="bottom"/>
            </w:pPr>
            <w:r>
              <w:rPr>
                <w:rFonts w:ascii="Arial" w:eastAsia="宋体" w:hAnsi="Arial" w:cs="Arial"/>
                <w:color w:val="000000"/>
                <w:sz w:val="17"/>
                <w:szCs w:val="17"/>
              </w:rPr>
              <w:t>2,655 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8A6"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8A7" w14:textId="77777777" w:rsidR="00066C63" w:rsidRDefault="009656F6">
            <w:pPr>
              <w:jc w:val="right"/>
              <w:textAlignment w:val="bottom"/>
            </w:pPr>
            <w:r>
              <w:rPr>
                <w:rFonts w:ascii="Arial" w:eastAsia="宋体" w:hAnsi="Arial" w:cs="Arial"/>
                <w:color w:val="000000"/>
                <w:sz w:val="17"/>
                <w:szCs w:val="17"/>
              </w:rPr>
              <w:t>12 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8A8" w14:textId="77777777" w:rsidR="00066C63" w:rsidRDefault="009656F6">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8A9" w14:textId="77777777" w:rsidR="00066C63" w:rsidRDefault="009656F6">
            <w:pPr>
              <w:jc w:val="right"/>
              <w:textAlignment w:val="bottom"/>
            </w:pPr>
            <w:r>
              <w:rPr>
                <w:rFonts w:ascii="Arial" w:eastAsia="宋体" w:hAnsi="Arial" w:cs="Arial"/>
                <w:color w:val="000000"/>
                <w:sz w:val="17"/>
                <w:szCs w:val="17"/>
              </w:rPr>
              <w:t>8 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8AA" w14:textId="77777777" w:rsidR="00066C63" w:rsidRDefault="009656F6">
            <w:pPr>
              <w:jc w:val="right"/>
              <w:textAlignment w:val="bottom"/>
            </w:pPr>
            <w:r>
              <w:rPr>
                <w:rFonts w:ascii="Arial" w:eastAsia="宋体" w:hAnsi="Arial" w:cs="Arial"/>
                <w:color w:val="000000"/>
                <w:sz w:val="17"/>
                <w:szCs w:val="17"/>
              </w:rPr>
              <w:t>%</w:t>
            </w:r>
          </w:p>
        </w:tc>
      </w:tr>
      <w:tr w:rsidR="00066C63" w14:paraId="669C78BE"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78AC" w14:textId="77777777" w:rsidR="00066C63" w:rsidRDefault="009656F6">
            <w:pPr>
              <w:textAlignment w:val="bottom"/>
            </w:pPr>
            <w:r>
              <w:rPr>
                <w:rFonts w:ascii="Arial" w:eastAsia="宋体" w:hAnsi="Arial" w:cs="Arial"/>
                <w:color w:val="000000"/>
                <w:sz w:val="17"/>
                <w:szCs w:val="17"/>
              </w:rPr>
              <w:t>Equipment</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78AD" w14:textId="77777777" w:rsidR="00066C63" w:rsidRDefault="009656F6">
            <w:pPr>
              <w:jc w:val="right"/>
              <w:textAlignment w:val="bottom"/>
            </w:pPr>
            <w:r>
              <w:rPr>
                <w:rFonts w:ascii="Arial" w:eastAsia="宋体" w:hAnsi="Arial" w:cs="Arial"/>
                <w:color w:val="000000"/>
                <w:sz w:val="17"/>
                <w:szCs w:val="17"/>
              </w:rPr>
              <w:t>105 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78AE"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8AF" w14:textId="77777777" w:rsidR="00066C63" w:rsidRDefault="009656F6">
            <w:pPr>
              <w:jc w:val="right"/>
              <w:textAlignment w:val="bottom"/>
            </w:pPr>
            <w:r>
              <w:rPr>
                <w:rFonts w:ascii="Arial" w:eastAsia="宋体" w:hAnsi="Arial" w:cs="Arial"/>
                <w:color w:val="000000"/>
                <w:sz w:val="17"/>
                <w:szCs w:val="17"/>
              </w:rPr>
              <w:t>109 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8B0"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8B1" w14:textId="77777777" w:rsidR="00066C63" w:rsidRDefault="009656F6">
            <w:pPr>
              <w:jc w:val="right"/>
              <w:textAlignment w:val="bottom"/>
            </w:pPr>
            <w:r>
              <w:rPr>
                <w:rFonts w:ascii="Arial" w:eastAsia="宋体" w:hAnsi="Arial" w:cs="Arial"/>
                <w:color w:val="000000"/>
                <w:sz w:val="17"/>
                <w:szCs w:val="17"/>
              </w:rPr>
              <w:t>-4 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8B2" w14:textId="77777777" w:rsidR="00066C63" w:rsidRDefault="009656F6">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8B3" w14:textId="77777777" w:rsidR="00066C63" w:rsidRDefault="009656F6">
            <w:pPr>
              <w:jc w:val="right"/>
              <w:textAlignment w:val="bottom"/>
            </w:pPr>
            <w:r>
              <w:rPr>
                <w:rFonts w:ascii="Arial" w:eastAsia="宋体" w:hAnsi="Arial" w:cs="Arial"/>
                <w:color w:val="000000"/>
                <w:sz w:val="17"/>
                <w:szCs w:val="17"/>
              </w:rPr>
              <w:t>-6 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8B4" w14:textId="77777777" w:rsidR="00066C63" w:rsidRDefault="009656F6">
            <w:pPr>
              <w:jc w:val="right"/>
              <w:textAlignment w:val="bottom"/>
            </w:pPr>
            <w:r>
              <w:rPr>
                <w:rFonts w:ascii="Arial" w:eastAsia="宋体" w:hAnsi="Arial" w:cs="Arial"/>
                <w:color w:val="000000"/>
                <w:sz w:val="17"/>
                <w:szCs w:val="17"/>
              </w:rPr>
              <w:t>%</w:t>
            </w:r>
          </w:p>
        </w:tc>
        <w:tc>
          <w:tcPr>
            <w:tcW w:w="0" w:type="auto"/>
            <w:gridSpan w:val="3"/>
            <w:tcBorders>
              <w:top w:val="single" w:sz="8" w:space="0" w:color="808080"/>
            </w:tcBorders>
            <w:shd w:val="clear" w:color="auto" w:fill="auto"/>
            <w:tcMar>
              <w:top w:w="0" w:type="dxa"/>
              <w:left w:w="20" w:type="dxa"/>
              <w:bottom w:w="0" w:type="dxa"/>
              <w:right w:w="20" w:type="dxa"/>
            </w:tcMar>
          </w:tcPr>
          <w:p w14:paraId="669C78B5" w14:textId="77777777" w:rsidR="00066C63" w:rsidRDefault="00066C63">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78B6" w14:textId="77777777" w:rsidR="00066C63" w:rsidRDefault="009656F6">
            <w:pPr>
              <w:jc w:val="right"/>
              <w:textAlignment w:val="bottom"/>
            </w:pPr>
            <w:r>
              <w:rPr>
                <w:rFonts w:ascii="Arial" w:eastAsia="宋体" w:hAnsi="Arial" w:cs="Arial"/>
                <w:color w:val="000000"/>
                <w:sz w:val="17"/>
                <w:szCs w:val="17"/>
              </w:rPr>
              <w:t>365 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78B7"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8B8" w14:textId="77777777" w:rsidR="00066C63" w:rsidRDefault="009656F6">
            <w:pPr>
              <w:jc w:val="right"/>
              <w:textAlignment w:val="bottom"/>
            </w:pPr>
            <w:r>
              <w:rPr>
                <w:rFonts w:ascii="Arial" w:eastAsia="宋体" w:hAnsi="Arial" w:cs="Arial"/>
                <w:color w:val="000000"/>
                <w:sz w:val="17"/>
                <w:szCs w:val="17"/>
              </w:rPr>
              <w:t>359 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8B9"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8BA" w14:textId="77777777" w:rsidR="00066C63" w:rsidRDefault="009656F6">
            <w:pPr>
              <w:jc w:val="right"/>
              <w:textAlignment w:val="bottom"/>
            </w:pPr>
            <w:r>
              <w:rPr>
                <w:rFonts w:ascii="Arial" w:eastAsia="宋体" w:hAnsi="Arial" w:cs="Arial"/>
                <w:color w:val="000000"/>
                <w:sz w:val="17"/>
                <w:szCs w:val="17"/>
              </w:rPr>
              <w:t>2 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8BB" w14:textId="77777777" w:rsidR="00066C63" w:rsidRDefault="009656F6">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8BC" w14:textId="77777777" w:rsidR="00066C63" w:rsidRDefault="009656F6">
            <w:pPr>
              <w:jc w:val="right"/>
              <w:textAlignment w:val="bottom"/>
            </w:pPr>
            <w:r>
              <w:rPr>
                <w:rFonts w:ascii="Arial" w:eastAsia="宋体" w:hAnsi="Arial" w:cs="Arial"/>
                <w:color w:val="000000"/>
                <w:sz w:val="17"/>
                <w:szCs w:val="17"/>
              </w:rPr>
              <w:t>0 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8BD" w14:textId="77777777" w:rsidR="00066C63" w:rsidRDefault="009656F6">
            <w:pPr>
              <w:jc w:val="right"/>
              <w:textAlignment w:val="bottom"/>
            </w:pPr>
            <w:r>
              <w:rPr>
                <w:rFonts w:ascii="Arial" w:eastAsia="宋体" w:hAnsi="Arial" w:cs="Arial"/>
                <w:color w:val="000000"/>
                <w:sz w:val="17"/>
                <w:szCs w:val="17"/>
              </w:rPr>
              <w:t>%</w:t>
            </w:r>
          </w:p>
        </w:tc>
      </w:tr>
      <w:tr w:rsidR="00066C63" w14:paraId="669C78D5"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8BF" w14:textId="77777777" w:rsidR="00066C63" w:rsidRDefault="009656F6">
            <w:pPr>
              <w:textAlignment w:val="bottom"/>
            </w:pPr>
            <w:r>
              <w:rPr>
                <w:rFonts w:ascii="Arial" w:eastAsia="宋体" w:hAnsi="Arial" w:cs="Arial"/>
                <w:b/>
                <w:bCs/>
                <w:color w:val="000000"/>
                <w:sz w:val="17"/>
                <w:szCs w:val="17"/>
              </w:rPr>
              <w:t>TOTAL 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669C78C0"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669C78C1" w14:textId="77777777" w:rsidR="00066C63" w:rsidRDefault="009656F6">
            <w:pPr>
              <w:jc w:val="right"/>
              <w:textAlignment w:val="bottom"/>
            </w:pPr>
            <w:r>
              <w:rPr>
                <w:rFonts w:ascii="Arial" w:eastAsia="宋体" w:hAnsi="Arial" w:cs="Arial"/>
                <w:b/>
                <w:bCs/>
                <w:color w:val="000000"/>
                <w:sz w:val="17"/>
                <w:szCs w:val="17"/>
              </w:rPr>
              <w:t>2,609</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78C2" w14:textId="77777777" w:rsidR="00066C63" w:rsidRDefault="00066C63">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69C78C3"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69C78C4" w14:textId="77777777" w:rsidR="00066C63" w:rsidRDefault="009656F6">
            <w:pPr>
              <w:jc w:val="right"/>
              <w:textAlignment w:val="bottom"/>
            </w:pPr>
            <w:r>
              <w:rPr>
                <w:rFonts w:ascii="Arial" w:eastAsia="宋体" w:hAnsi="Arial" w:cs="Arial"/>
                <w:b/>
                <w:bCs/>
                <w:color w:val="000000"/>
                <w:sz w:val="17"/>
                <w:szCs w:val="17"/>
              </w:rPr>
              <w:t>2,709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78C5" w14:textId="77777777" w:rsidR="00066C63" w:rsidRDefault="00066C63">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78C6" w14:textId="77777777" w:rsidR="00066C63" w:rsidRDefault="009656F6">
            <w:pPr>
              <w:jc w:val="right"/>
              <w:textAlignment w:val="bottom"/>
            </w:pPr>
            <w:r>
              <w:rPr>
                <w:rFonts w:ascii="Arial" w:eastAsia="宋体" w:hAnsi="Arial" w:cs="Arial"/>
                <w:b/>
                <w:bCs/>
                <w:color w:val="000000"/>
                <w:sz w:val="17"/>
                <w:szCs w:val="17"/>
              </w:rPr>
              <w:t>-4</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78C7" w14:textId="77777777" w:rsidR="00066C63" w:rsidRDefault="009656F6">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78C8" w14:textId="77777777" w:rsidR="00066C63" w:rsidRDefault="009656F6">
            <w:pPr>
              <w:jc w:val="right"/>
              <w:textAlignment w:val="bottom"/>
            </w:pPr>
            <w:r>
              <w:rPr>
                <w:rFonts w:ascii="Arial" w:eastAsia="宋体" w:hAnsi="Arial" w:cs="Arial"/>
                <w:b/>
                <w:bCs/>
                <w:color w:val="000000"/>
                <w:sz w:val="17"/>
                <w:szCs w:val="17"/>
              </w:rPr>
              <w:t>-9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78C9" w14:textId="77777777" w:rsidR="00066C63" w:rsidRDefault="009656F6">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tcPr>
          <w:p w14:paraId="669C78CA" w14:textId="77777777" w:rsidR="00066C63" w:rsidRDefault="00066C63">
            <w:pPr>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669C78CB"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669C78CC" w14:textId="77777777" w:rsidR="00066C63" w:rsidRDefault="009656F6">
            <w:pPr>
              <w:jc w:val="right"/>
              <w:textAlignment w:val="bottom"/>
            </w:pPr>
            <w:r>
              <w:rPr>
                <w:rFonts w:ascii="Arial" w:eastAsia="宋体" w:hAnsi="Arial" w:cs="Arial"/>
                <w:b/>
                <w:bCs/>
                <w:color w:val="000000"/>
                <w:sz w:val="17"/>
                <w:szCs w:val="17"/>
              </w:rPr>
              <w:t>8,477</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78CD" w14:textId="77777777" w:rsidR="00066C63" w:rsidRDefault="00066C63">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69C78CE"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69C78CF" w14:textId="77777777" w:rsidR="00066C63" w:rsidRDefault="009656F6">
            <w:pPr>
              <w:jc w:val="right"/>
              <w:textAlignment w:val="bottom"/>
            </w:pPr>
            <w:r>
              <w:rPr>
                <w:rFonts w:ascii="Arial" w:eastAsia="宋体" w:hAnsi="Arial" w:cs="Arial"/>
                <w:b/>
                <w:bCs/>
                <w:color w:val="000000"/>
                <w:sz w:val="17"/>
                <w:szCs w:val="17"/>
              </w:rPr>
              <w:t>8,019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78D0" w14:textId="77777777" w:rsidR="00066C63" w:rsidRDefault="00066C63">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78D1" w14:textId="77777777" w:rsidR="00066C63" w:rsidRDefault="009656F6">
            <w:pPr>
              <w:jc w:val="right"/>
              <w:textAlignment w:val="bottom"/>
            </w:pPr>
            <w:r>
              <w:rPr>
                <w:rFonts w:ascii="Arial" w:eastAsia="宋体" w:hAnsi="Arial" w:cs="Arial"/>
                <w:b/>
                <w:bCs/>
                <w:color w:val="000000"/>
                <w:sz w:val="17"/>
                <w:szCs w:val="17"/>
              </w:rPr>
              <w:t>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78D2" w14:textId="77777777" w:rsidR="00066C63" w:rsidRDefault="009656F6">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78D3" w14:textId="77777777" w:rsidR="00066C63" w:rsidRDefault="009656F6">
            <w:pPr>
              <w:jc w:val="right"/>
              <w:textAlignment w:val="bottom"/>
            </w:pPr>
            <w:r>
              <w:rPr>
                <w:rFonts w:ascii="Arial" w:eastAsia="宋体" w:hAnsi="Arial" w:cs="Arial"/>
                <w:b/>
                <w:bCs/>
                <w:color w:val="000000"/>
                <w:sz w:val="17"/>
                <w:szCs w:val="17"/>
              </w:rPr>
              <w:t>2</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78D4" w14:textId="77777777" w:rsidR="00066C63" w:rsidRDefault="009656F6">
            <w:pPr>
              <w:jc w:val="right"/>
              <w:textAlignment w:val="bottom"/>
            </w:pPr>
            <w:r>
              <w:rPr>
                <w:rFonts w:ascii="Arial" w:eastAsia="宋体" w:hAnsi="Arial" w:cs="Arial"/>
                <w:b/>
                <w:bCs/>
                <w:color w:val="000000"/>
                <w:sz w:val="17"/>
                <w:szCs w:val="17"/>
              </w:rPr>
              <w:t>%</w:t>
            </w:r>
          </w:p>
        </w:tc>
      </w:tr>
      <w:tr w:rsidR="00066C63" w14:paraId="669C78E0"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8D6" w14:textId="77777777" w:rsidR="00066C63" w:rsidRDefault="009656F6">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FFF1E7"/>
            <w:tcMar>
              <w:top w:w="40" w:type="dxa"/>
              <w:left w:w="20" w:type="dxa"/>
              <w:bottom w:w="40" w:type="dxa"/>
              <w:right w:w="20" w:type="dxa"/>
            </w:tcMar>
            <w:vAlign w:val="bottom"/>
          </w:tcPr>
          <w:p w14:paraId="669C78D7" w14:textId="77777777" w:rsidR="00066C63" w:rsidRDefault="009656F6">
            <w:pPr>
              <w:textAlignment w:val="bottom"/>
            </w:pPr>
            <w:r>
              <w:rPr>
                <w:rFonts w:ascii="Arial" w:eastAsia="宋体" w:hAnsi="Arial" w:cs="Arial"/>
                <w:color w:val="000000"/>
                <w:sz w:val="17"/>
                <w:szCs w:val="17"/>
              </w:rPr>
              <w:t> </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8D8" w14:textId="77777777" w:rsidR="00066C63" w:rsidRDefault="009656F6">
            <w:pPr>
              <w:textAlignment w:val="bottom"/>
            </w:pPr>
            <w:r>
              <w:rPr>
                <w:rFonts w:ascii="Arial" w:eastAsia="宋体" w:hAnsi="Arial" w:cs="Arial"/>
                <w:color w:val="000000"/>
                <w:sz w:val="17"/>
                <w:szCs w:val="17"/>
              </w:rPr>
              <w:t> </w:t>
            </w:r>
          </w:p>
        </w:tc>
        <w:tc>
          <w:tcPr>
            <w:tcW w:w="0" w:type="auto"/>
            <w:gridSpan w:val="3"/>
            <w:tcBorders>
              <w:top w:val="single" w:sz="8" w:space="0" w:color="E87722"/>
            </w:tcBorders>
            <w:shd w:val="clear" w:color="auto" w:fill="auto"/>
            <w:tcMar>
              <w:top w:w="0" w:type="dxa"/>
              <w:left w:w="20" w:type="dxa"/>
              <w:bottom w:w="0" w:type="dxa"/>
              <w:right w:w="20" w:type="dxa"/>
            </w:tcMar>
          </w:tcPr>
          <w:p w14:paraId="669C78D9"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78DA"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78DB" w14:textId="77777777" w:rsidR="00066C63" w:rsidRDefault="00066C63">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669C78DC"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78DD"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78DE"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78DF" w14:textId="77777777" w:rsidR="00066C63" w:rsidRDefault="00066C63">
            <w:pPr>
              <w:rPr>
                <w:rFonts w:ascii="宋体"/>
              </w:rPr>
            </w:pPr>
          </w:p>
        </w:tc>
      </w:tr>
      <w:tr w:rsidR="00066C63" w14:paraId="669C78F7"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78E1" w14:textId="77777777" w:rsidR="00066C63" w:rsidRDefault="009656F6">
            <w:pPr>
              <w:textAlignment w:val="bottom"/>
            </w:pPr>
            <w:r>
              <w:rPr>
                <w:rFonts w:ascii="Arial" w:eastAsia="宋体" w:hAnsi="Arial" w:cs="Arial"/>
                <w:color w:val="000000"/>
                <w:sz w:val="17"/>
                <w:szCs w:val="17"/>
              </w:rPr>
              <w:t>Sales to Wholesale Customers</w:t>
            </w:r>
          </w:p>
        </w:tc>
        <w:tc>
          <w:tcPr>
            <w:tcW w:w="0" w:type="auto"/>
            <w:tcBorders>
              <w:top w:val="single" w:sz="8" w:space="0" w:color="808080"/>
            </w:tcBorders>
            <w:shd w:val="clear" w:color="auto" w:fill="FFF1E7"/>
            <w:tcMar>
              <w:top w:w="40" w:type="dxa"/>
              <w:left w:w="20" w:type="dxa"/>
              <w:bottom w:w="40" w:type="dxa"/>
              <w:right w:w="0" w:type="dxa"/>
            </w:tcMar>
            <w:vAlign w:val="bottom"/>
          </w:tcPr>
          <w:p w14:paraId="669C78E2"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669C78E3" w14:textId="77777777" w:rsidR="00066C63" w:rsidRDefault="009656F6">
            <w:pPr>
              <w:jc w:val="right"/>
              <w:textAlignment w:val="bottom"/>
            </w:pPr>
            <w:r>
              <w:rPr>
                <w:rFonts w:ascii="Arial" w:eastAsia="宋体" w:hAnsi="Arial" w:cs="Arial"/>
                <w:color w:val="000000"/>
                <w:sz w:val="17"/>
                <w:szCs w:val="17"/>
              </w:rPr>
              <w:t>1,805 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78E4" w14:textId="77777777" w:rsidR="00066C63" w:rsidRDefault="00066C63">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669C78E5"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669C78E6" w14:textId="77777777" w:rsidR="00066C63" w:rsidRDefault="009656F6">
            <w:pPr>
              <w:jc w:val="right"/>
              <w:textAlignment w:val="bottom"/>
            </w:pPr>
            <w:r>
              <w:rPr>
                <w:rFonts w:ascii="Arial" w:eastAsia="宋体" w:hAnsi="Arial" w:cs="Arial"/>
                <w:color w:val="000000"/>
                <w:sz w:val="17"/>
                <w:szCs w:val="17"/>
              </w:rPr>
              <w:t>1,956 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8E7"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8E8" w14:textId="77777777" w:rsidR="00066C63" w:rsidRDefault="009656F6">
            <w:pPr>
              <w:jc w:val="right"/>
              <w:textAlignment w:val="bottom"/>
            </w:pPr>
            <w:r>
              <w:rPr>
                <w:rFonts w:ascii="Arial" w:eastAsia="宋体" w:hAnsi="Arial" w:cs="Arial"/>
                <w:color w:val="000000"/>
                <w:sz w:val="17"/>
                <w:szCs w:val="17"/>
              </w:rPr>
              <w:t>-8 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8E9" w14:textId="77777777" w:rsidR="00066C63" w:rsidRDefault="009656F6">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8EA" w14:textId="77777777" w:rsidR="00066C63" w:rsidRDefault="009656F6">
            <w:pPr>
              <w:jc w:val="right"/>
              <w:textAlignment w:val="bottom"/>
            </w:pPr>
            <w:r>
              <w:rPr>
                <w:rFonts w:ascii="Arial" w:eastAsia="宋体" w:hAnsi="Arial" w:cs="Arial"/>
                <w:color w:val="000000"/>
                <w:sz w:val="17"/>
                <w:szCs w:val="17"/>
              </w:rPr>
              <w:t>-12 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8EB" w14:textId="77777777" w:rsidR="00066C63" w:rsidRDefault="009656F6">
            <w:pPr>
              <w:jc w:val="right"/>
              <w:textAlignment w:val="bottom"/>
            </w:pPr>
            <w:r>
              <w:rPr>
                <w:rFonts w:ascii="Arial" w:eastAsia="宋体" w:hAnsi="Arial" w:cs="Arial"/>
                <w:color w:val="000000"/>
                <w:sz w:val="17"/>
                <w:szCs w:val="17"/>
              </w:rPr>
              <w:t>%</w:t>
            </w:r>
          </w:p>
        </w:tc>
        <w:tc>
          <w:tcPr>
            <w:tcW w:w="0" w:type="auto"/>
            <w:gridSpan w:val="3"/>
            <w:tcBorders>
              <w:top w:val="single" w:sz="8" w:space="0" w:color="808080"/>
            </w:tcBorders>
            <w:shd w:val="clear" w:color="auto" w:fill="auto"/>
            <w:tcMar>
              <w:top w:w="0" w:type="dxa"/>
              <w:left w:w="20" w:type="dxa"/>
              <w:bottom w:w="0" w:type="dxa"/>
              <w:right w:w="20" w:type="dxa"/>
            </w:tcMar>
          </w:tcPr>
          <w:p w14:paraId="669C78EC" w14:textId="77777777" w:rsidR="00066C63" w:rsidRDefault="00066C63">
            <w:pPr>
              <w:rPr>
                <w:rFonts w:ascii="宋体"/>
              </w:rPr>
            </w:pPr>
          </w:p>
        </w:tc>
        <w:tc>
          <w:tcPr>
            <w:tcW w:w="0" w:type="auto"/>
            <w:tcBorders>
              <w:top w:val="single" w:sz="8" w:space="0" w:color="808080"/>
            </w:tcBorders>
            <w:shd w:val="clear" w:color="auto" w:fill="FFF1E7"/>
            <w:tcMar>
              <w:top w:w="40" w:type="dxa"/>
              <w:left w:w="20" w:type="dxa"/>
              <w:bottom w:w="40" w:type="dxa"/>
              <w:right w:w="0" w:type="dxa"/>
            </w:tcMar>
            <w:vAlign w:val="bottom"/>
          </w:tcPr>
          <w:p w14:paraId="669C78ED"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669C78EE" w14:textId="77777777" w:rsidR="00066C63" w:rsidRDefault="009656F6">
            <w:pPr>
              <w:jc w:val="right"/>
              <w:textAlignment w:val="bottom"/>
            </w:pPr>
            <w:r>
              <w:rPr>
                <w:rFonts w:ascii="Arial" w:eastAsia="宋体" w:hAnsi="Arial" w:cs="Arial"/>
                <w:color w:val="000000"/>
                <w:sz w:val="17"/>
                <w:szCs w:val="17"/>
              </w:rPr>
              <w:t>5,763 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78EF" w14:textId="77777777" w:rsidR="00066C63" w:rsidRDefault="00066C63">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669C78F0"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669C78F1" w14:textId="77777777" w:rsidR="00066C63" w:rsidRDefault="009656F6">
            <w:pPr>
              <w:jc w:val="right"/>
              <w:textAlignment w:val="bottom"/>
            </w:pPr>
            <w:r>
              <w:rPr>
                <w:rFonts w:ascii="Arial" w:eastAsia="宋体" w:hAnsi="Arial" w:cs="Arial"/>
                <w:color w:val="000000"/>
                <w:sz w:val="17"/>
                <w:szCs w:val="17"/>
              </w:rPr>
              <w:t>5,792 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8F2"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8F3" w14:textId="77777777" w:rsidR="00066C63" w:rsidRDefault="009656F6">
            <w:pPr>
              <w:jc w:val="right"/>
              <w:textAlignment w:val="bottom"/>
            </w:pPr>
            <w:r>
              <w:rPr>
                <w:rFonts w:ascii="Arial" w:eastAsia="宋体" w:hAnsi="Arial" w:cs="Arial"/>
                <w:color w:val="000000"/>
                <w:sz w:val="17"/>
                <w:szCs w:val="17"/>
              </w:rPr>
              <w:t>-1 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8F4" w14:textId="77777777" w:rsidR="00066C63" w:rsidRDefault="009656F6">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8F5" w14:textId="77777777" w:rsidR="00066C63" w:rsidRDefault="009656F6">
            <w:pPr>
              <w:jc w:val="right"/>
              <w:textAlignment w:val="bottom"/>
            </w:pPr>
            <w:r>
              <w:rPr>
                <w:rFonts w:ascii="Arial" w:eastAsia="宋体" w:hAnsi="Arial" w:cs="Arial"/>
                <w:color w:val="000000"/>
                <w:sz w:val="17"/>
                <w:szCs w:val="17"/>
              </w:rPr>
              <w:t>-4 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8F6" w14:textId="77777777" w:rsidR="00066C63" w:rsidRDefault="009656F6">
            <w:pPr>
              <w:jc w:val="right"/>
              <w:textAlignment w:val="bottom"/>
            </w:pPr>
            <w:r>
              <w:rPr>
                <w:rFonts w:ascii="Arial" w:eastAsia="宋体" w:hAnsi="Arial" w:cs="Arial"/>
                <w:color w:val="000000"/>
                <w:sz w:val="17"/>
                <w:szCs w:val="17"/>
              </w:rPr>
              <w:t>%</w:t>
            </w:r>
          </w:p>
        </w:tc>
      </w:tr>
      <w:tr w:rsidR="00066C63" w14:paraId="669C790A"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78F8" w14:textId="77777777" w:rsidR="00066C63" w:rsidRDefault="009656F6">
            <w:pPr>
              <w:textAlignment w:val="bottom"/>
            </w:pPr>
            <w:r>
              <w:rPr>
                <w:rFonts w:ascii="Arial" w:eastAsia="宋体" w:hAnsi="Arial" w:cs="Arial"/>
                <w:color w:val="000000"/>
                <w:sz w:val="17"/>
                <w:szCs w:val="17"/>
              </w:rPr>
              <w:t xml:space="preserve">Sales </w:t>
            </w:r>
            <w:r>
              <w:rPr>
                <w:rFonts w:ascii="Arial" w:eastAsia="宋体" w:hAnsi="Arial" w:cs="Arial"/>
                <w:color w:val="000000"/>
                <w:sz w:val="17"/>
                <w:szCs w:val="17"/>
              </w:rPr>
              <w:t>through NIKE Direct</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78F9" w14:textId="77777777" w:rsidR="00066C63" w:rsidRDefault="009656F6">
            <w:pPr>
              <w:jc w:val="right"/>
              <w:textAlignment w:val="bottom"/>
            </w:pPr>
            <w:r>
              <w:rPr>
                <w:rFonts w:ascii="Arial" w:eastAsia="宋体" w:hAnsi="Arial" w:cs="Arial"/>
                <w:color w:val="000000"/>
                <w:sz w:val="17"/>
                <w:szCs w:val="17"/>
              </w:rPr>
              <w:t>804 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78FA"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8FB" w14:textId="77777777" w:rsidR="00066C63" w:rsidRDefault="009656F6">
            <w:pPr>
              <w:jc w:val="right"/>
              <w:textAlignment w:val="bottom"/>
            </w:pPr>
            <w:r>
              <w:rPr>
                <w:rFonts w:ascii="Arial" w:eastAsia="宋体" w:hAnsi="Arial" w:cs="Arial"/>
                <w:color w:val="000000"/>
                <w:sz w:val="17"/>
                <w:szCs w:val="17"/>
              </w:rPr>
              <w:t>753 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8FC"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8FD" w14:textId="77777777" w:rsidR="00066C63" w:rsidRDefault="009656F6">
            <w:pPr>
              <w:jc w:val="right"/>
              <w:textAlignment w:val="bottom"/>
            </w:pPr>
            <w:r>
              <w:rPr>
                <w:rFonts w:ascii="Arial" w:eastAsia="宋体" w:hAnsi="Arial" w:cs="Arial"/>
                <w:color w:val="000000"/>
                <w:sz w:val="17"/>
                <w:szCs w:val="17"/>
              </w:rPr>
              <w:t>7 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8FE" w14:textId="77777777" w:rsidR="00066C63" w:rsidRDefault="009656F6">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8FF" w14:textId="77777777" w:rsidR="00066C63" w:rsidRDefault="009656F6">
            <w:pPr>
              <w:jc w:val="right"/>
              <w:textAlignment w:val="bottom"/>
            </w:pPr>
            <w:r>
              <w:rPr>
                <w:rFonts w:ascii="Arial" w:eastAsia="宋体" w:hAnsi="Arial" w:cs="Arial"/>
                <w:color w:val="000000"/>
                <w:sz w:val="17"/>
                <w:szCs w:val="17"/>
              </w:rPr>
              <w:t>0 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900" w14:textId="77777777" w:rsidR="00066C63" w:rsidRDefault="009656F6">
            <w:pPr>
              <w:jc w:val="right"/>
              <w:textAlignment w:val="bottom"/>
            </w:pPr>
            <w:r>
              <w:rPr>
                <w:rFonts w:ascii="Arial" w:eastAsia="宋体" w:hAnsi="Arial" w:cs="Arial"/>
                <w:color w:val="000000"/>
                <w:sz w:val="17"/>
                <w:szCs w:val="17"/>
              </w:rPr>
              <w:t>%</w:t>
            </w:r>
          </w:p>
        </w:tc>
        <w:tc>
          <w:tcPr>
            <w:tcW w:w="0" w:type="auto"/>
            <w:gridSpan w:val="3"/>
            <w:tcBorders>
              <w:top w:val="single" w:sz="8" w:space="0" w:color="808080"/>
            </w:tcBorders>
            <w:shd w:val="clear" w:color="auto" w:fill="auto"/>
            <w:tcMar>
              <w:top w:w="0" w:type="dxa"/>
              <w:left w:w="20" w:type="dxa"/>
              <w:bottom w:w="0" w:type="dxa"/>
              <w:right w:w="20" w:type="dxa"/>
            </w:tcMar>
          </w:tcPr>
          <w:p w14:paraId="669C7901" w14:textId="77777777" w:rsidR="00066C63" w:rsidRDefault="00066C63">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7902" w14:textId="77777777" w:rsidR="00066C63" w:rsidRDefault="009656F6">
            <w:pPr>
              <w:jc w:val="right"/>
              <w:textAlignment w:val="bottom"/>
            </w:pPr>
            <w:r>
              <w:rPr>
                <w:rFonts w:ascii="Arial" w:eastAsia="宋体" w:hAnsi="Arial" w:cs="Arial"/>
                <w:color w:val="000000"/>
                <w:sz w:val="17"/>
                <w:szCs w:val="17"/>
              </w:rPr>
              <w:t>2,714 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7903"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904" w14:textId="77777777" w:rsidR="00066C63" w:rsidRDefault="009656F6">
            <w:pPr>
              <w:jc w:val="right"/>
              <w:textAlignment w:val="bottom"/>
            </w:pPr>
            <w:r>
              <w:rPr>
                <w:rFonts w:ascii="Arial" w:eastAsia="宋体" w:hAnsi="Arial" w:cs="Arial"/>
                <w:color w:val="000000"/>
                <w:sz w:val="17"/>
                <w:szCs w:val="17"/>
              </w:rPr>
              <w:t>2,227 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905"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906" w14:textId="77777777" w:rsidR="00066C63" w:rsidRDefault="009656F6">
            <w:pPr>
              <w:jc w:val="right"/>
              <w:textAlignment w:val="bottom"/>
            </w:pPr>
            <w:r>
              <w:rPr>
                <w:rFonts w:ascii="Arial" w:eastAsia="宋体" w:hAnsi="Arial" w:cs="Arial"/>
                <w:color w:val="000000"/>
                <w:sz w:val="17"/>
                <w:szCs w:val="17"/>
              </w:rPr>
              <w:t>22 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907" w14:textId="77777777" w:rsidR="00066C63" w:rsidRDefault="009656F6">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908" w14:textId="77777777" w:rsidR="00066C63" w:rsidRDefault="009656F6">
            <w:pPr>
              <w:jc w:val="right"/>
              <w:textAlignment w:val="bottom"/>
            </w:pPr>
            <w:r>
              <w:rPr>
                <w:rFonts w:ascii="Arial" w:eastAsia="宋体" w:hAnsi="Arial" w:cs="Arial"/>
                <w:color w:val="000000"/>
                <w:sz w:val="17"/>
                <w:szCs w:val="17"/>
              </w:rPr>
              <w:t>17 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909" w14:textId="77777777" w:rsidR="00066C63" w:rsidRDefault="009656F6">
            <w:pPr>
              <w:jc w:val="right"/>
              <w:textAlignment w:val="bottom"/>
            </w:pPr>
            <w:r>
              <w:rPr>
                <w:rFonts w:ascii="Arial" w:eastAsia="宋体" w:hAnsi="Arial" w:cs="Arial"/>
                <w:color w:val="000000"/>
                <w:sz w:val="17"/>
                <w:szCs w:val="17"/>
              </w:rPr>
              <w:t>%</w:t>
            </w:r>
          </w:p>
        </w:tc>
      </w:tr>
      <w:tr w:rsidR="00066C63" w14:paraId="669C7921"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90B" w14:textId="77777777" w:rsidR="00066C63" w:rsidRDefault="009656F6">
            <w:pPr>
              <w:textAlignment w:val="bottom"/>
            </w:pPr>
            <w:r>
              <w:rPr>
                <w:rFonts w:ascii="Arial" w:eastAsia="宋体" w:hAnsi="Arial" w:cs="Arial"/>
                <w:b/>
                <w:bCs/>
                <w:color w:val="000000"/>
                <w:sz w:val="17"/>
                <w:szCs w:val="17"/>
              </w:rPr>
              <w:t>TOTAL 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669C790C"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669C790D" w14:textId="77777777" w:rsidR="00066C63" w:rsidRDefault="009656F6">
            <w:pPr>
              <w:jc w:val="right"/>
              <w:textAlignment w:val="bottom"/>
            </w:pPr>
            <w:r>
              <w:rPr>
                <w:rFonts w:ascii="Arial" w:eastAsia="宋体" w:hAnsi="Arial" w:cs="Arial"/>
                <w:b/>
                <w:bCs/>
                <w:color w:val="000000"/>
                <w:sz w:val="17"/>
                <w:szCs w:val="17"/>
              </w:rPr>
              <w:t>2,609</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790E" w14:textId="77777777" w:rsidR="00066C63" w:rsidRDefault="00066C63">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69C790F"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69C7910" w14:textId="77777777" w:rsidR="00066C63" w:rsidRDefault="009656F6">
            <w:pPr>
              <w:jc w:val="right"/>
              <w:textAlignment w:val="bottom"/>
            </w:pPr>
            <w:r>
              <w:rPr>
                <w:rFonts w:ascii="Arial" w:eastAsia="宋体" w:hAnsi="Arial" w:cs="Arial"/>
                <w:b/>
                <w:bCs/>
                <w:color w:val="000000"/>
                <w:sz w:val="17"/>
                <w:szCs w:val="17"/>
              </w:rPr>
              <w:t>2,709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7911" w14:textId="77777777" w:rsidR="00066C63" w:rsidRDefault="00066C63">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7912" w14:textId="77777777" w:rsidR="00066C63" w:rsidRDefault="009656F6">
            <w:pPr>
              <w:jc w:val="right"/>
              <w:textAlignment w:val="bottom"/>
            </w:pPr>
            <w:r>
              <w:rPr>
                <w:rFonts w:ascii="Arial" w:eastAsia="宋体" w:hAnsi="Arial" w:cs="Arial"/>
                <w:b/>
                <w:bCs/>
                <w:color w:val="000000"/>
                <w:sz w:val="17"/>
                <w:szCs w:val="17"/>
              </w:rPr>
              <w:t>-4</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7913" w14:textId="77777777" w:rsidR="00066C63" w:rsidRDefault="009656F6">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7914" w14:textId="77777777" w:rsidR="00066C63" w:rsidRDefault="009656F6">
            <w:pPr>
              <w:jc w:val="right"/>
              <w:textAlignment w:val="bottom"/>
            </w:pPr>
            <w:r>
              <w:rPr>
                <w:rFonts w:ascii="Arial" w:eastAsia="宋体" w:hAnsi="Arial" w:cs="Arial"/>
                <w:b/>
                <w:bCs/>
                <w:color w:val="000000"/>
                <w:sz w:val="17"/>
                <w:szCs w:val="17"/>
              </w:rPr>
              <w:t>-9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7915" w14:textId="77777777" w:rsidR="00066C63" w:rsidRDefault="009656F6">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tcPr>
          <w:p w14:paraId="669C7916" w14:textId="77777777" w:rsidR="00066C63" w:rsidRDefault="00066C63">
            <w:pPr>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669C7917"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669C7918" w14:textId="77777777" w:rsidR="00066C63" w:rsidRDefault="009656F6">
            <w:pPr>
              <w:jc w:val="right"/>
              <w:textAlignment w:val="bottom"/>
            </w:pPr>
            <w:r>
              <w:rPr>
                <w:rFonts w:ascii="Arial" w:eastAsia="宋体" w:hAnsi="Arial" w:cs="Arial"/>
                <w:b/>
                <w:bCs/>
                <w:color w:val="000000"/>
                <w:sz w:val="17"/>
                <w:szCs w:val="17"/>
              </w:rPr>
              <w:t>8,477</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7919" w14:textId="77777777" w:rsidR="00066C63" w:rsidRDefault="00066C63">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69C791A"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69C791B" w14:textId="77777777" w:rsidR="00066C63" w:rsidRDefault="009656F6">
            <w:pPr>
              <w:jc w:val="right"/>
              <w:textAlignment w:val="bottom"/>
            </w:pPr>
            <w:r>
              <w:rPr>
                <w:rFonts w:ascii="Arial" w:eastAsia="宋体" w:hAnsi="Arial" w:cs="Arial"/>
                <w:b/>
                <w:bCs/>
                <w:color w:val="000000"/>
                <w:sz w:val="17"/>
                <w:szCs w:val="17"/>
              </w:rPr>
              <w:t>8,019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791C" w14:textId="77777777" w:rsidR="00066C63" w:rsidRDefault="00066C63">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791D" w14:textId="77777777" w:rsidR="00066C63" w:rsidRDefault="009656F6">
            <w:pPr>
              <w:jc w:val="right"/>
              <w:textAlignment w:val="bottom"/>
            </w:pPr>
            <w:r>
              <w:rPr>
                <w:rFonts w:ascii="Arial" w:eastAsia="宋体" w:hAnsi="Arial" w:cs="Arial"/>
                <w:b/>
                <w:bCs/>
                <w:color w:val="000000"/>
                <w:sz w:val="17"/>
                <w:szCs w:val="17"/>
              </w:rPr>
              <w:t>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791E" w14:textId="77777777" w:rsidR="00066C63" w:rsidRDefault="009656F6">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791F" w14:textId="77777777" w:rsidR="00066C63" w:rsidRDefault="009656F6">
            <w:pPr>
              <w:jc w:val="right"/>
              <w:textAlignment w:val="bottom"/>
            </w:pPr>
            <w:r>
              <w:rPr>
                <w:rFonts w:ascii="Arial" w:eastAsia="宋体" w:hAnsi="Arial" w:cs="Arial"/>
                <w:b/>
                <w:bCs/>
                <w:color w:val="000000"/>
                <w:sz w:val="17"/>
                <w:szCs w:val="17"/>
              </w:rPr>
              <w:t>2</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7920" w14:textId="77777777" w:rsidR="00066C63" w:rsidRDefault="009656F6">
            <w:pPr>
              <w:jc w:val="right"/>
              <w:textAlignment w:val="bottom"/>
            </w:pPr>
            <w:r>
              <w:rPr>
                <w:rFonts w:ascii="Arial" w:eastAsia="宋体" w:hAnsi="Arial" w:cs="Arial"/>
                <w:b/>
                <w:bCs/>
                <w:color w:val="000000"/>
                <w:sz w:val="17"/>
                <w:szCs w:val="17"/>
              </w:rPr>
              <w:t>%</w:t>
            </w:r>
          </w:p>
        </w:tc>
      </w:tr>
      <w:tr w:rsidR="00066C63" w14:paraId="669C7936"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669C7922" w14:textId="77777777" w:rsidR="00066C63" w:rsidRDefault="009656F6">
            <w:pPr>
              <w:textAlignment w:val="bottom"/>
            </w:pPr>
            <w:r>
              <w:rPr>
                <w:rFonts w:ascii="Arial" w:eastAsia="宋体" w:hAnsi="Arial" w:cs="Arial"/>
                <w:b/>
                <w:bCs/>
                <w:color w:val="000000"/>
                <w:sz w:val="17"/>
                <w:szCs w:val="17"/>
              </w:rPr>
              <w:t>EARNINGS BEFORE INT</w:t>
            </w:r>
            <w:r>
              <w:rPr>
                <w:rFonts w:ascii="Arial" w:eastAsia="宋体" w:hAnsi="Arial" w:cs="Arial"/>
                <w:b/>
                <w:bCs/>
                <w:color w:val="000000"/>
                <w:sz w:val="17"/>
                <w:szCs w:val="17"/>
              </w:rPr>
              <w:t>EREST AND TAXES</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69C7923"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669C7924" w14:textId="77777777" w:rsidR="00066C63" w:rsidRDefault="009656F6">
            <w:pPr>
              <w:jc w:val="right"/>
              <w:textAlignment w:val="bottom"/>
            </w:pPr>
            <w:r>
              <w:rPr>
                <w:rFonts w:ascii="Arial" w:eastAsia="宋体" w:hAnsi="Arial" w:cs="Arial"/>
                <w:b/>
                <w:bCs/>
                <w:color w:val="000000"/>
                <w:sz w:val="17"/>
                <w:szCs w:val="17"/>
              </w:rPr>
              <w:t>533</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69C7925" w14:textId="77777777" w:rsidR="00066C63" w:rsidRDefault="00066C63">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69C7926"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69C7927" w14:textId="77777777" w:rsidR="00066C63" w:rsidRDefault="009656F6">
            <w:pPr>
              <w:jc w:val="right"/>
              <w:textAlignment w:val="bottom"/>
            </w:pPr>
            <w:r>
              <w:rPr>
                <w:rFonts w:ascii="Arial" w:eastAsia="宋体" w:hAnsi="Arial" w:cs="Arial"/>
                <w:b/>
                <w:bCs/>
                <w:color w:val="000000"/>
                <w:sz w:val="17"/>
                <w:szCs w:val="17"/>
              </w:rPr>
              <w:t>575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69C7928" w14:textId="77777777" w:rsidR="00066C63" w:rsidRDefault="00066C63">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669C7929" w14:textId="77777777" w:rsidR="00066C63" w:rsidRDefault="009656F6">
            <w:pPr>
              <w:jc w:val="right"/>
              <w:textAlignment w:val="bottom"/>
            </w:pPr>
            <w:r>
              <w:rPr>
                <w:rFonts w:ascii="Arial" w:eastAsia="宋体" w:hAnsi="Arial" w:cs="Arial"/>
                <w:b/>
                <w:bCs/>
                <w:color w:val="000000"/>
                <w:sz w:val="17"/>
                <w:szCs w:val="17"/>
              </w:rPr>
              <w:t>-7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69C792A" w14:textId="77777777" w:rsidR="00066C63" w:rsidRDefault="009656F6">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tcPr>
          <w:p w14:paraId="669C792B" w14:textId="77777777" w:rsidR="00066C63" w:rsidRDefault="00066C63">
            <w:pPr>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tcPr>
          <w:p w14:paraId="669C792C" w14:textId="77777777" w:rsidR="00066C63" w:rsidRDefault="00066C63">
            <w:pPr>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69C792D"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669C792E" w14:textId="77777777" w:rsidR="00066C63" w:rsidRDefault="009656F6">
            <w:pPr>
              <w:jc w:val="right"/>
              <w:textAlignment w:val="bottom"/>
            </w:pPr>
            <w:r>
              <w:rPr>
                <w:rFonts w:ascii="Arial" w:eastAsia="宋体" w:hAnsi="Arial" w:cs="Arial"/>
                <w:b/>
                <w:bCs/>
                <w:color w:val="000000"/>
                <w:sz w:val="17"/>
                <w:szCs w:val="17"/>
              </w:rPr>
              <w:t>1,885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69C792F" w14:textId="77777777" w:rsidR="00066C63" w:rsidRDefault="00066C63">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69C7930"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69C7931" w14:textId="77777777" w:rsidR="00066C63" w:rsidRDefault="009656F6">
            <w:pPr>
              <w:jc w:val="right"/>
              <w:textAlignment w:val="bottom"/>
            </w:pPr>
            <w:r>
              <w:rPr>
                <w:rFonts w:ascii="Arial" w:eastAsia="宋体" w:hAnsi="Arial" w:cs="Arial"/>
                <w:b/>
                <w:bCs/>
                <w:color w:val="000000"/>
                <w:sz w:val="17"/>
                <w:szCs w:val="17"/>
              </w:rPr>
              <w:t>1,694</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69C7932" w14:textId="77777777" w:rsidR="00066C63" w:rsidRDefault="00066C63">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669C7933" w14:textId="77777777" w:rsidR="00066C63" w:rsidRDefault="009656F6">
            <w:pPr>
              <w:jc w:val="right"/>
              <w:textAlignment w:val="bottom"/>
            </w:pPr>
            <w:r>
              <w:rPr>
                <w:rFonts w:ascii="Arial" w:eastAsia="宋体" w:hAnsi="Arial" w:cs="Arial"/>
                <w:b/>
                <w:bCs/>
                <w:color w:val="000000"/>
                <w:sz w:val="17"/>
                <w:szCs w:val="17"/>
              </w:rPr>
              <w:t>11</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69C7934" w14:textId="77777777" w:rsidR="00066C63" w:rsidRDefault="009656F6">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tcPr>
          <w:p w14:paraId="669C7935" w14:textId="77777777" w:rsidR="00066C63" w:rsidRDefault="00066C63">
            <w:pPr>
              <w:rPr>
                <w:rFonts w:ascii="宋体"/>
              </w:rPr>
            </w:pPr>
          </w:p>
        </w:tc>
      </w:tr>
    </w:tbl>
    <w:p w14:paraId="669C7937" w14:textId="77777777" w:rsidR="00066C63" w:rsidRDefault="009656F6">
      <w:pPr>
        <w:spacing w:before="120"/>
      </w:pPr>
      <w:r>
        <w:rPr>
          <w:rFonts w:ascii="sans-serif" w:eastAsia="sans-serif" w:hAnsi="sans-serif" w:cs="sans-serif"/>
          <w:b/>
          <w:bCs/>
          <w:color w:val="808080"/>
          <w:sz w:val="22"/>
          <w:szCs w:val="22"/>
        </w:rPr>
        <w:t>THIRD QUARTER OF FISCAL 2021 COMPARED TO THIRD QUARTER OF FISCAL 2020</w:t>
      </w:r>
    </w:p>
    <w:p w14:paraId="669C7938" w14:textId="77777777" w:rsidR="00066C63" w:rsidRDefault="009656F6">
      <w:pPr>
        <w:spacing w:after="120"/>
      </w:pPr>
      <w:r>
        <w:rPr>
          <w:rFonts w:ascii="Arial" w:eastAsia="宋体" w:hAnsi="Arial" w:cs="Arial"/>
          <w:color w:val="000000"/>
          <w:sz w:val="17"/>
          <w:szCs w:val="17"/>
        </w:rPr>
        <w:t>On a curre</w:t>
      </w:r>
      <w:r>
        <w:rPr>
          <w:rFonts w:ascii="Arial" w:eastAsia="宋体" w:hAnsi="Arial" w:cs="Arial"/>
          <w:color w:val="000000"/>
          <w:sz w:val="17"/>
          <w:szCs w:val="17"/>
        </w:rPr>
        <w:t xml:space="preserve">ncy-neutral basis, EMEA revenues for the third quarter of fiscal 2021 decreased 9%, driven by lower revenues across nearly all territories, led by Southern Europe and Central Europe, which declined 25% and 13%, respectively. Revenues decreased in most key </w:t>
      </w:r>
      <w:r>
        <w:rPr>
          <w:rFonts w:ascii="Arial" w:eastAsia="宋体" w:hAnsi="Arial" w:cs="Arial"/>
          <w:color w:val="000000"/>
          <w:sz w:val="17"/>
          <w:szCs w:val="17"/>
        </w:rPr>
        <w:t xml:space="preserve">categories, led by Sportswear and Football (Soccer). NIKE Direct revenues were flat as strong digital sales growth of 60% was offset by declines in comparable store sales of 44%, primarily </w:t>
      </w:r>
      <w:r>
        <w:rPr>
          <w:rFonts w:ascii="Arial" w:eastAsia="宋体" w:hAnsi="Arial" w:cs="Arial"/>
          <w:color w:val="212529"/>
          <w:sz w:val="17"/>
          <w:szCs w:val="17"/>
        </w:rPr>
        <w:t>due to reduced physical retail traffic, in part resulting from temp</w:t>
      </w:r>
      <w:r>
        <w:rPr>
          <w:rFonts w:ascii="Arial" w:eastAsia="宋体" w:hAnsi="Arial" w:cs="Arial"/>
          <w:color w:val="212529"/>
          <w:sz w:val="17"/>
          <w:szCs w:val="17"/>
        </w:rPr>
        <w:t>orary store closures and safety-related measures in response to COVID-19</w:t>
      </w:r>
      <w:r>
        <w:rPr>
          <w:rFonts w:ascii="Arial" w:eastAsia="宋体" w:hAnsi="Arial" w:cs="Arial"/>
          <w:color w:val="000000"/>
          <w:sz w:val="17"/>
          <w:szCs w:val="17"/>
        </w:rPr>
        <w:t>.</w:t>
      </w:r>
    </w:p>
    <w:p w14:paraId="669C7939" w14:textId="77777777" w:rsidR="00066C63" w:rsidRDefault="009656F6">
      <w:pPr>
        <w:spacing w:before="120" w:after="120"/>
      </w:pPr>
      <w:r>
        <w:rPr>
          <w:rFonts w:ascii="Arial" w:eastAsia="宋体" w:hAnsi="Arial" w:cs="Arial"/>
          <w:color w:val="000000"/>
          <w:sz w:val="17"/>
          <w:szCs w:val="17"/>
        </w:rPr>
        <w:t>Currency-neutral footwear revenues decreased 11%, driven by lower revenues in nearly all key categories, led by Sportswear and Football (Soccer). Unit sales of footwear decreased 22%</w:t>
      </w:r>
      <w:r>
        <w:rPr>
          <w:rFonts w:ascii="Arial" w:eastAsia="宋体" w:hAnsi="Arial" w:cs="Arial"/>
          <w:color w:val="000000"/>
          <w:sz w:val="17"/>
          <w:szCs w:val="17"/>
        </w:rPr>
        <w:t>, while higher ASP per pair contributed approximately 11 percentage points. Higher ASP per unit was primarily due to higher NIKE Direct and full-price ASPs, as well as the favorable impact of growth in our NIKE Direct business.</w:t>
      </w:r>
    </w:p>
    <w:p w14:paraId="669C793A" w14:textId="77777777" w:rsidR="00066C63" w:rsidRDefault="009656F6">
      <w:pPr>
        <w:spacing w:before="120" w:after="120"/>
      </w:pPr>
      <w:r>
        <w:rPr>
          <w:rFonts w:ascii="Arial" w:eastAsia="宋体" w:hAnsi="Arial" w:cs="Arial"/>
          <w:color w:val="000000"/>
          <w:sz w:val="17"/>
          <w:szCs w:val="17"/>
        </w:rPr>
        <w:t>Currency-neutral apparel revenues decreased 4% due to declines in several key categories, led by Football (Soccer) and Training, partially offset by growth in the Jordan Brand. Unit sales of apparel decreased 11%, while higher ASP per unit contributed appr</w:t>
      </w:r>
      <w:r>
        <w:rPr>
          <w:rFonts w:ascii="Arial" w:eastAsia="宋体" w:hAnsi="Arial" w:cs="Arial"/>
          <w:color w:val="000000"/>
          <w:sz w:val="17"/>
          <w:szCs w:val="17"/>
        </w:rPr>
        <w:t>oximately 7 percentage points, primarily due to higher full-price ASP, in part reflecting lower discounts.</w:t>
      </w:r>
    </w:p>
    <w:p w14:paraId="669C793B" w14:textId="77777777" w:rsidR="00066C63" w:rsidRDefault="009656F6">
      <w:r>
        <w:rPr>
          <w:rFonts w:ascii="Arial" w:eastAsia="宋体" w:hAnsi="Arial" w:cs="Arial"/>
          <w:color w:val="000000"/>
          <w:sz w:val="17"/>
          <w:szCs w:val="17"/>
        </w:rPr>
        <w:t>Reported EBIT decreased 7% as lower revenues and a decline in gross margin more than offset lower selling and administrative expense. Gross margin de</w:t>
      </w:r>
      <w:r>
        <w:rPr>
          <w:rFonts w:ascii="Arial" w:eastAsia="宋体" w:hAnsi="Arial" w:cs="Arial"/>
          <w:color w:val="000000"/>
          <w:sz w:val="17"/>
          <w:szCs w:val="17"/>
        </w:rPr>
        <w:t>creased approximately 110 basis points primarily due to lower margin in our NIKE Direct business, unfavorable changes in standard foreign currency exchange rates, higher other costs and a lower mix of full-price sales, partially offset by higher full-price</w:t>
      </w:r>
      <w:r>
        <w:rPr>
          <w:rFonts w:ascii="Arial" w:eastAsia="宋体" w:hAnsi="Arial" w:cs="Arial"/>
          <w:color w:val="000000"/>
          <w:sz w:val="17"/>
          <w:szCs w:val="17"/>
        </w:rPr>
        <w:t xml:space="preserve"> ASP, net of discounts. The increase in other costs was primarily a result of higher inventory obsolescence. Lower margin in our NIKE Direct business was driven by higher promotions to reduce excess inventory due to COVID-19. Selling and administrative exp</w:t>
      </w:r>
      <w:r>
        <w:rPr>
          <w:rFonts w:ascii="Arial" w:eastAsia="宋体" w:hAnsi="Arial" w:cs="Arial"/>
          <w:color w:val="000000"/>
          <w:sz w:val="17"/>
          <w:szCs w:val="17"/>
        </w:rPr>
        <w:t>ense decreased due to lower demand creation and operating overhead expense. Lower demand creation expense was driven by lower advertising and marketing expense for brand events and our retail operations, partially offset by higher sports marketing expense.</w:t>
      </w:r>
      <w:r>
        <w:rPr>
          <w:rFonts w:ascii="Arial" w:eastAsia="宋体" w:hAnsi="Arial" w:cs="Arial"/>
          <w:color w:val="000000"/>
          <w:sz w:val="17"/>
          <w:szCs w:val="17"/>
        </w:rPr>
        <w:t xml:space="preserve"> Lower operating overhead expense was primarily due to lower travel and related expenses, partially offset by increases in professional services costs.</w:t>
      </w:r>
    </w:p>
    <w:p w14:paraId="669C793C" w14:textId="77777777" w:rsidR="00066C63" w:rsidRDefault="009656F6">
      <w:pPr>
        <w:spacing w:before="120"/>
      </w:pPr>
      <w:r>
        <w:rPr>
          <w:rFonts w:ascii="sans-serif" w:eastAsia="sans-serif" w:hAnsi="sans-serif" w:cs="sans-serif"/>
          <w:b/>
          <w:bCs/>
          <w:color w:val="808080"/>
          <w:sz w:val="22"/>
          <w:szCs w:val="22"/>
        </w:rPr>
        <w:t>FIRST NINE MONTHS OF FISCAL 2021 COMPARED TO FIRST NINE MONTHS OF FISCAL 2020</w:t>
      </w:r>
    </w:p>
    <w:p w14:paraId="669C793D" w14:textId="77777777" w:rsidR="00066C63" w:rsidRDefault="009656F6">
      <w:pPr>
        <w:spacing w:after="120"/>
      </w:pPr>
      <w:r>
        <w:rPr>
          <w:rFonts w:ascii="Arial" w:eastAsia="宋体" w:hAnsi="Arial" w:cs="Arial"/>
          <w:color w:val="000000"/>
          <w:sz w:val="17"/>
          <w:szCs w:val="17"/>
        </w:rPr>
        <w:t>On a currency-neutral basi</w:t>
      </w:r>
      <w:r>
        <w:rPr>
          <w:rFonts w:ascii="Arial" w:eastAsia="宋体" w:hAnsi="Arial" w:cs="Arial"/>
          <w:color w:val="000000"/>
          <w:sz w:val="17"/>
          <w:szCs w:val="17"/>
        </w:rPr>
        <w:t>s, EMEA revenues for the first nine months of fiscal 2021 grew 2%, driven by higher revenues across most territories, led by UK &amp; Ireland, which grew 22%, partially offset by a 17% decline in Southern Europe. Revenues increased in nearly all key categories</w:t>
      </w:r>
      <w:r>
        <w:rPr>
          <w:rFonts w:ascii="Arial" w:eastAsia="宋体" w:hAnsi="Arial" w:cs="Arial"/>
          <w:color w:val="000000"/>
          <w:sz w:val="17"/>
          <w:szCs w:val="17"/>
        </w:rPr>
        <w:t xml:space="preserve">, led by the Jordan Brand and Sportswear. NIKE Direct revenues increased 17% driven by strong digital sales growth of 88%, partially offset by a 24% decline in comparable store sales primarily </w:t>
      </w:r>
      <w:r>
        <w:rPr>
          <w:rFonts w:ascii="Arial" w:eastAsia="宋体" w:hAnsi="Arial" w:cs="Arial"/>
          <w:color w:val="212529"/>
          <w:sz w:val="17"/>
          <w:szCs w:val="17"/>
        </w:rPr>
        <w:t xml:space="preserve">due to reduced physical retail traffic, in part resulting from </w:t>
      </w:r>
      <w:r>
        <w:rPr>
          <w:rFonts w:ascii="Arial" w:eastAsia="宋体" w:hAnsi="Arial" w:cs="Arial"/>
          <w:color w:val="212529"/>
          <w:sz w:val="17"/>
          <w:szCs w:val="17"/>
        </w:rPr>
        <w:t>temporary store closures and safety-related measures in response to COVID-19</w:t>
      </w:r>
      <w:r>
        <w:rPr>
          <w:rFonts w:ascii="Arial" w:eastAsia="宋体" w:hAnsi="Arial" w:cs="Arial"/>
          <w:color w:val="000000"/>
          <w:sz w:val="17"/>
          <w:szCs w:val="17"/>
        </w:rPr>
        <w:t>.</w:t>
      </w:r>
    </w:p>
    <w:p w14:paraId="669C793E" w14:textId="77777777" w:rsidR="00066C63" w:rsidRDefault="009656F6">
      <w:pPr>
        <w:spacing w:before="120" w:after="120"/>
      </w:pPr>
      <w:r>
        <w:rPr>
          <w:rFonts w:ascii="Arial" w:eastAsia="宋体" w:hAnsi="Arial" w:cs="Arial"/>
          <w:color w:val="000000"/>
          <w:sz w:val="17"/>
          <w:szCs w:val="17"/>
        </w:rPr>
        <w:t>Currency-neutral footwear revenues decreased 1%, driven by lower revenues in several key categories, led by Football (Soccer) and Sportswear, partially offset by growth in the Jo</w:t>
      </w:r>
      <w:r>
        <w:rPr>
          <w:rFonts w:ascii="Arial" w:eastAsia="宋体" w:hAnsi="Arial" w:cs="Arial"/>
          <w:color w:val="000000"/>
          <w:sz w:val="17"/>
          <w:szCs w:val="17"/>
        </w:rPr>
        <w:t>rdan Brand. Unit sales of footwear decreased 7% and higher ASP per pair contributed approximately 6 percentage points, resulting from higher full-price ASP and the favorable impact of growth in our NIKE Direct business.</w:t>
      </w:r>
    </w:p>
    <w:p w14:paraId="669C793F" w14:textId="77777777" w:rsidR="00066C63" w:rsidRDefault="009656F6">
      <w:pPr>
        <w:spacing w:before="120" w:after="120"/>
      </w:pPr>
      <w:r>
        <w:rPr>
          <w:rFonts w:ascii="Arial" w:eastAsia="宋体" w:hAnsi="Arial" w:cs="Arial"/>
          <w:color w:val="000000"/>
          <w:sz w:val="17"/>
          <w:szCs w:val="17"/>
        </w:rPr>
        <w:t>Currency-neutral apparel revenues in</w:t>
      </w:r>
      <w:r>
        <w:rPr>
          <w:rFonts w:ascii="Arial" w:eastAsia="宋体" w:hAnsi="Arial" w:cs="Arial"/>
          <w:color w:val="000000"/>
          <w:sz w:val="17"/>
          <w:szCs w:val="17"/>
        </w:rPr>
        <w:t>creased 8% due to growth in nearly all key categories, led by Football (Soccer) and Sportswear. Unit sales of apparel increased 6% and higher ASP per unit contributed approximately 2 percentage points of apparel revenue growth. Higher ASP per unit was prim</w:t>
      </w:r>
      <w:r>
        <w:rPr>
          <w:rFonts w:ascii="Arial" w:eastAsia="宋体" w:hAnsi="Arial" w:cs="Arial"/>
          <w:color w:val="000000"/>
          <w:sz w:val="17"/>
          <w:szCs w:val="17"/>
        </w:rPr>
        <w:t>arily due to higher full-price ASP, in part reflecting lower discounts.</w:t>
      </w:r>
    </w:p>
    <w:p w14:paraId="669C7940" w14:textId="77777777" w:rsidR="00066C63" w:rsidRDefault="009656F6">
      <w:pPr>
        <w:spacing w:before="120" w:after="120"/>
      </w:pPr>
      <w:r>
        <w:rPr>
          <w:rFonts w:ascii="Arial" w:eastAsia="宋体" w:hAnsi="Arial" w:cs="Arial"/>
          <w:color w:val="000000"/>
          <w:sz w:val="17"/>
          <w:szCs w:val="17"/>
        </w:rPr>
        <w:t>Reported EBIT increased 11% as higher revenues and lower selling and administrative expense more than offset a decline in gross margin. Gross margin decreased approximately 230 basis p</w:t>
      </w:r>
      <w:r>
        <w:rPr>
          <w:rFonts w:ascii="Arial" w:eastAsia="宋体" w:hAnsi="Arial" w:cs="Arial"/>
          <w:color w:val="000000"/>
          <w:sz w:val="17"/>
          <w:szCs w:val="17"/>
        </w:rPr>
        <w:t xml:space="preserve">oints primarily due to lower NIKE Direct margins driven by </w:t>
      </w:r>
    </w:p>
    <w:p w14:paraId="669C7941" w14:textId="77777777" w:rsidR="00066C63" w:rsidRDefault="009656F6">
      <w:pPr>
        <w:spacing w:before="120" w:after="120"/>
        <w:jc w:val="right"/>
      </w:pPr>
      <w:r>
        <w:rPr>
          <w:rFonts w:ascii="Arial" w:eastAsia="宋体" w:hAnsi="Arial" w:cs="Arial"/>
          <w:color w:val="E87722"/>
          <w:sz w:val="17"/>
          <w:szCs w:val="17"/>
        </w:rPr>
        <w:t>35</w:t>
      </w:r>
    </w:p>
    <w:p w14:paraId="669C7942" w14:textId="77777777" w:rsidR="00066C63" w:rsidRDefault="009656F6">
      <w:r>
        <w:pict w14:anchorId="669C7E53">
          <v:rect id="_x0000_i1061" style="width:415.3pt;height:1.5pt" o:hralign="center" o:hrstd="t" o:hr="t" fillcolor="#a0a0a0" stroked="f"/>
        </w:pict>
      </w:r>
    </w:p>
    <w:p w14:paraId="669C7943" w14:textId="77777777" w:rsidR="00066C63" w:rsidRDefault="00066C63"/>
    <w:p w14:paraId="669C7944" w14:textId="77777777" w:rsidR="00066C63" w:rsidRDefault="009656F6">
      <w:hyperlink r:id="rId106" w:anchor="i1e99cb26debe49fe8b698d0f0eb1273a_7" w:history="1">
        <w:r>
          <w:rPr>
            <w:rStyle w:val="a5"/>
            <w:rFonts w:ascii="sans-serif" w:eastAsia="sans-serif" w:hAnsi="sans-serif" w:cs="sans-serif"/>
            <w:sz w:val="17"/>
            <w:szCs w:val="17"/>
          </w:rPr>
          <w:t>Table of Contents</w:t>
        </w:r>
      </w:hyperlink>
    </w:p>
    <w:p w14:paraId="669C7945" w14:textId="77777777" w:rsidR="00066C63" w:rsidRDefault="00066C63"/>
    <w:p w14:paraId="669C7946" w14:textId="77777777" w:rsidR="00066C63" w:rsidRDefault="009656F6">
      <w:pPr>
        <w:spacing w:before="120" w:after="120"/>
      </w:pPr>
      <w:r>
        <w:rPr>
          <w:rFonts w:ascii="Arial" w:eastAsia="宋体" w:hAnsi="Arial" w:cs="Arial"/>
          <w:color w:val="000000"/>
          <w:sz w:val="17"/>
          <w:szCs w:val="17"/>
        </w:rPr>
        <w:t xml:space="preserve">higher promotions to reduce excess inventory due to COVID-19, unfavorable changes in </w:t>
      </w:r>
      <w:r>
        <w:rPr>
          <w:rFonts w:ascii="Arial" w:eastAsia="宋体" w:hAnsi="Arial" w:cs="Arial"/>
          <w:color w:val="000000"/>
          <w:sz w:val="17"/>
          <w:szCs w:val="17"/>
        </w:rPr>
        <w:t>standard foreign currency exchange rates and a lower mix of full-price sales, which more than offset lower product costs and higher full-price ASP, net of discounts. Selling and administrative expense decreased due to lower demand creation and operating ov</w:t>
      </w:r>
      <w:r>
        <w:rPr>
          <w:rFonts w:ascii="Arial" w:eastAsia="宋体" w:hAnsi="Arial" w:cs="Arial"/>
          <w:color w:val="000000"/>
          <w:sz w:val="17"/>
          <w:szCs w:val="17"/>
        </w:rPr>
        <w:t>erhead expense. The decrease in demand creation expense was driven by lower advertising and marketing expense for brand events and our retail operations, as well as lower sports marketing expense. Lower operating overhead expense was primarily due to lower</w:t>
      </w:r>
      <w:r>
        <w:rPr>
          <w:rFonts w:ascii="Arial" w:eastAsia="宋体" w:hAnsi="Arial" w:cs="Arial"/>
          <w:color w:val="000000"/>
          <w:sz w:val="17"/>
          <w:szCs w:val="17"/>
        </w:rPr>
        <w:t xml:space="preserve"> travel and related expenses, partially offset by increases in professional services costs.</w:t>
      </w:r>
    </w:p>
    <w:p w14:paraId="669C7947" w14:textId="77777777" w:rsidR="00066C63" w:rsidRDefault="009656F6">
      <w:pPr>
        <w:spacing w:before="240" w:after="120"/>
      </w:pPr>
      <w:r>
        <w:rPr>
          <w:rFonts w:ascii="sans-serif" w:eastAsia="sans-serif" w:hAnsi="sans-serif" w:cs="sans-serif"/>
          <w:b/>
          <w:bCs/>
          <w:color w:val="000000"/>
          <w:sz w:val="28"/>
          <w:szCs w:val="28"/>
        </w:rPr>
        <w:t>GREATER CHINA</w:t>
      </w:r>
    </w:p>
    <w:tbl>
      <w:tblPr>
        <w:tblW w:w="5000" w:type="pct"/>
        <w:tblCellMar>
          <w:top w:w="15" w:type="dxa"/>
          <w:left w:w="15" w:type="dxa"/>
          <w:bottom w:w="15" w:type="dxa"/>
          <w:right w:w="15" w:type="dxa"/>
        </w:tblCellMar>
        <w:tblLook w:val="04A0" w:firstRow="1" w:lastRow="0" w:firstColumn="1" w:lastColumn="0" w:noHBand="0" w:noVBand="1"/>
      </w:tblPr>
      <w:tblGrid>
        <w:gridCol w:w="50"/>
        <w:gridCol w:w="1148"/>
        <w:gridCol w:w="36"/>
        <w:gridCol w:w="115"/>
        <w:gridCol w:w="693"/>
        <w:gridCol w:w="36"/>
        <w:gridCol w:w="115"/>
        <w:gridCol w:w="693"/>
        <w:gridCol w:w="36"/>
        <w:gridCol w:w="81"/>
        <w:gridCol w:w="546"/>
        <w:gridCol w:w="170"/>
        <w:gridCol w:w="98"/>
        <w:gridCol w:w="744"/>
        <w:gridCol w:w="170"/>
        <w:gridCol w:w="36"/>
        <w:gridCol w:w="36"/>
        <w:gridCol w:w="36"/>
        <w:gridCol w:w="115"/>
        <w:gridCol w:w="693"/>
        <w:gridCol w:w="36"/>
        <w:gridCol w:w="115"/>
        <w:gridCol w:w="693"/>
        <w:gridCol w:w="36"/>
        <w:gridCol w:w="81"/>
        <w:gridCol w:w="546"/>
        <w:gridCol w:w="170"/>
        <w:gridCol w:w="98"/>
        <w:gridCol w:w="744"/>
        <w:gridCol w:w="170"/>
      </w:tblGrid>
      <w:tr w:rsidR="00066C63" w14:paraId="669C7966" w14:textId="77777777">
        <w:tc>
          <w:tcPr>
            <w:tcW w:w="50" w:type="pct"/>
            <w:shd w:val="clear" w:color="auto" w:fill="auto"/>
          </w:tcPr>
          <w:p w14:paraId="669C7948" w14:textId="77777777" w:rsidR="00066C63" w:rsidRDefault="00066C63">
            <w:pPr>
              <w:rPr>
                <w:rFonts w:ascii="宋体"/>
              </w:rPr>
            </w:pPr>
          </w:p>
        </w:tc>
        <w:tc>
          <w:tcPr>
            <w:tcW w:w="1233" w:type="pct"/>
            <w:shd w:val="clear" w:color="auto" w:fill="auto"/>
          </w:tcPr>
          <w:p w14:paraId="669C7949" w14:textId="77777777" w:rsidR="00066C63" w:rsidRDefault="00066C63">
            <w:pPr>
              <w:rPr>
                <w:rFonts w:ascii="宋体"/>
              </w:rPr>
            </w:pPr>
          </w:p>
        </w:tc>
        <w:tc>
          <w:tcPr>
            <w:tcW w:w="5" w:type="pct"/>
            <w:shd w:val="clear" w:color="auto" w:fill="auto"/>
          </w:tcPr>
          <w:p w14:paraId="669C794A" w14:textId="77777777" w:rsidR="00066C63" w:rsidRDefault="00066C63">
            <w:pPr>
              <w:rPr>
                <w:rFonts w:ascii="宋体"/>
              </w:rPr>
            </w:pPr>
          </w:p>
        </w:tc>
        <w:tc>
          <w:tcPr>
            <w:tcW w:w="50" w:type="pct"/>
            <w:shd w:val="clear" w:color="auto" w:fill="auto"/>
          </w:tcPr>
          <w:p w14:paraId="669C794B" w14:textId="77777777" w:rsidR="00066C63" w:rsidRDefault="00066C63">
            <w:pPr>
              <w:rPr>
                <w:rFonts w:ascii="宋体"/>
              </w:rPr>
            </w:pPr>
          </w:p>
        </w:tc>
        <w:tc>
          <w:tcPr>
            <w:tcW w:w="446" w:type="pct"/>
            <w:shd w:val="clear" w:color="auto" w:fill="auto"/>
          </w:tcPr>
          <w:p w14:paraId="669C794C" w14:textId="77777777" w:rsidR="00066C63" w:rsidRDefault="00066C63">
            <w:pPr>
              <w:rPr>
                <w:rFonts w:ascii="宋体"/>
              </w:rPr>
            </w:pPr>
          </w:p>
        </w:tc>
        <w:tc>
          <w:tcPr>
            <w:tcW w:w="5" w:type="pct"/>
            <w:shd w:val="clear" w:color="auto" w:fill="auto"/>
          </w:tcPr>
          <w:p w14:paraId="669C794D" w14:textId="77777777" w:rsidR="00066C63" w:rsidRDefault="00066C63">
            <w:pPr>
              <w:rPr>
                <w:rFonts w:ascii="宋体"/>
              </w:rPr>
            </w:pPr>
          </w:p>
        </w:tc>
        <w:tc>
          <w:tcPr>
            <w:tcW w:w="50" w:type="pct"/>
            <w:shd w:val="clear" w:color="auto" w:fill="auto"/>
          </w:tcPr>
          <w:p w14:paraId="669C794E" w14:textId="77777777" w:rsidR="00066C63" w:rsidRDefault="00066C63">
            <w:pPr>
              <w:rPr>
                <w:rFonts w:ascii="宋体"/>
              </w:rPr>
            </w:pPr>
          </w:p>
        </w:tc>
        <w:tc>
          <w:tcPr>
            <w:tcW w:w="446" w:type="pct"/>
            <w:shd w:val="clear" w:color="auto" w:fill="auto"/>
          </w:tcPr>
          <w:p w14:paraId="669C794F" w14:textId="77777777" w:rsidR="00066C63" w:rsidRDefault="00066C63">
            <w:pPr>
              <w:rPr>
                <w:rFonts w:ascii="宋体"/>
              </w:rPr>
            </w:pPr>
          </w:p>
        </w:tc>
        <w:tc>
          <w:tcPr>
            <w:tcW w:w="5" w:type="pct"/>
            <w:shd w:val="clear" w:color="auto" w:fill="auto"/>
          </w:tcPr>
          <w:p w14:paraId="669C7950" w14:textId="77777777" w:rsidR="00066C63" w:rsidRDefault="00066C63">
            <w:pPr>
              <w:rPr>
                <w:rFonts w:ascii="宋体"/>
              </w:rPr>
            </w:pPr>
          </w:p>
        </w:tc>
        <w:tc>
          <w:tcPr>
            <w:tcW w:w="50" w:type="pct"/>
            <w:shd w:val="clear" w:color="auto" w:fill="auto"/>
          </w:tcPr>
          <w:p w14:paraId="669C7951" w14:textId="77777777" w:rsidR="00066C63" w:rsidRDefault="00066C63">
            <w:pPr>
              <w:rPr>
                <w:rFonts w:ascii="宋体"/>
              </w:rPr>
            </w:pPr>
          </w:p>
        </w:tc>
        <w:tc>
          <w:tcPr>
            <w:tcW w:w="338" w:type="pct"/>
            <w:shd w:val="clear" w:color="auto" w:fill="auto"/>
          </w:tcPr>
          <w:p w14:paraId="669C7952" w14:textId="77777777" w:rsidR="00066C63" w:rsidRDefault="00066C63">
            <w:pPr>
              <w:rPr>
                <w:rFonts w:ascii="宋体"/>
              </w:rPr>
            </w:pPr>
          </w:p>
        </w:tc>
        <w:tc>
          <w:tcPr>
            <w:tcW w:w="5" w:type="pct"/>
            <w:shd w:val="clear" w:color="auto" w:fill="auto"/>
          </w:tcPr>
          <w:p w14:paraId="669C7953" w14:textId="77777777" w:rsidR="00066C63" w:rsidRDefault="00066C63">
            <w:pPr>
              <w:rPr>
                <w:rFonts w:ascii="宋体"/>
              </w:rPr>
            </w:pPr>
          </w:p>
        </w:tc>
        <w:tc>
          <w:tcPr>
            <w:tcW w:w="50" w:type="pct"/>
            <w:shd w:val="clear" w:color="auto" w:fill="auto"/>
          </w:tcPr>
          <w:p w14:paraId="669C7954" w14:textId="77777777" w:rsidR="00066C63" w:rsidRDefault="00066C63">
            <w:pPr>
              <w:rPr>
                <w:rFonts w:ascii="宋体"/>
              </w:rPr>
            </w:pPr>
          </w:p>
        </w:tc>
        <w:tc>
          <w:tcPr>
            <w:tcW w:w="384" w:type="pct"/>
            <w:shd w:val="clear" w:color="auto" w:fill="auto"/>
          </w:tcPr>
          <w:p w14:paraId="669C7955" w14:textId="77777777" w:rsidR="00066C63" w:rsidRDefault="00066C63">
            <w:pPr>
              <w:rPr>
                <w:rFonts w:ascii="宋体"/>
              </w:rPr>
            </w:pPr>
          </w:p>
        </w:tc>
        <w:tc>
          <w:tcPr>
            <w:tcW w:w="5" w:type="pct"/>
            <w:shd w:val="clear" w:color="auto" w:fill="auto"/>
          </w:tcPr>
          <w:p w14:paraId="669C7956" w14:textId="77777777" w:rsidR="00066C63" w:rsidRDefault="00066C63">
            <w:pPr>
              <w:rPr>
                <w:rFonts w:ascii="宋体"/>
              </w:rPr>
            </w:pPr>
          </w:p>
        </w:tc>
        <w:tc>
          <w:tcPr>
            <w:tcW w:w="5" w:type="pct"/>
            <w:shd w:val="clear" w:color="auto" w:fill="auto"/>
          </w:tcPr>
          <w:p w14:paraId="669C7957" w14:textId="77777777" w:rsidR="00066C63" w:rsidRDefault="00066C63">
            <w:pPr>
              <w:rPr>
                <w:rFonts w:ascii="宋体"/>
              </w:rPr>
            </w:pPr>
          </w:p>
        </w:tc>
        <w:tc>
          <w:tcPr>
            <w:tcW w:w="28" w:type="pct"/>
            <w:shd w:val="clear" w:color="auto" w:fill="auto"/>
          </w:tcPr>
          <w:p w14:paraId="669C7958" w14:textId="77777777" w:rsidR="00066C63" w:rsidRDefault="00066C63">
            <w:pPr>
              <w:rPr>
                <w:rFonts w:ascii="宋体"/>
              </w:rPr>
            </w:pPr>
          </w:p>
        </w:tc>
        <w:tc>
          <w:tcPr>
            <w:tcW w:w="5" w:type="pct"/>
            <w:shd w:val="clear" w:color="auto" w:fill="auto"/>
          </w:tcPr>
          <w:p w14:paraId="669C7959" w14:textId="77777777" w:rsidR="00066C63" w:rsidRDefault="00066C63">
            <w:pPr>
              <w:rPr>
                <w:rFonts w:ascii="宋体"/>
              </w:rPr>
            </w:pPr>
          </w:p>
        </w:tc>
        <w:tc>
          <w:tcPr>
            <w:tcW w:w="50" w:type="pct"/>
            <w:shd w:val="clear" w:color="auto" w:fill="auto"/>
          </w:tcPr>
          <w:p w14:paraId="669C795A" w14:textId="77777777" w:rsidR="00066C63" w:rsidRDefault="00066C63">
            <w:pPr>
              <w:rPr>
                <w:rFonts w:ascii="宋体"/>
              </w:rPr>
            </w:pPr>
          </w:p>
        </w:tc>
        <w:tc>
          <w:tcPr>
            <w:tcW w:w="446" w:type="pct"/>
            <w:shd w:val="clear" w:color="auto" w:fill="auto"/>
          </w:tcPr>
          <w:p w14:paraId="669C795B" w14:textId="77777777" w:rsidR="00066C63" w:rsidRDefault="00066C63">
            <w:pPr>
              <w:rPr>
                <w:rFonts w:ascii="宋体"/>
              </w:rPr>
            </w:pPr>
          </w:p>
        </w:tc>
        <w:tc>
          <w:tcPr>
            <w:tcW w:w="5" w:type="pct"/>
            <w:shd w:val="clear" w:color="auto" w:fill="auto"/>
          </w:tcPr>
          <w:p w14:paraId="669C795C" w14:textId="77777777" w:rsidR="00066C63" w:rsidRDefault="00066C63">
            <w:pPr>
              <w:rPr>
                <w:rFonts w:ascii="宋体"/>
              </w:rPr>
            </w:pPr>
          </w:p>
        </w:tc>
        <w:tc>
          <w:tcPr>
            <w:tcW w:w="50" w:type="pct"/>
            <w:shd w:val="clear" w:color="auto" w:fill="auto"/>
          </w:tcPr>
          <w:p w14:paraId="669C795D" w14:textId="77777777" w:rsidR="00066C63" w:rsidRDefault="00066C63">
            <w:pPr>
              <w:rPr>
                <w:rFonts w:ascii="宋体"/>
              </w:rPr>
            </w:pPr>
          </w:p>
        </w:tc>
        <w:tc>
          <w:tcPr>
            <w:tcW w:w="446" w:type="pct"/>
            <w:shd w:val="clear" w:color="auto" w:fill="auto"/>
          </w:tcPr>
          <w:p w14:paraId="669C795E" w14:textId="77777777" w:rsidR="00066C63" w:rsidRDefault="00066C63">
            <w:pPr>
              <w:rPr>
                <w:rFonts w:ascii="宋体"/>
              </w:rPr>
            </w:pPr>
          </w:p>
        </w:tc>
        <w:tc>
          <w:tcPr>
            <w:tcW w:w="5" w:type="pct"/>
            <w:shd w:val="clear" w:color="auto" w:fill="auto"/>
          </w:tcPr>
          <w:p w14:paraId="669C795F" w14:textId="77777777" w:rsidR="00066C63" w:rsidRDefault="00066C63">
            <w:pPr>
              <w:rPr>
                <w:rFonts w:ascii="宋体"/>
              </w:rPr>
            </w:pPr>
          </w:p>
        </w:tc>
        <w:tc>
          <w:tcPr>
            <w:tcW w:w="50" w:type="pct"/>
            <w:shd w:val="clear" w:color="auto" w:fill="auto"/>
          </w:tcPr>
          <w:p w14:paraId="669C7960" w14:textId="77777777" w:rsidR="00066C63" w:rsidRDefault="00066C63">
            <w:pPr>
              <w:rPr>
                <w:rFonts w:ascii="宋体"/>
              </w:rPr>
            </w:pPr>
          </w:p>
        </w:tc>
        <w:tc>
          <w:tcPr>
            <w:tcW w:w="338" w:type="pct"/>
            <w:shd w:val="clear" w:color="auto" w:fill="auto"/>
          </w:tcPr>
          <w:p w14:paraId="669C7961" w14:textId="77777777" w:rsidR="00066C63" w:rsidRDefault="00066C63">
            <w:pPr>
              <w:rPr>
                <w:rFonts w:ascii="宋体"/>
              </w:rPr>
            </w:pPr>
          </w:p>
        </w:tc>
        <w:tc>
          <w:tcPr>
            <w:tcW w:w="5" w:type="pct"/>
            <w:shd w:val="clear" w:color="auto" w:fill="auto"/>
          </w:tcPr>
          <w:p w14:paraId="669C7962" w14:textId="77777777" w:rsidR="00066C63" w:rsidRDefault="00066C63">
            <w:pPr>
              <w:rPr>
                <w:rFonts w:ascii="宋体"/>
              </w:rPr>
            </w:pPr>
          </w:p>
        </w:tc>
        <w:tc>
          <w:tcPr>
            <w:tcW w:w="50" w:type="pct"/>
            <w:shd w:val="clear" w:color="auto" w:fill="auto"/>
          </w:tcPr>
          <w:p w14:paraId="669C7963" w14:textId="77777777" w:rsidR="00066C63" w:rsidRDefault="00066C63">
            <w:pPr>
              <w:rPr>
                <w:rFonts w:ascii="宋体"/>
              </w:rPr>
            </w:pPr>
          </w:p>
        </w:tc>
        <w:tc>
          <w:tcPr>
            <w:tcW w:w="385" w:type="pct"/>
            <w:shd w:val="clear" w:color="auto" w:fill="auto"/>
          </w:tcPr>
          <w:p w14:paraId="669C7964" w14:textId="77777777" w:rsidR="00066C63" w:rsidRDefault="00066C63">
            <w:pPr>
              <w:rPr>
                <w:rFonts w:ascii="宋体"/>
              </w:rPr>
            </w:pPr>
          </w:p>
        </w:tc>
        <w:tc>
          <w:tcPr>
            <w:tcW w:w="5" w:type="pct"/>
            <w:shd w:val="clear" w:color="auto" w:fill="auto"/>
          </w:tcPr>
          <w:p w14:paraId="669C7965" w14:textId="77777777" w:rsidR="00066C63" w:rsidRDefault="00066C63">
            <w:pPr>
              <w:rPr>
                <w:rFonts w:ascii="宋体"/>
              </w:rPr>
            </w:pPr>
          </w:p>
        </w:tc>
      </w:tr>
      <w:tr w:rsidR="00066C63" w14:paraId="669C796B" w14:textId="77777777">
        <w:tc>
          <w:tcPr>
            <w:tcW w:w="0" w:type="auto"/>
            <w:gridSpan w:val="3"/>
            <w:shd w:val="clear" w:color="auto" w:fill="auto"/>
            <w:tcMar>
              <w:top w:w="0" w:type="dxa"/>
              <w:left w:w="20" w:type="dxa"/>
              <w:bottom w:w="0" w:type="dxa"/>
              <w:right w:w="20" w:type="dxa"/>
            </w:tcMar>
          </w:tcPr>
          <w:p w14:paraId="669C7967" w14:textId="77777777" w:rsidR="00066C63" w:rsidRDefault="00066C63">
            <w:pPr>
              <w:rPr>
                <w:rFonts w:ascii="宋体"/>
              </w:rPr>
            </w:pPr>
          </w:p>
        </w:tc>
        <w:tc>
          <w:tcPr>
            <w:tcW w:w="0" w:type="auto"/>
            <w:gridSpan w:val="12"/>
            <w:shd w:val="clear" w:color="auto" w:fill="auto"/>
            <w:tcMar>
              <w:top w:w="40" w:type="dxa"/>
              <w:left w:w="20" w:type="dxa"/>
              <w:bottom w:w="40" w:type="dxa"/>
              <w:right w:w="20" w:type="dxa"/>
            </w:tcMar>
            <w:vAlign w:val="bottom"/>
          </w:tcPr>
          <w:p w14:paraId="669C7968" w14:textId="77777777" w:rsidR="00066C63" w:rsidRDefault="009656F6">
            <w:pPr>
              <w:jc w:val="center"/>
              <w:textAlignment w:val="bottom"/>
            </w:pPr>
            <w:r>
              <w:rPr>
                <w:rFonts w:ascii="sans-serif" w:eastAsia="sans-serif" w:hAnsi="sans-serif" w:cs="sans-serif"/>
                <w:b/>
                <w:bCs/>
                <w:color w:val="000000"/>
                <w:sz w:val="17"/>
                <w:szCs w:val="17"/>
              </w:rPr>
              <w:t xml:space="preserve">THREE MONTHS ENDED </w:t>
            </w:r>
          </w:p>
        </w:tc>
        <w:tc>
          <w:tcPr>
            <w:tcW w:w="0" w:type="auto"/>
            <w:gridSpan w:val="3"/>
            <w:shd w:val="clear" w:color="auto" w:fill="auto"/>
            <w:tcMar>
              <w:top w:w="0" w:type="dxa"/>
              <w:left w:w="20" w:type="dxa"/>
              <w:bottom w:w="0" w:type="dxa"/>
              <w:right w:w="20" w:type="dxa"/>
            </w:tcMar>
          </w:tcPr>
          <w:p w14:paraId="669C7969" w14:textId="77777777" w:rsidR="00066C63" w:rsidRDefault="00066C63">
            <w:pPr>
              <w:rPr>
                <w:rFonts w:ascii="宋体"/>
              </w:rPr>
            </w:pPr>
          </w:p>
        </w:tc>
        <w:tc>
          <w:tcPr>
            <w:tcW w:w="0" w:type="auto"/>
            <w:gridSpan w:val="12"/>
            <w:shd w:val="clear" w:color="auto" w:fill="auto"/>
            <w:tcMar>
              <w:top w:w="40" w:type="dxa"/>
              <w:left w:w="20" w:type="dxa"/>
              <w:bottom w:w="40" w:type="dxa"/>
              <w:right w:w="20" w:type="dxa"/>
            </w:tcMar>
            <w:vAlign w:val="bottom"/>
          </w:tcPr>
          <w:p w14:paraId="669C796A" w14:textId="77777777" w:rsidR="00066C63" w:rsidRDefault="009656F6">
            <w:pPr>
              <w:jc w:val="center"/>
              <w:textAlignment w:val="bottom"/>
            </w:pPr>
            <w:r>
              <w:rPr>
                <w:rFonts w:ascii="sans-serif" w:eastAsia="sans-serif" w:hAnsi="sans-serif" w:cs="sans-serif"/>
                <w:b/>
                <w:bCs/>
                <w:color w:val="000000"/>
                <w:sz w:val="17"/>
                <w:szCs w:val="17"/>
              </w:rPr>
              <w:t xml:space="preserve">NINE MONTHS ENDED </w:t>
            </w:r>
          </w:p>
        </w:tc>
      </w:tr>
      <w:tr w:rsidR="00066C63" w14:paraId="669C7976" w14:textId="77777777">
        <w:tc>
          <w:tcPr>
            <w:tcW w:w="0" w:type="auto"/>
            <w:gridSpan w:val="3"/>
            <w:shd w:val="clear" w:color="auto" w:fill="auto"/>
            <w:tcMar>
              <w:top w:w="40" w:type="dxa"/>
              <w:left w:w="20" w:type="dxa"/>
              <w:bottom w:w="40" w:type="dxa"/>
              <w:right w:w="20" w:type="dxa"/>
            </w:tcMar>
            <w:vAlign w:val="bottom"/>
          </w:tcPr>
          <w:p w14:paraId="669C796C" w14:textId="77777777" w:rsidR="00066C63" w:rsidRDefault="009656F6">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96D" w14:textId="77777777" w:rsidR="00066C63" w:rsidRDefault="009656F6">
            <w:pPr>
              <w:jc w:val="center"/>
              <w:textAlignment w:val="bottom"/>
            </w:pPr>
            <w:r>
              <w:rPr>
                <w:rFonts w:ascii="sans-serif" w:eastAsia="sans-serif" w:hAnsi="sans-serif" w:cs="sans-serif"/>
                <w:b/>
                <w:bCs/>
                <w:color w:val="000000"/>
                <w:sz w:val="17"/>
                <w:szCs w:val="17"/>
              </w:rPr>
              <w:t>FEBRUARY 28, 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96E" w14:textId="77777777" w:rsidR="00066C63" w:rsidRDefault="009656F6">
            <w:pPr>
              <w:jc w:val="center"/>
              <w:textAlignment w:val="bottom"/>
            </w:pPr>
            <w:r>
              <w:rPr>
                <w:rFonts w:ascii="sans-serif" w:eastAsia="sans-serif" w:hAnsi="sans-serif" w:cs="sans-serif"/>
                <w:b/>
                <w:bCs/>
                <w:color w:val="000000"/>
                <w:sz w:val="17"/>
                <w:szCs w:val="17"/>
              </w:rPr>
              <w:t>FEBRUARY 29, 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96F" w14:textId="77777777" w:rsidR="00066C63" w:rsidRDefault="009656F6">
            <w:pPr>
              <w:jc w:val="right"/>
              <w:textAlignment w:val="bottom"/>
            </w:pPr>
            <w:r>
              <w:rPr>
                <w:rFonts w:ascii="sans-serif" w:eastAsia="sans-serif" w:hAnsi="sans-serif" w:cs="sans-serif"/>
                <w:b/>
                <w:bCs/>
                <w:color w:val="000000"/>
                <w:sz w:val="17"/>
                <w:szCs w:val="17"/>
              </w:rPr>
              <w:t>% CHANGE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970" w14:textId="77777777" w:rsidR="00066C63" w:rsidRDefault="009656F6">
            <w:pPr>
              <w:jc w:val="right"/>
              <w:textAlignment w:val="bottom"/>
            </w:pPr>
            <w:r>
              <w:rPr>
                <w:rFonts w:ascii="sans-serif" w:eastAsia="sans-serif" w:hAnsi="sans-serif" w:cs="sans-serif"/>
                <w:b/>
                <w:bCs/>
                <w:color w:val="000000"/>
                <w:sz w:val="17"/>
                <w:szCs w:val="17"/>
              </w:rPr>
              <w:t xml:space="preserve">% CHANGE </w:t>
            </w:r>
            <w:r>
              <w:rPr>
                <w:rFonts w:ascii="sans-serif" w:eastAsia="sans-serif" w:hAnsi="sans-serif" w:cs="sans-serif"/>
                <w:b/>
                <w:bCs/>
                <w:color w:val="000000"/>
                <w:sz w:val="17"/>
                <w:szCs w:val="17"/>
              </w:rPr>
              <w:t>EXCLUDING CURRENCY CHANGES</w:t>
            </w:r>
          </w:p>
        </w:tc>
        <w:tc>
          <w:tcPr>
            <w:tcW w:w="0" w:type="auto"/>
            <w:gridSpan w:val="3"/>
            <w:shd w:val="clear" w:color="auto" w:fill="auto"/>
            <w:tcMar>
              <w:top w:w="0" w:type="dxa"/>
              <w:left w:w="20" w:type="dxa"/>
              <w:bottom w:w="0" w:type="dxa"/>
              <w:right w:w="20" w:type="dxa"/>
            </w:tcMar>
          </w:tcPr>
          <w:p w14:paraId="669C7971" w14:textId="77777777" w:rsidR="00066C63" w:rsidRDefault="00066C63">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972" w14:textId="77777777" w:rsidR="00066C63" w:rsidRDefault="009656F6">
            <w:pPr>
              <w:jc w:val="center"/>
              <w:textAlignment w:val="bottom"/>
            </w:pPr>
            <w:r>
              <w:rPr>
                <w:rFonts w:ascii="sans-serif" w:eastAsia="sans-serif" w:hAnsi="sans-serif" w:cs="sans-serif"/>
                <w:b/>
                <w:bCs/>
                <w:color w:val="000000"/>
                <w:sz w:val="17"/>
                <w:szCs w:val="17"/>
              </w:rPr>
              <w:t>FEBRUARY 28, 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973" w14:textId="77777777" w:rsidR="00066C63" w:rsidRDefault="009656F6">
            <w:pPr>
              <w:jc w:val="center"/>
              <w:textAlignment w:val="bottom"/>
            </w:pPr>
            <w:r>
              <w:rPr>
                <w:rFonts w:ascii="sans-serif" w:eastAsia="sans-serif" w:hAnsi="sans-serif" w:cs="sans-serif"/>
                <w:b/>
                <w:bCs/>
                <w:color w:val="000000"/>
                <w:sz w:val="17"/>
                <w:szCs w:val="17"/>
              </w:rPr>
              <w:t>FEBRUARY 29, 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974" w14:textId="77777777" w:rsidR="00066C63" w:rsidRDefault="009656F6">
            <w:pPr>
              <w:jc w:val="right"/>
              <w:textAlignment w:val="bottom"/>
            </w:pPr>
            <w:r>
              <w:rPr>
                <w:rFonts w:ascii="sans-serif" w:eastAsia="sans-serif" w:hAnsi="sans-serif" w:cs="sans-serif"/>
                <w:b/>
                <w:bCs/>
                <w:color w:val="000000"/>
                <w:sz w:val="17"/>
                <w:szCs w:val="17"/>
              </w:rPr>
              <w:t>% CHANGE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975" w14:textId="77777777" w:rsidR="00066C63" w:rsidRDefault="009656F6">
            <w:pPr>
              <w:jc w:val="right"/>
              <w:textAlignment w:val="bottom"/>
            </w:pPr>
            <w:r>
              <w:rPr>
                <w:rFonts w:ascii="sans-serif" w:eastAsia="sans-serif" w:hAnsi="sans-serif" w:cs="sans-serif"/>
                <w:b/>
                <w:bCs/>
                <w:color w:val="000000"/>
                <w:sz w:val="17"/>
                <w:szCs w:val="17"/>
              </w:rPr>
              <w:t>% CHANGE EXCLUDING CURRENCY CHANGES</w:t>
            </w:r>
          </w:p>
        </w:tc>
      </w:tr>
      <w:tr w:rsidR="00066C63" w14:paraId="669C7981"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977" w14:textId="77777777" w:rsidR="00066C63" w:rsidRDefault="009656F6">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FFF1E7"/>
            <w:tcMar>
              <w:top w:w="0" w:type="dxa"/>
              <w:left w:w="20" w:type="dxa"/>
              <w:bottom w:w="0" w:type="dxa"/>
              <w:right w:w="20" w:type="dxa"/>
            </w:tcMar>
          </w:tcPr>
          <w:p w14:paraId="669C7978"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7979"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797A"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797B"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797C" w14:textId="77777777" w:rsidR="00066C63" w:rsidRDefault="00066C63">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669C797D"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797E"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797F"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7980" w14:textId="77777777" w:rsidR="00066C63" w:rsidRDefault="00066C63">
            <w:pPr>
              <w:rPr>
                <w:rFonts w:ascii="宋体"/>
              </w:rPr>
            </w:pPr>
          </w:p>
        </w:tc>
      </w:tr>
      <w:tr w:rsidR="00066C63" w14:paraId="669C7998"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7982" w14:textId="77777777" w:rsidR="00066C63" w:rsidRDefault="009656F6">
            <w:pPr>
              <w:textAlignment w:val="bottom"/>
            </w:pPr>
            <w:r>
              <w:rPr>
                <w:rFonts w:ascii="Arial" w:eastAsia="宋体" w:hAnsi="Arial" w:cs="Arial"/>
                <w:color w:val="000000"/>
                <w:sz w:val="17"/>
                <w:szCs w:val="17"/>
              </w:rPr>
              <w:t>Footwear</w:t>
            </w:r>
          </w:p>
        </w:tc>
        <w:tc>
          <w:tcPr>
            <w:tcW w:w="0" w:type="auto"/>
            <w:tcBorders>
              <w:top w:val="single" w:sz="8" w:space="0" w:color="808080"/>
            </w:tcBorders>
            <w:shd w:val="clear" w:color="auto" w:fill="FFF1E7"/>
            <w:tcMar>
              <w:top w:w="40" w:type="dxa"/>
              <w:left w:w="20" w:type="dxa"/>
              <w:bottom w:w="40" w:type="dxa"/>
              <w:right w:w="0" w:type="dxa"/>
            </w:tcMar>
            <w:vAlign w:val="bottom"/>
          </w:tcPr>
          <w:p w14:paraId="669C7983"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669C7984" w14:textId="77777777" w:rsidR="00066C63" w:rsidRDefault="009656F6">
            <w:pPr>
              <w:jc w:val="right"/>
              <w:textAlignment w:val="bottom"/>
            </w:pPr>
            <w:r>
              <w:rPr>
                <w:rFonts w:ascii="Arial" w:eastAsia="宋体" w:hAnsi="Arial" w:cs="Arial"/>
                <w:color w:val="000000"/>
                <w:sz w:val="17"/>
                <w:szCs w:val="17"/>
              </w:rPr>
              <w:t>1,614 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7985" w14:textId="77777777" w:rsidR="00066C63" w:rsidRDefault="00066C63">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669C7986"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669C7987" w14:textId="77777777" w:rsidR="00066C63" w:rsidRDefault="009656F6">
            <w:pPr>
              <w:jc w:val="right"/>
              <w:textAlignment w:val="bottom"/>
            </w:pPr>
            <w:r>
              <w:rPr>
                <w:rFonts w:ascii="Arial" w:eastAsia="宋体" w:hAnsi="Arial" w:cs="Arial"/>
                <w:color w:val="000000"/>
                <w:sz w:val="17"/>
                <w:szCs w:val="17"/>
              </w:rPr>
              <w:t>1,075 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988"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989" w14:textId="77777777" w:rsidR="00066C63" w:rsidRDefault="009656F6">
            <w:pPr>
              <w:jc w:val="right"/>
              <w:textAlignment w:val="bottom"/>
            </w:pPr>
            <w:r>
              <w:rPr>
                <w:rFonts w:ascii="Arial" w:eastAsia="宋体" w:hAnsi="Arial" w:cs="Arial"/>
                <w:color w:val="000000"/>
                <w:sz w:val="17"/>
                <w:szCs w:val="17"/>
              </w:rPr>
              <w:t>50 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98A" w14:textId="77777777" w:rsidR="00066C63" w:rsidRDefault="009656F6">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98B" w14:textId="77777777" w:rsidR="00066C63" w:rsidRDefault="009656F6">
            <w:pPr>
              <w:jc w:val="right"/>
              <w:textAlignment w:val="bottom"/>
            </w:pPr>
            <w:r>
              <w:rPr>
                <w:rFonts w:ascii="Arial" w:eastAsia="宋体" w:hAnsi="Arial" w:cs="Arial"/>
                <w:color w:val="000000"/>
                <w:sz w:val="17"/>
                <w:szCs w:val="17"/>
              </w:rPr>
              <w:t>41 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98C" w14:textId="77777777" w:rsidR="00066C63" w:rsidRDefault="009656F6">
            <w:pPr>
              <w:jc w:val="right"/>
              <w:textAlignment w:val="bottom"/>
            </w:pPr>
            <w:r>
              <w:rPr>
                <w:rFonts w:ascii="Arial" w:eastAsia="宋体" w:hAnsi="Arial" w:cs="Arial"/>
                <w:color w:val="000000"/>
                <w:sz w:val="17"/>
                <w:szCs w:val="17"/>
              </w:rPr>
              <w:t>%</w:t>
            </w:r>
          </w:p>
        </w:tc>
        <w:tc>
          <w:tcPr>
            <w:tcW w:w="0" w:type="auto"/>
            <w:gridSpan w:val="3"/>
            <w:tcBorders>
              <w:top w:val="single" w:sz="8" w:space="0" w:color="808080"/>
            </w:tcBorders>
            <w:shd w:val="clear" w:color="auto" w:fill="auto"/>
            <w:tcMar>
              <w:top w:w="0" w:type="dxa"/>
              <w:left w:w="20" w:type="dxa"/>
              <w:bottom w:w="0" w:type="dxa"/>
              <w:right w:w="20" w:type="dxa"/>
            </w:tcMar>
          </w:tcPr>
          <w:p w14:paraId="669C798D" w14:textId="77777777" w:rsidR="00066C63" w:rsidRDefault="00066C63">
            <w:pPr>
              <w:rPr>
                <w:rFonts w:ascii="宋体"/>
              </w:rPr>
            </w:pPr>
          </w:p>
        </w:tc>
        <w:tc>
          <w:tcPr>
            <w:tcW w:w="0" w:type="auto"/>
            <w:tcBorders>
              <w:top w:val="single" w:sz="8" w:space="0" w:color="808080"/>
            </w:tcBorders>
            <w:shd w:val="clear" w:color="auto" w:fill="FFF1E7"/>
            <w:tcMar>
              <w:top w:w="40" w:type="dxa"/>
              <w:left w:w="20" w:type="dxa"/>
              <w:bottom w:w="40" w:type="dxa"/>
              <w:right w:w="0" w:type="dxa"/>
            </w:tcMar>
            <w:vAlign w:val="bottom"/>
          </w:tcPr>
          <w:p w14:paraId="669C798E"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669C798F" w14:textId="77777777" w:rsidR="00066C63" w:rsidRDefault="009656F6">
            <w:pPr>
              <w:jc w:val="right"/>
              <w:textAlignment w:val="bottom"/>
            </w:pPr>
            <w:r>
              <w:rPr>
                <w:rFonts w:ascii="Arial" w:eastAsia="宋体" w:hAnsi="Arial" w:cs="Arial"/>
                <w:color w:val="000000"/>
                <w:sz w:val="17"/>
                <w:szCs w:val="17"/>
              </w:rPr>
              <w:t>4,432 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7990" w14:textId="77777777" w:rsidR="00066C63" w:rsidRDefault="00066C63">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669C7991"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669C7992" w14:textId="77777777" w:rsidR="00066C63" w:rsidRDefault="009656F6">
            <w:pPr>
              <w:jc w:val="right"/>
              <w:textAlignment w:val="bottom"/>
            </w:pPr>
            <w:r>
              <w:rPr>
                <w:rFonts w:ascii="Arial" w:eastAsia="宋体" w:hAnsi="Arial" w:cs="Arial"/>
                <w:color w:val="000000"/>
                <w:sz w:val="17"/>
                <w:szCs w:val="17"/>
              </w:rPr>
              <w:t>3,486 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993"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994" w14:textId="77777777" w:rsidR="00066C63" w:rsidRDefault="009656F6">
            <w:pPr>
              <w:jc w:val="right"/>
              <w:textAlignment w:val="bottom"/>
            </w:pPr>
            <w:r>
              <w:rPr>
                <w:rFonts w:ascii="Arial" w:eastAsia="宋体" w:hAnsi="Arial" w:cs="Arial"/>
                <w:color w:val="000000"/>
                <w:sz w:val="17"/>
                <w:szCs w:val="17"/>
              </w:rPr>
              <w:t>27 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995" w14:textId="77777777" w:rsidR="00066C63" w:rsidRDefault="009656F6">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996" w14:textId="77777777" w:rsidR="00066C63" w:rsidRDefault="009656F6">
            <w:pPr>
              <w:jc w:val="right"/>
              <w:textAlignment w:val="bottom"/>
            </w:pPr>
            <w:r>
              <w:rPr>
                <w:rFonts w:ascii="Arial" w:eastAsia="宋体" w:hAnsi="Arial" w:cs="Arial"/>
                <w:color w:val="000000"/>
                <w:sz w:val="17"/>
                <w:szCs w:val="17"/>
              </w:rPr>
              <w:t>23 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997" w14:textId="77777777" w:rsidR="00066C63" w:rsidRDefault="009656F6">
            <w:pPr>
              <w:jc w:val="right"/>
              <w:textAlignment w:val="bottom"/>
            </w:pPr>
            <w:r>
              <w:rPr>
                <w:rFonts w:ascii="Arial" w:eastAsia="宋体" w:hAnsi="Arial" w:cs="Arial"/>
                <w:color w:val="000000"/>
                <w:sz w:val="17"/>
                <w:szCs w:val="17"/>
              </w:rPr>
              <w:t>%</w:t>
            </w:r>
          </w:p>
        </w:tc>
      </w:tr>
      <w:tr w:rsidR="00066C63" w14:paraId="669C79AB"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7999" w14:textId="77777777" w:rsidR="00066C63" w:rsidRDefault="009656F6">
            <w:pPr>
              <w:textAlignment w:val="bottom"/>
            </w:pPr>
            <w:r>
              <w:rPr>
                <w:rFonts w:ascii="Arial" w:eastAsia="宋体" w:hAnsi="Arial" w:cs="Arial"/>
                <w:color w:val="000000"/>
                <w:sz w:val="17"/>
                <w:szCs w:val="17"/>
              </w:rPr>
              <w:t>Apparel</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799A" w14:textId="77777777" w:rsidR="00066C63" w:rsidRDefault="009656F6">
            <w:pPr>
              <w:jc w:val="right"/>
              <w:textAlignment w:val="bottom"/>
            </w:pPr>
            <w:r>
              <w:rPr>
                <w:rFonts w:ascii="Arial" w:eastAsia="宋体" w:hAnsi="Arial" w:cs="Arial"/>
                <w:color w:val="000000"/>
                <w:sz w:val="17"/>
                <w:szCs w:val="17"/>
              </w:rPr>
              <w:t>616 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799B"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99C" w14:textId="77777777" w:rsidR="00066C63" w:rsidRDefault="009656F6">
            <w:pPr>
              <w:jc w:val="right"/>
              <w:textAlignment w:val="bottom"/>
            </w:pPr>
            <w:r>
              <w:rPr>
                <w:rFonts w:ascii="Arial" w:eastAsia="宋体" w:hAnsi="Arial" w:cs="Arial"/>
                <w:color w:val="000000"/>
                <w:sz w:val="17"/>
                <w:szCs w:val="17"/>
              </w:rPr>
              <w:t>400 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99D"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99E" w14:textId="77777777" w:rsidR="00066C63" w:rsidRDefault="009656F6">
            <w:pPr>
              <w:jc w:val="right"/>
              <w:textAlignment w:val="bottom"/>
            </w:pPr>
            <w:r>
              <w:rPr>
                <w:rFonts w:ascii="Arial" w:eastAsia="宋体" w:hAnsi="Arial" w:cs="Arial"/>
                <w:color w:val="000000"/>
                <w:sz w:val="17"/>
                <w:szCs w:val="17"/>
              </w:rPr>
              <w:t>54 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99F" w14:textId="77777777" w:rsidR="00066C63" w:rsidRDefault="009656F6">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9A0" w14:textId="77777777" w:rsidR="00066C63" w:rsidRDefault="009656F6">
            <w:pPr>
              <w:jc w:val="right"/>
              <w:textAlignment w:val="bottom"/>
            </w:pPr>
            <w:r>
              <w:rPr>
                <w:rFonts w:ascii="Arial" w:eastAsia="宋体" w:hAnsi="Arial" w:cs="Arial"/>
                <w:color w:val="000000"/>
                <w:sz w:val="17"/>
                <w:szCs w:val="17"/>
              </w:rPr>
              <w:t>44 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9A1" w14:textId="77777777" w:rsidR="00066C63" w:rsidRDefault="009656F6">
            <w:pPr>
              <w:jc w:val="right"/>
              <w:textAlignment w:val="bottom"/>
            </w:pPr>
            <w:r>
              <w:rPr>
                <w:rFonts w:ascii="Arial" w:eastAsia="宋体" w:hAnsi="Arial" w:cs="Arial"/>
                <w:color w:val="000000"/>
                <w:sz w:val="17"/>
                <w:szCs w:val="17"/>
              </w:rPr>
              <w:t>%</w:t>
            </w:r>
          </w:p>
        </w:tc>
        <w:tc>
          <w:tcPr>
            <w:tcW w:w="0" w:type="auto"/>
            <w:gridSpan w:val="3"/>
            <w:tcBorders>
              <w:top w:val="single" w:sz="8" w:space="0" w:color="808080"/>
            </w:tcBorders>
            <w:shd w:val="clear" w:color="auto" w:fill="auto"/>
            <w:tcMar>
              <w:top w:w="0" w:type="dxa"/>
              <w:left w:w="20" w:type="dxa"/>
              <w:bottom w:w="0" w:type="dxa"/>
              <w:right w:w="20" w:type="dxa"/>
            </w:tcMar>
          </w:tcPr>
          <w:p w14:paraId="669C79A2" w14:textId="77777777" w:rsidR="00066C63" w:rsidRDefault="00066C63">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79A3" w14:textId="77777777" w:rsidR="00066C63" w:rsidRDefault="009656F6">
            <w:pPr>
              <w:jc w:val="right"/>
              <w:textAlignment w:val="bottom"/>
            </w:pPr>
            <w:r>
              <w:rPr>
                <w:rFonts w:ascii="Arial" w:eastAsia="宋体" w:hAnsi="Arial" w:cs="Arial"/>
                <w:color w:val="000000"/>
                <w:sz w:val="17"/>
                <w:szCs w:val="17"/>
              </w:rPr>
              <w:t>1,775 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79A4"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9A5" w14:textId="77777777" w:rsidR="00066C63" w:rsidRDefault="009656F6">
            <w:pPr>
              <w:jc w:val="right"/>
              <w:textAlignment w:val="bottom"/>
            </w:pPr>
            <w:r>
              <w:rPr>
                <w:rFonts w:ascii="Arial" w:eastAsia="宋体" w:hAnsi="Arial" w:cs="Arial"/>
                <w:color w:val="000000"/>
                <w:sz w:val="17"/>
                <w:szCs w:val="17"/>
              </w:rPr>
              <w:t>1,428 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9A6"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9A7" w14:textId="77777777" w:rsidR="00066C63" w:rsidRDefault="009656F6">
            <w:pPr>
              <w:jc w:val="right"/>
              <w:textAlignment w:val="bottom"/>
            </w:pPr>
            <w:r>
              <w:rPr>
                <w:rFonts w:ascii="Arial" w:eastAsia="宋体" w:hAnsi="Arial" w:cs="Arial"/>
                <w:color w:val="000000"/>
                <w:sz w:val="17"/>
                <w:szCs w:val="17"/>
              </w:rPr>
              <w:t>24 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9A8" w14:textId="77777777" w:rsidR="00066C63" w:rsidRDefault="009656F6">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9A9" w14:textId="77777777" w:rsidR="00066C63" w:rsidRDefault="009656F6">
            <w:pPr>
              <w:jc w:val="right"/>
              <w:textAlignment w:val="bottom"/>
            </w:pPr>
            <w:r>
              <w:rPr>
                <w:rFonts w:ascii="Arial" w:eastAsia="宋体" w:hAnsi="Arial" w:cs="Arial"/>
                <w:color w:val="000000"/>
                <w:sz w:val="17"/>
                <w:szCs w:val="17"/>
              </w:rPr>
              <w:t>20 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9AA" w14:textId="77777777" w:rsidR="00066C63" w:rsidRDefault="009656F6">
            <w:pPr>
              <w:jc w:val="right"/>
              <w:textAlignment w:val="bottom"/>
            </w:pPr>
            <w:r>
              <w:rPr>
                <w:rFonts w:ascii="Arial" w:eastAsia="宋体" w:hAnsi="Arial" w:cs="Arial"/>
                <w:color w:val="000000"/>
                <w:sz w:val="17"/>
                <w:szCs w:val="17"/>
              </w:rPr>
              <w:t>%</w:t>
            </w:r>
          </w:p>
        </w:tc>
      </w:tr>
      <w:tr w:rsidR="00066C63" w14:paraId="669C79BE"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79AC" w14:textId="77777777" w:rsidR="00066C63" w:rsidRDefault="009656F6">
            <w:pPr>
              <w:textAlignment w:val="bottom"/>
            </w:pPr>
            <w:r>
              <w:rPr>
                <w:rFonts w:ascii="Arial" w:eastAsia="宋体" w:hAnsi="Arial" w:cs="Arial"/>
                <w:color w:val="000000"/>
                <w:sz w:val="17"/>
                <w:szCs w:val="17"/>
              </w:rPr>
              <w:t>Equipment</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79AD" w14:textId="77777777" w:rsidR="00066C63" w:rsidRDefault="009656F6">
            <w:pPr>
              <w:jc w:val="right"/>
              <w:textAlignment w:val="bottom"/>
            </w:pPr>
            <w:r>
              <w:rPr>
                <w:rFonts w:ascii="Arial" w:eastAsia="宋体" w:hAnsi="Arial" w:cs="Arial"/>
                <w:color w:val="000000"/>
                <w:sz w:val="17"/>
                <w:szCs w:val="17"/>
              </w:rPr>
              <w:t>49 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79AE"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9AF" w14:textId="77777777" w:rsidR="00066C63" w:rsidRDefault="009656F6">
            <w:pPr>
              <w:jc w:val="right"/>
              <w:textAlignment w:val="bottom"/>
            </w:pPr>
            <w:r>
              <w:rPr>
                <w:rFonts w:ascii="Arial" w:eastAsia="宋体" w:hAnsi="Arial" w:cs="Arial"/>
                <w:color w:val="000000"/>
                <w:sz w:val="17"/>
                <w:szCs w:val="17"/>
              </w:rPr>
              <w:t>31 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9B0"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9B1" w14:textId="77777777" w:rsidR="00066C63" w:rsidRDefault="009656F6">
            <w:pPr>
              <w:jc w:val="right"/>
              <w:textAlignment w:val="bottom"/>
            </w:pPr>
            <w:r>
              <w:rPr>
                <w:rFonts w:ascii="Arial" w:eastAsia="宋体" w:hAnsi="Arial" w:cs="Arial"/>
                <w:color w:val="000000"/>
                <w:sz w:val="17"/>
                <w:szCs w:val="17"/>
              </w:rPr>
              <w:t>58 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9B2" w14:textId="77777777" w:rsidR="00066C63" w:rsidRDefault="009656F6">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9B3" w14:textId="77777777" w:rsidR="00066C63" w:rsidRDefault="009656F6">
            <w:pPr>
              <w:jc w:val="right"/>
              <w:textAlignment w:val="bottom"/>
            </w:pPr>
            <w:r>
              <w:rPr>
                <w:rFonts w:ascii="Arial" w:eastAsia="宋体" w:hAnsi="Arial" w:cs="Arial"/>
                <w:color w:val="000000"/>
                <w:sz w:val="17"/>
                <w:szCs w:val="17"/>
              </w:rPr>
              <w:t>53 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9B4" w14:textId="77777777" w:rsidR="00066C63" w:rsidRDefault="009656F6">
            <w:pPr>
              <w:jc w:val="right"/>
              <w:textAlignment w:val="bottom"/>
            </w:pPr>
            <w:r>
              <w:rPr>
                <w:rFonts w:ascii="Arial" w:eastAsia="宋体" w:hAnsi="Arial" w:cs="Arial"/>
                <w:color w:val="000000"/>
                <w:sz w:val="17"/>
                <w:szCs w:val="17"/>
              </w:rPr>
              <w:t>%</w:t>
            </w:r>
          </w:p>
        </w:tc>
        <w:tc>
          <w:tcPr>
            <w:tcW w:w="0" w:type="auto"/>
            <w:gridSpan w:val="3"/>
            <w:tcBorders>
              <w:top w:val="single" w:sz="8" w:space="0" w:color="808080"/>
            </w:tcBorders>
            <w:shd w:val="clear" w:color="auto" w:fill="auto"/>
            <w:tcMar>
              <w:top w:w="0" w:type="dxa"/>
              <w:left w:w="20" w:type="dxa"/>
              <w:bottom w:w="0" w:type="dxa"/>
              <w:right w:w="20" w:type="dxa"/>
            </w:tcMar>
          </w:tcPr>
          <w:p w14:paraId="669C79B5" w14:textId="77777777" w:rsidR="00066C63" w:rsidRDefault="00066C63">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79B6" w14:textId="77777777" w:rsidR="00066C63" w:rsidRDefault="009656F6">
            <w:pPr>
              <w:jc w:val="right"/>
              <w:textAlignment w:val="bottom"/>
            </w:pPr>
            <w:r>
              <w:rPr>
                <w:rFonts w:ascii="Arial" w:eastAsia="宋体" w:hAnsi="Arial" w:cs="Arial"/>
                <w:color w:val="000000"/>
                <w:sz w:val="17"/>
                <w:szCs w:val="17"/>
              </w:rPr>
              <w:t>150 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79B7"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9B8" w14:textId="77777777" w:rsidR="00066C63" w:rsidRDefault="009656F6">
            <w:pPr>
              <w:jc w:val="right"/>
              <w:textAlignment w:val="bottom"/>
            </w:pPr>
            <w:r>
              <w:rPr>
                <w:rFonts w:ascii="Arial" w:eastAsia="宋体" w:hAnsi="Arial" w:cs="Arial"/>
                <w:color w:val="000000"/>
                <w:sz w:val="17"/>
                <w:szCs w:val="17"/>
              </w:rPr>
              <w:t>118 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9B9"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9BA" w14:textId="77777777" w:rsidR="00066C63" w:rsidRDefault="009656F6">
            <w:pPr>
              <w:jc w:val="right"/>
              <w:textAlignment w:val="bottom"/>
            </w:pPr>
            <w:r>
              <w:rPr>
                <w:rFonts w:ascii="Arial" w:eastAsia="宋体" w:hAnsi="Arial" w:cs="Arial"/>
                <w:color w:val="000000"/>
                <w:sz w:val="17"/>
                <w:szCs w:val="17"/>
              </w:rPr>
              <w:t>27 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9BB" w14:textId="77777777" w:rsidR="00066C63" w:rsidRDefault="009656F6">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9BC" w14:textId="77777777" w:rsidR="00066C63" w:rsidRDefault="009656F6">
            <w:pPr>
              <w:jc w:val="right"/>
              <w:textAlignment w:val="bottom"/>
            </w:pPr>
            <w:r>
              <w:rPr>
                <w:rFonts w:ascii="Arial" w:eastAsia="宋体" w:hAnsi="Arial" w:cs="Arial"/>
                <w:color w:val="000000"/>
                <w:sz w:val="17"/>
                <w:szCs w:val="17"/>
              </w:rPr>
              <w:t>24 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9BD" w14:textId="77777777" w:rsidR="00066C63" w:rsidRDefault="009656F6">
            <w:pPr>
              <w:jc w:val="right"/>
              <w:textAlignment w:val="bottom"/>
            </w:pPr>
            <w:r>
              <w:rPr>
                <w:rFonts w:ascii="Arial" w:eastAsia="宋体" w:hAnsi="Arial" w:cs="Arial"/>
                <w:color w:val="000000"/>
                <w:sz w:val="17"/>
                <w:szCs w:val="17"/>
              </w:rPr>
              <w:t>%</w:t>
            </w:r>
          </w:p>
        </w:tc>
      </w:tr>
      <w:tr w:rsidR="00066C63" w14:paraId="669C79D5"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9BF" w14:textId="77777777" w:rsidR="00066C63" w:rsidRDefault="009656F6">
            <w:pPr>
              <w:textAlignment w:val="bottom"/>
            </w:pPr>
            <w:r>
              <w:rPr>
                <w:rFonts w:ascii="Arial" w:eastAsia="宋体" w:hAnsi="Arial" w:cs="Arial"/>
                <w:b/>
                <w:bCs/>
                <w:color w:val="000000"/>
                <w:sz w:val="17"/>
                <w:szCs w:val="17"/>
              </w:rPr>
              <w:t>TOTAL 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669C79C0"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669C79C1" w14:textId="77777777" w:rsidR="00066C63" w:rsidRDefault="009656F6">
            <w:pPr>
              <w:jc w:val="right"/>
              <w:textAlignment w:val="bottom"/>
            </w:pPr>
            <w:r>
              <w:rPr>
                <w:rFonts w:ascii="Arial" w:eastAsia="宋体" w:hAnsi="Arial" w:cs="Arial"/>
                <w:b/>
                <w:bCs/>
                <w:color w:val="000000"/>
                <w:sz w:val="17"/>
                <w:szCs w:val="17"/>
              </w:rPr>
              <w:t>2,279</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79C2" w14:textId="77777777" w:rsidR="00066C63" w:rsidRDefault="00066C63">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69C79C3"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69C79C4" w14:textId="77777777" w:rsidR="00066C63" w:rsidRDefault="009656F6">
            <w:pPr>
              <w:jc w:val="right"/>
              <w:textAlignment w:val="bottom"/>
            </w:pPr>
            <w:r>
              <w:rPr>
                <w:rFonts w:ascii="Arial" w:eastAsia="宋体" w:hAnsi="Arial" w:cs="Arial"/>
                <w:b/>
                <w:bCs/>
                <w:color w:val="000000"/>
                <w:sz w:val="17"/>
                <w:szCs w:val="17"/>
              </w:rPr>
              <w:t>1,506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79C5" w14:textId="77777777" w:rsidR="00066C63" w:rsidRDefault="00066C63">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79C6" w14:textId="77777777" w:rsidR="00066C63" w:rsidRDefault="009656F6">
            <w:pPr>
              <w:jc w:val="right"/>
              <w:textAlignment w:val="bottom"/>
            </w:pPr>
            <w:r>
              <w:rPr>
                <w:rFonts w:ascii="Arial" w:eastAsia="宋体" w:hAnsi="Arial" w:cs="Arial"/>
                <w:b/>
                <w:bCs/>
                <w:color w:val="000000"/>
                <w:sz w:val="17"/>
                <w:szCs w:val="17"/>
              </w:rPr>
              <w:t>51</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79C7" w14:textId="77777777" w:rsidR="00066C63" w:rsidRDefault="009656F6">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79C8" w14:textId="77777777" w:rsidR="00066C63" w:rsidRDefault="009656F6">
            <w:pPr>
              <w:jc w:val="right"/>
              <w:textAlignment w:val="bottom"/>
            </w:pPr>
            <w:r>
              <w:rPr>
                <w:rFonts w:ascii="Arial" w:eastAsia="宋体" w:hAnsi="Arial" w:cs="Arial"/>
                <w:b/>
                <w:bCs/>
                <w:color w:val="000000"/>
                <w:sz w:val="17"/>
                <w:szCs w:val="17"/>
              </w:rPr>
              <w:t>42</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79C9" w14:textId="77777777" w:rsidR="00066C63" w:rsidRDefault="009656F6">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tcPr>
          <w:p w14:paraId="669C79CA" w14:textId="77777777" w:rsidR="00066C63" w:rsidRDefault="00066C63">
            <w:pPr>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669C79CB"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669C79CC" w14:textId="77777777" w:rsidR="00066C63" w:rsidRDefault="009656F6">
            <w:pPr>
              <w:jc w:val="right"/>
              <w:textAlignment w:val="bottom"/>
            </w:pPr>
            <w:r>
              <w:rPr>
                <w:rFonts w:ascii="Arial" w:eastAsia="宋体" w:hAnsi="Arial" w:cs="Arial"/>
                <w:b/>
                <w:bCs/>
                <w:color w:val="000000"/>
                <w:sz w:val="17"/>
                <w:szCs w:val="17"/>
              </w:rPr>
              <w:t>6,357</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79CD" w14:textId="77777777" w:rsidR="00066C63" w:rsidRDefault="00066C63">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69C79CE"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69C79CF" w14:textId="77777777" w:rsidR="00066C63" w:rsidRDefault="009656F6">
            <w:pPr>
              <w:jc w:val="right"/>
              <w:textAlignment w:val="bottom"/>
            </w:pPr>
            <w:r>
              <w:rPr>
                <w:rFonts w:ascii="Arial" w:eastAsia="宋体" w:hAnsi="Arial" w:cs="Arial"/>
                <w:b/>
                <w:bCs/>
                <w:color w:val="000000"/>
                <w:sz w:val="17"/>
                <w:szCs w:val="17"/>
              </w:rPr>
              <w:t>5,032</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79D0" w14:textId="77777777" w:rsidR="00066C63" w:rsidRDefault="00066C63">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79D1" w14:textId="77777777" w:rsidR="00066C63" w:rsidRDefault="009656F6">
            <w:pPr>
              <w:jc w:val="right"/>
              <w:textAlignment w:val="bottom"/>
            </w:pPr>
            <w:r>
              <w:rPr>
                <w:rFonts w:ascii="Arial" w:eastAsia="宋体" w:hAnsi="Arial" w:cs="Arial"/>
                <w:b/>
                <w:bCs/>
                <w:color w:val="000000"/>
                <w:sz w:val="17"/>
                <w:szCs w:val="17"/>
              </w:rPr>
              <w:t>26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79D2" w14:textId="77777777" w:rsidR="00066C63" w:rsidRDefault="009656F6">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79D3" w14:textId="77777777" w:rsidR="00066C63" w:rsidRDefault="009656F6">
            <w:pPr>
              <w:jc w:val="right"/>
              <w:textAlignment w:val="bottom"/>
            </w:pPr>
            <w:r>
              <w:rPr>
                <w:rFonts w:ascii="Arial" w:eastAsia="宋体" w:hAnsi="Arial" w:cs="Arial"/>
                <w:b/>
                <w:bCs/>
                <w:color w:val="000000"/>
                <w:sz w:val="17"/>
                <w:szCs w:val="17"/>
              </w:rPr>
              <w:t>22</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79D4" w14:textId="77777777" w:rsidR="00066C63" w:rsidRDefault="009656F6">
            <w:pPr>
              <w:jc w:val="right"/>
              <w:textAlignment w:val="bottom"/>
            </w:pPr>
            <w:r>
              <w:rPr>
                <w:rFonts w:ascii="Arial" w:eastAsia="宋体" w:hAnsi="Arial" w:cs="Arial"/>
                <w:b/>
                <w:bCs/>
                <w:color w:val="000000"/>
                <w:sz w:val="17"/>
                <w:szCs w:val="17"/>
              </w:rPr>
              <w:t>%</w:t>
            </w:r>
          </w:p>
        </w:tc>
      </w:tr>
      <w:tr w:rsidR="00066C63" w14:paraId="669C79E0"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9D6" w14:textId="77777777" w:rsidR="00066C63" w:rsidRDefault="009656F6">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FFF1E7"/>
            <w:tcMar>
              <w:top w:w="40" w:type="dxa"/>
              <w:left w:w="20" w:type="dxa"/>
              <w:bottom w:w="40" w:type="dxa"/>
              <w:right w:w="20" w:type="dxa"/>
            </w:tcMar>
            <w:vAlign w:val="bottom"/>
          </w:tcPr>
          <w:p w14:paraId="669C79D7" w14:textId="77777777" w:rsidR="00066C63" w:rsidRDefault="009656F6">
            <w:pPr>
              <w:textAlignment w:val="bottom"/>
            </w:pPr>
            <w:r>
              <w:rPr>
                <w:rFonts w:ascii="Arial" w:eastAsia="宋体" w:hAnsi="Arial" w:cs="Arial"/>
                <w:color w:val="000000"/>
                <w:sz w:val="17"/>
                <w:szCs w:val="17"/>
              </w:rPr>
              <w:t> </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9D8" w14:textId="77777777" w:rsidR="00066C63" w:rsidRDefault="009656F6">
            <w:pPr>
              <w:textAlignment w:val="bottom"/>
            </w:pPr>
            <w:r>
              <w:rPr>
                <w:rFonts w:ascii="Arial" w:eastAsia="宋体" w:hAnsi="Arial" w:cs="Arial"/>
                <w:color w:val="000000"/>
                <w:sz w:val="17"/>
                <w:szCs w:val="17"/>
              </w:rPr>
              <w:t> </w:t>
            </w:r>
          </w:p>
        </w:tc>
        <w:tc>
          <w:tcPr>
            <w:tcW w:w="0" w:type="auto"/>
            <w:gridSpan w:val="3"/>
            <w:tcBorders>
              <w:top w:val="single" w:sz="8" w:space="0" w:color="E87722"/>
            </w:tcBorders>
            <w:shd w:val="clear" w:color="auto" w:fill="auto"/>
            <w:tcMar>
              <w:top w:w="0" w:type="dxa"/>
              <w:left w:w="20" w:type="dxa"/>
              <w:bottom w:w="0" w:type="dxa"/>
              <w:right w:w="20" w:type="dxa"/>
            </w:tcMar>
          </w:tcPr>
          <w:p w14:paraId="669C79D9"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79DA"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79DB" w14:textId="77777777" w:rsidR="00066C63" w:rsidRDefault="00066C63">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669C79DC"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79DD"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79DE"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79DF" w14:textId="77777777" w:rsidR="00066C63" w:rsidRDefault="00066C63">
            <w:pPr>
              <w:rPr>
                <w:rFonts w:ascii="宋体"/>
              </w:rPr>
            </w:pPr>
          </w:p>
        </w:tc>
      </w:tr>
      <w:tr w:rsidR="00066C63" w14:paraId="669C79F7"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79E1" w14:textId="77777777" w:rsidR="00066C63" w:rsidRDefault="009656F6">
            <w:pPr>
              <w:textAlignment w:val="bottom"/>
            </w:pPr>
            <w:r>
              <w:rPr>
                <w:rFonts w:ascii="Arial" w:eastAsia="宋体" w:hAnsi="Arial" w:cs="Arial"/>
                <w:color w:val="000000"/>
                <w:sz w:val="17"/>
                <w:szCs w:val="17"/>
              </w:rPr>
              <w:t>Sales to Wholesale Customers</w:t>
            </w:r>
          </w:p>
        </w:tc>
        <w:tc>
          <w:tcPr>
            <w:tcW w:w="0" w:type="auto"/>
            <w:tcBorders>
              <w:top w:val="single" w:sz="8" w:space="0" w:color="808080"/>
            </w:tcBorders>
            <w:shd w:val="clear" w:color="auto" w:fill="FFF1E7"/>
            <w:tcMar>
              <w:top w:w="40" w:type="dxa"/>
              <w:left w:w="20" w:type="dxa"/>
              <w:bottom w:w="40" w:type="dxa"/>
              <w:right w:w="0" w:type="dxa"/>
            </w:tcMar>
            <w:vAlign w:val="bottom"/>
          </w:tcPr>
          <w:p w14:paraId="669C79E2"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669C79E3" w14:textId="77777777" w:rsidR="00066C63" w:rsidRDefault="009656F6">
            <w:pPr>
              <w:jc w:val="right"/>
              <w:textAlignment w:val="bottom"/>
            </w:pPr>
            <w:r>
              <w:rPr>
                <w:rFonts w:ascii="Arial" w:eastAsia="宋体" w:hAnsi="Arial" w:cs="Arial"/>
                <w:color w:val="000000"/>
                <w:sz w:val="17"/>
                <w:szCs w:val="17"/>
              </w:rPr>
              <w:t>1,269 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79E4" w14:textId="77777777" w:rsidR="00066C63" w:rsidRDefault="00066C63">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669C79E5"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669C79E6" w14:textId="77777777" w:rsidR="00066C63" w:rsidRDefault="009656F6">
            <w:pPr>
              <w:jc w:val="right"/>
              <w:textAlignment w:val="bottom"/>
            </w:pPr>
            <w:r>
              <w:rPr>
                <w:rFonts w:ascii="Arial" w:eastAsia="宋体" w:hAnsi="Arial" w:cs="Arial"/>
                <w:color w:val="000000"/>
                <w:sz w:val="17"/>
                <w:szCs w:val="17"/>
              </w:rPr>
              <w:t>881 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9E7"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9E8" w14:textId="77777777" w:rsidR="00066C63" w:rsidRDefault="009656F6">
            <w:pPr>
              <w:jc w:val="right"/>
              <w:textAlignment w:val="bottom"/>
            </w:pPr>
            <w:r>
              <w:rPr>
                <w:rFonts w:ascii="Arial" w:eastAsia="宋体" w:hAnsi="Arial" w:cs="Arial"/>
                <w:color w:val="000000"/>
                <w:sz w:val="17"/>
                <w:szCs w:val="17"/>
              </w:rPr>
              <w:t>44 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9E9" w14:textId="77777777" w:rsidR="00066C63" w:rsidRDefault="009656F6">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9EA" w14:textId="77777777" w:rsidR="00066C63" w:rsidRDefault="009656F6">
            <w:pPr>
              <w:jc w:val="right"/>
              <w:textAlignment w:val="bottom"/>
            </w:pPr>
            <w:r>
              <w:rPr>
                <w:rFonts w:ascii="Arial" w:eastAsia="宋体" w:hAnsi="Arial" w:cs="Arial"/>
                <w:color w:val="000000"/>
                <w:sz w:val="17"/>
                <w:szCs w:val="17"/>
              </w:rPr>
              <w:t>35 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9EB" w14:textId="77777777" w:rsidR="00066C63" w:rsidRDefault="009656F6">
            <w:pPr>
              <w:jc w:val="right"/>
              <w:textAlignment w:val="bottom"/>
            </w:pPr>
            <w:r>
              <w:rPr>
                <w:rFonts w:ascii="Arial" w:eastAsia="宋体" w:hAnsi="Arial" w:cs="Arial"/>
                <w:color w:val="000000"/>
                <w:sz w:val="17"/>
                <w:szCs w:val="17"/>
              </w:rPr>
              <w:t>%</w:t>
            </w:r>
          </w:p>
        </w:tc>
        <w:tc>
          <w:tcPr>
            <w:tcW w:w="0" w:type="auto"/>
            <w:gridSpan w:val="3"/>
            <w:tcBorders>
              <w:top w:val="single" w:sz="8" w:space="0" w:color="808080"/>
            </w:tcBorders>
            <w:shd w:val="clear" w:color="auto" w:fill="auto"/>
            <w:tcMar>
              <w:top w:w="0" w:type="dxa"/>
              <w:left w:w="20" w:type="dxa"/>
              <w:bottom w:w="0" w:type="dxa"/>
              <w:right w:w="20" w:type="dxa"/>
            </w:tcMar>
          </w:tcPr>
          <w:p w14:paraId="669C79EC" w14:textId="77777777" w:rsidR="00066C63" w:rsidRDefault="00066C63">
            <w:pPr>
              <w:rPr>
                <w:rFonts w:ascii="宋体"/>
              </w:rPr>
            </w:pPr>
          </w:p>
        </w:tc>
        <w:tc>
          <w:tcPr>
            <w:tcW w:w="0" w:type="auto"/>
            <w:tcBorders>
              <w:top w:val="single" w:sz="8" w:space="0" w:color="808080"/>
            </w:tcBorders>
            <w:shd w:val="clear" w:color="auto" w:fill="FFF1E7"/>
            <w:tcMar>
              <w:top w:w="40" w:type="dxa"/>
              <w:left w:w="20" w:type="dxa"/>
              <w:bottom w:w="40" w:type="dxa"/>
              <w:right w:w="0" w:type="dxa"/>
            </w:tcMar>
            <w:vAlign w:val="bottom"/>
          </w:tcPr>
          <w:p w14:paraId="669C79ED"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669C79EE" w14:textId="77777777" w:rsidR="00066C63" w:rsidRDefault="009656F6">
            <w:pPr>
              <w:jc w:val="right"/>
              <w:textAlignment w:val="bottom"/>
            </w:pPr>
            <w:r>
              <w:rPr>
                <w:rFonts w:ascii="Arial" w:eastAsia="宋体" w:hAnsi="Arial" w:cs="Arial"/>
                <w:color w:val="000000"/>
                <w:sz w:val="17"/>
                <w:szCs w:val="17"/>
              </w:rPr>
              <w:t>3,392 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79EF" w14:textId="77777777" w:rsidR="00066C63" w:rsidRDefault="00066C63">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669C79F0"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669C79F1" w14:textId="77777777" w:rsidR="00066C63" w:rsidRDefault="009656F6">
            <w:pPr>
              <w:jc w:val="right"/>
              <w:textAlignment w:val="bottom"/>
            </w:pPr>
            <w:r>
              <w:rPr>
                <w:rFonts w:ascii="Arial" w:eastAsia="宋体" w:hAnsi="Arial" w:cs="Arial"/>
                <w:color w:val="000000"/>
                <w:sz w:val="17"/>
                <w:szCs w:val="17"/>
              </w:rPr>
              <w:t>2,895 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9F2"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9F3" w14:textId="77777777" w:rsidR="00066C63" w:rsidRDefault="009656F6">
            <w:pPr>
              <w:jc w:val="right"/>
              <w:textAlignment w:val="bottom"/>
            </w:pPr>
            <w:r>
              <w:rPr>
                <w:rFonts w:ascii="Arial" w:eastAsia="宋体" w:hAnsi="Arial" w:cs="Arial"/>
                <w:color w:val="000000"/>
                <w:sz w:val="17"/>
                <w:szCs w:val="17"/>
              </w:rPr>
              <w:t>17 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9F4" w14:textId="77777777" w:rsidR="00066C63" w:rsidRDefault="009656F6">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9F5" w14:textId="77777777" w:rsidR="00066C63" w:rsidRDefault="009656F6">
            <w:pPr>
              <w:jc w:val="right"/>
              <w:textAlignment w:val="bottom"/>
            </w:pPr>
            <w:r>
              <w:rPr>
                <w:rFonts w:ascii="Arial" w:eastAsia="宋体" w:hAnsi="Arial" w:cs="Arial"/>
                <w:color w:val="000000"/>
                <w:sz w:val="17"/>
                <w:szCs w:val="17"/>
              </w:rPr>
              <w:t>13 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9F6" w14:textId="77777777" w:rsidR="00066C63" w:rsidRDefault="009656F6">
            <w:pPr>
              <w:jc w:val="right"/>
              <w:textAlignment w:val="bottom"/>
            </w:pPr>
            <w:r>
              <w:rPr>
                <w:rFonts w:ascii="Arial" w:eastAsia="宋体" w:hAnsi="Arial" w:cs="Arial"/>
                <w:color w:val="000000"/>
                <w:sz w:val="17"/>
                <w:szCs w:val="17"/>
              </w:rPr>
              <w:t>%</w:t>
            </w:r>
          </w:p>
        </w:tc>
      </w:tr>
      <w:tr w:rsidR="00066C63" w14:paraId="669C7A0A"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79F8" w14:textId="77777777" w:rsidR="00066C63" w:rsidRDefault="009656F6">
            <w:pPr>
              <w:textAlignment w:val="bottom"/>
            </w:pPr>
            <w:r>
              <w:rPr>
                <w:rFonts w:ascii="Arial" w:eastAsia="宋体" w:hAnsi="Arial" w:cs="Arial"/>
                <w:color w:val="000000"/>
                <w:sz w:val="17"/>
                <w:szCs w:val="17"/>
              </w:rPr>
              <w:t xml:space="preserve">Sales through </w:t>
            </w:r>
            <w:r>
              <w:rPr>
                <w:rFonts w:ascii="Arial" w:eastAsia="宋体" w:hAnsi="Arial" w:cs="Arial"/>
                <w:color w:val="000000"/>
                <w:sz w:val="17"/>
                <w:szCs w:val="17"/>
              </w:rPr>
              <w:t>NIKE Direct</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79F9" w14:textId="77777777" w:rsidR="00066C63" w:rsidRDefault="009656F6">
            <w:pPr>
              <w:jc w:val="right"/>
              <w:textAlignment w:val="bottom"/>
            </w:pPr>
            <w:r>
              <w:rPr>
                <w:rFonts w:ascii="Arial" w:eastAsia="宋体" w:hAnsi="Arial" w:cs="Arial"/>
                <w:color w:val="000000"/>
                <w:sz w:val="17"/>
                <w:szCs w:val="17"/>
              </w:rPr>
              <w:t>1,010 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79FA"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9FB" w14:textId="77777777" w:rsidR="00066C63" w:rsidRDefault="009656F6">
            <w:pPr>
              <w:jc w:val="right"/>
              <w:textAlignment w:val="bottom"/>
            </w:pPr>
            <w:r>
              <w:rPr>
                <w:rFonts w:ascii="Arial" w:eastAsia="宋体" w:hAnsi="Arial" w:cs="Arial"/>
                <w:color w:val="000000"/>
                <w:sz w:val="17"/>
                <w:szCs w:val="17"/>
              </w:rPr>
              <w:t>625 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9FC"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9FD" w14:textId="77777777" w:rsidR="00066C63" w:rsidRDefault="009656F6">
            <w:pPr>
              <w:jc w:val="right"/>
              <w:textAlignment w:val="bottom"/>
            </w:pPr>
            <w:r>
              <w:rPr>
                <w:rFonts w:ascii="Arial" w:eastAsia="宋体" w:hAnsi="Arial" w:cs="Arial"/>
                <w:color w:val="000000"/>
                <w:sz w:val="17"/>
                <w:szCs w:val="17"/>
              </w:rPr>
              <w:t>62 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9FE" w14:textId="77777777" w:rsidR="00066C63" w:rsidRDefault="009656F6">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9FF" w14:textId="77777777" w:rsidR="00066C63" w:rsidRDefault="009656F6">
            <w:pPr>
              <w:jc w:val="right"/>
              <w:textAlignment w:val="bottom"/>
            </w:pPr>
            <w:r>
              <w:rPr>
                <w:rFonts w:ascii="Arial" w:eastAsia="宋体" w:hAnsi="Arial" w:cs="Arial"/>
                <w:color w:val="000000"/>
                <w:sz w:val="17"/>
                <w:szCs w:val="17"/>
              </w:rPr>
              <w:t>52 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A00" w14:textId="77777777" w:rsidR="00066C63" w:rsidRDefault="009656F6">
            <w:pPr>
              <w:jc w:val="right"/>
              <w:textAlignment w:val="bottom"/>
            </w:pPr>
            <w:r>
              <w:rPr>
                <w:rFonts w:ascii="Arial" w:eastAsia="宋体" w:hAnsi="Arial" w:cs="Arial"/>
                <w:color w:val="000000"/>
                <w:sz w:val="17"/>
                <w:szCs w:val="17"/>
              </w:rPr>
              <w:t>%</w:t>
            </w:r>
          </w:p>
        </w:tc>
        <w:tc>
          <w:tcPr>
            <w:tcW w:w="0" w:type="auto"/>
            <w:gridSpan w:val="3"/>
            <w:tcBorders>
              <w:top w:val="single" w:sz="8" w:space="0" w:color="808080"/>
            </w:tcBorders>
            <w:shd w:val="clear" w:color="auto" w:fill="auto"/>
            <w:tcMar>
              <w:top w:w="0" w:type="dxa"/>
              <w:left w:w="20" w:type="dxa"/>
              <w:bottom w:w="0" w:type="dxa"/>
              <w:right w:w="20" w:type="dxa"/>
            </w:tcMar>
          </w:tcPr>
          <w:p w14:paraId="669C7A01" w14:textId="77777777" w:rsidR="00066C63" w:rsidRDefault="00066C63">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7A02" w14:textId="77777777" w:rsidR="00066C63" w:rsidRDefault="009656F6">
            <w:pPr>
              <w:jc w:val="right"/>
              <w:textAlignment w:val="bottom"/>
            </w:pPr>
            <w:r>
              <w:rPr>
                <w:rFonts w:ascii="Arial" w:eastAsia="宋体" w:hAnsi="Arial" w:cs="Arial"/>
                <w:color w:val="000000"/>
                <w:sz w:val="17"/>
                <w:szCs w:val="17"/>
              </w:rPr>
              <w:t>2,965 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7A03"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A04" w14:textId="77777777" w:rsidR="00066C63" w:rsidRDefault="009656F6">
            <w:pPr>
              <w:jc w:val="right"/>
              <w:textAlignment w:val="bottom"/>
            </w:pPr>
            <w:r>
              <w:rPr>
                <w:rFonts w:ascii="Arial" w:eastAsia="宋体" w:hAnsi="Arial" w:cs="Arial"/>
                <w:color w:val="000000"/>
                <w:sz w:val="17"/>
                <w:szCs w:val="17"/>
              </w:rPr>
              <w:t>2,137 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A05"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A06" w14:textId="77777777" w:rsidR="00066C63" w:rsidRDefault="009656F6">
            <w:pPr>
              <w:jc w:val="right"/>
              <w:textAlignment w:val="bottom"/>
            </w:pPr>
            <w:r>
              <w:rPr>
                <w:rFonts w:ascii="Arial" w:eastAsia="宋体" w:hAnsi="Arial" w:cs="Arial"/>
                <w:color w:val="000000"/>
                <w:sz w:val="17"/>
                <w:szCs w:val="17"/>
              </w:rPr>
              <w:t>39 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A07" w14:textId="77777777" w:rsidR="00066C63" w:rsidRDefault="009656F6">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A08" w14:textId="77777777" w:rsidR="00066C63" w:rsidRDefault="009656F6">
            <w:pPr>
              <w:jc w:val="right"/>
              <w:textAlignment w:val="bottom"/>
            </w:pPr>
            <w:r>
              <w:rPr>
                <w:rFonts w:ascii="Arial" w:eastAsia="宋体" w:hAnsi="Arial" w:cs="Arial"/>
                <w:color w:val="000000"/>
                <w:sz w:val="17"/>
                <w:szCs w:val="17"/>
              </w:rPr>
              <w:t>34 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A09" w14:textId="77777777" w:rsidR="00066C63" w:rsidRDefault="009656F6">
            <w:pPr>
              <w:jc w:val="right"/>
              <w:textAlignment w:val="bottom"/>
            </w:pPr>
            <w:r>
              <w:rPr>
                <w:rFonts w:ascii="Arial" w:eastAsia="宋体" w:hAnsi="Arial" w:cs="Arial"/>
                <w:color w:val="000000"/>
                <w:sz w:val="17"/>
                <w:szCs w:val="17"/>
              </w:rPr>
              <w:t>%</w:t>
            </w:r>
          </w:p>
        </w:tc>
      </w:tr>
      <w:tr w:rsidR="00066C63" w14:paraId="669C7A21"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A0B" w14:textId="77777777" w:rsidR="00066C63" w:rsidRDefault="009656F6">
            <w:pPr>
              <w:textAlignment w:val="bottom"/>
            </w:pPr>
            <w:r>
              <w:rPr>
                <w:rFonts w:ascii="Arial" w:eastAsia="宋体" w:hAnsi="Arial" w:cs="Arial"/>
                <w:b/>
                <w:bCs/>
                <w:color w:val="000000"/>
                <w:sz w:val="17"/>
                <w:szCs w:val="17"/>
              </w:rPr>
              <w:t>TOTAL 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669C7A0C"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669C7A0D" w14:textId="77777777" w:rsidR="00066C63" w:rsidRDefault="009656F6">
            <w:pPr>
              <w:jc w:val="right"/>
              <w:textAlignment w:val="bottom"/>
            </w:pPr>
            <w:r>
              <w:rPr>
                <w:rFonts w:ascii="Arial" w:eastAsia="宋体" w:hAnsi="Arial" w:cs="Arial"/>
                <w:b/>
                <w:bCs/>
                <w:color w:val="000000"/>
                <w:sz w:val="17"/>
                <w:szCs w:val="17"/>
              </w:rPr>
              <w:t>2,279</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7A0E" w14:textId="77777777" w:rsidR="00066C63" w:rsidRDefault="00066C63">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69C7A0F"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69C7A10" w14:textId="77777777" w:rsidR="00066C63" w:rsidRDefault="009656F6">
            <w:pPr>
              <w:jc w:val="right"/>
              <w:textAlignment w:val="bottom"/>
            </w:pPr>
            <w:r>
              <w:rPr>
                <w:rFonts w:ascii="Arial" w:eastAsia="宋体" w:hAnsi="Arial" w:cs="Arial"/>
                <w:b/>
                <w:bCs/>
                <w:color w:val="000000"/>
                <w:sz w:val="17"/>
                <w:szCs w:val="17"/>
              </w:rPr>
              <w:t>1,506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7A11" w14:textId="77777777" w:rsidR="00066C63" w:rsidRDefault="00066C63">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7A12" w14:textId="77777777" w:rsidR="00066C63" w:rsidRDefault="009656F6">
            <w:pPr>
              <w:jc w:val="right"/>
              <w:textAlignment w:val="bottom"/>
            </w:pPr>
            <w:r>
              <w:rPr>
                <w:rFonts w:ascii="Arial" w:eastAsia="宋体" w:hAnsi="Arial" w:cs="Arial"/>
                <w:b/>
                <w:bCs/>
                <w:color w:val="000000"/>
                <w:sz w:val="17"/>
                <w:szCs w:val="17"/>
              </w:rPr>
              <w:t>51</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7A13" w14:textId="77777777" w:rsidR="00066C63" w:rsidRDefault="009656F6">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7A14" w14:textId="77777777" w:rsidR="00066C63" w:rsidRDefault="009656F6">
            <w:pPr>
              <w:jc w:val="right"/>
              <w:textAlignment w:val="bottom"/>
            </w:pPr>
            <w:r>
              <w:rPr>
                <w:rFonts w:ascii="Arial" w:eastAsia="宋体" w:hAnsi="Arial" w:cs="Arial"/>
                <w:b/>
                <w:bCs/>
                <w:color w:val="000000"/>
                <w:sz w:val="17"/>
                <w:szCs w:val="17"/>
              </w:rPr>
              <w:t>42</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7A15" w14:textId="77777777" w:rsidR="00066C63" w:rsidRDefault="009656F6">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tcPr>
          <w:p w14:paraId="669C7A16" w14:textId="77777777" w:rsidR="00066C63" w:rsidRDefault="00066C63">
            <w:pPr>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669C7A17"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669C7A18" w14:textId="77777777" w:rsidR="00066C63" w:rsidRDefault="009656F6">
            <w:pPr>
              <w:jc w:val="right"/>
              <w:textAlignment w:val="bottom"/>
            </w:pPr>
            <w:r>
              <w:rPr>
                <w:rFonts w:ascii="Arial" w:eastAsia="宋体" w:hAnsi="Arial" w:cs="Arial"/>
                <w:b/>
                <w:bCs/>
                <w:color w:val="000000"/>
                <w:sz w:val="17"/>
                <w:szCs w:val="17"/>
              </w:rPr>
              <w:t>6,357</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7A19" w14:textId="77777777" w:rsidR="00066C63" w:rsidRDefault="00066C63">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69C7A1A"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69C7A1B" w14:textId="77777777" w:rsidR="00066C63" w:rsidRDefault="009656F6">
            <w:pPr>
              <w:jc w:val="right"/>
              <w:textAlignment w:val="bottom"/>
            </w:pPr>
            <w:r>
              <w:rPr>
                <w:rFonts w:ascii="Arial" w:eastAsia="宋体" w:hAnsi="Arial" w:cs="Arial"/>
                <w:b/>
                <w:bCs/>
                <w:color w:val="000000"/>
                <w:sz w:val="17"/>
                <w:szCs w:val="17"/>
              </w:rPr>
              <w:t>5,032</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7A1C" w14:textId="77777777" w:rsidR="00066C63" w:rsidRDefault="00066C63">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7A1D" w14:textId="77777777" w:rsidR="00066C63" w:rsidRDefault="009656F6">
            <w:pPr>
              <w:jc w:val="right"/>
              <w:textAlignment w:val="bottom"/>
            </w:pPr>
            <w:r>
              <w:rPr>
                <w:rFonts w:ascii="Arial" w:eastAsia="宋体" w:hAnsi="Arial" w:cs="Arial"/>
                <w:b/>
                <w:bCs/>
                <w:color w:val="000000"/>
                <w:sz w:val="17"/>
                <w:szCs w:val="17"/>
              </w:rPr>
              <w:t>26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7A1E" w14:textId="77777777" w:rsidR="00066C63" w:rsidRDefault="009656F6">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7A1F" w14:textId="77777777" w:rsidR="00066C63" w:rsidRDefault="009656F6">
            <w:pPr>
              <w:jc w:val="right"/>
              <w:textAlignment w:val="bottom"/>
            </w:pPr>
            <w:r>
              <w:rPr>
                <w:rFonts w:ascii="Arial" w:eastAsia="宋体" w:hAnsi="Arial" w:cs="Arial"/>
                <w:b/>
                <w:bCs/>
                <w:color w:val="000000"/>
                <w:sz w:val="17"/>
                <w:szCs w:val="17"/>
              </w:rPr>
              <w:t>22</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7A20" w14:textId="77777777" w:rsidR="00066C63" w:rsidRDefault="009656F6">
            <w:pPr>
              <w:jc w:val="right"/>
              <w:textAlignment w:val="bottom"/>
            </w:pPr>
            <w:r>
              <w:rPr>
                <w:rFonts w:ascii="Arial" w:eastAsia="宋体" w:hAnsi="Arial" w:cs="Arial"/>
                <w:b/>
                <w:bCs/>
                <w:color w:val="000000"/>
                <w:sz w:val="17"/>
                <w:szCs w:val="17"/>
              </w:rPr>
              <w:t>%</w:t>
            </w:r>
          </w:p>
        </w:tc>
      </w:tr>
      <w:tr w:rsidR="00066C63" w14:paraId="669C7A36"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669C7A22" w14:textId="77777777" w:rsidR="00066C63" w:rsidRDefault="009656F6">
            <w:pPr>
              <w:textAlignment w:val="bottom"/>
            </w:pPr>
            <w:r>
              <w:rPr>
                <w:rFonts w:ascii="Arial" w:eastAsia="宋体" w:hAnsi="Arial" w:cs="Arial"/>
                <w:b/>
                <w:bCs/>
                <w:color w:val="000000"/>
                <w:sz w:val="17"/>
                <w:szCs w:val="17"/>
              </w:rPr>
              <w:t>EARNINGS BEFORE INT</w:t>
            </w:r>
            <w:r>
              <w:rPr>
                <w:rFonts w:ascii="Arial" w:eastAsia="宋体" w:hAnsi="Arial" w:cs="Arial"/>
                <w:b/>
                <w:bCs/>
                <w:color w:val="000000"/>
                <w:sz w:val="17"/>
                <w:szCs w:val="17"/>
              </w:rPr>
              <w:t>EREST AND TAXES</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69C7A23"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669C7A24" w14:textId="77777777" w:rsidR="00066C63" w:rsidRDefault="009656F6">
            <w:pPr>
              <w:jc w:val="right"/>
              <w:textAlignment w:val="bottom"/>
            </w:pPr>
            <w:r>
              <w:rPr>
                <w:rFonts w:ascii="Arial" w:eastAsia="宋体" w:hAnsi="Arial" w:cs="Arial"/>
                <w:b/>
                <w:bCs/>
                <w:color w:val="000000"/>
                <w:sz w:val="17"/>
                <w:szCs w:val="17"/>
              </w:rPr>
              <w:t>973</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69C7A25" w14:textId="77777777" w:rsidR="00066C63" w:rsidRDefault="00066C63">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69C7A26"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69C7A27" w14:textId="77777777" w:rsidR="00066C63" w:rsidRDefault="009656F6">
            <w:pPr>
              <w:jc w:val="right"/>
              <w:textAlignment w:val="bottom"/>
            </w:pPr>
            <w:r>
              <w:rPr>
                <w:rFonts w:ascii="Arial" w:eastAsia="宋体" w:hAnsi="Arial" w:cs="Arial"/>
                <w:b/>
                <w:bCs/>
                <w:color w:val="000000"/>
                <w:sz w:val="17"/>
                <w:szCs w:val="17"/>
              </w:rPr>
              <w:t>556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69C7A28" w14:textId="77777777" w:rsidR="00066C63" w:rsidRDefault="00066C63">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669C7A29" w14:textId="77777777" w:rsidR="00066C63" w:rsidRDefault="009656F6">
            <w:pPr>
              <w:jc w:val="right"/>
              <w:textAlignment w:val="bottom"/>
            </w:pPr>
            <w:r>
              <w:rPr>
                <w:rFonts w:ascii="Arial" w:eastAsia="宋体" w:hAnsi="Arial" w:cs="Arial"/>
                <w:b/>
                <w:bCs/>
                <w:color w:val="000000"/>
                <w:sz w:val="17"/>
                <w:szCs w:val="17"/>
              </w:rPr>
              <w:t>75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69C7A2A" w14:textId="77777777" w:rsidR="00066C63" w:rsidRDefault="009656F6">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669C7A2B" w14:textId="77777777" w:rsidR="00066C63" w:rsidRDefault="009656F6">
            <w:pPr>
              <w:textAlignment w:val="bottom"/>
            </w:pPr>
            <w:r>
              <w:rPr>
                <w:rFonts w:ascii="Arial" w:eastAsia="宋体" w:hAnsi="Arial" w:cs="Arial"/>
                <w:b/>
                <w:bCs/>
                <w:color w:val="000000"/>
                <w:sz w:val="17"/>
                <w:szCs w:val="17"/>
              </w:rPr>
              <w:t> </w:t>
            </w: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tcPr>
          <w:p w14:paraId="669C7A2C" w14:textId="77777777" w:rsidR="00066C63" w:rsidRDefault="00066C63">
            <w:pPr>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69C7A2D"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669C7A2E" w14:textId="77777777" w:rsidR="00066C63" w:rsidRDefault="009656F6">
            <w:pPr>
              <w:jc w:val="right"/>
              <w:textAlignment w:val="bottom"/>
            </w:pPr>
            <w:r>
              <w:rPr>
                <w:rFonts w:ascii="Arial" w:eastAsia="宋体" w:hAnsi="Arial" w:cs="Arial"/>
                <w:b/>
                <w:bCs/>
                <w:color w:val="000000"/>
                <w:sz w:val="17"/>
                <w:szCs w:val="17"/>
              </w:rPr>
              <w:t>2,552</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69C7A2F" w14:textId="77777777" w:rsidR="00066C63" w:rsidRDefault="00066C63">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69C7A30"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69C7A31" w14:textId="77777777" w:rsidR="00066C63" w:rsidRDefault="009656F6">
            <w:pPr>
              <w:jc w:val="right"/>
              <w:textAlignment w:val="bottom"/>
            </w:pPr>
            <w:r>
              <w:rPr>
                <w:rFonts w:ascii="Arial" w:eastAsia="宋体" w:hAnsi="Arial" w:cs="Arial"/>
                <w:b/>
                <w:bCs/>
                <w:color w:val="000000"/>
                <w:sz w:val="17"/>
                <w:szCs w:val="17"/>
              </w:rPr>
              <w:t>1,919</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69C7A32" w14:textId="77777777" w:rsidR="00066C63" w:rsidRDefault="00066C63">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669C7A33" w14:textId="77777777" w:rsidR="00066C63" w:rsidRDefault="009656F6">
            <w:pPr>
              <w:jc w:val="right"/>
              <w:textAlignment w:val="bottom"/>
            </w:pPr>
            <w:r>
              <w:rPr>
                <w:rFonts w:ascii="Arial" w:eastAsia="宋体" w:hAnsi="Arial" w:cs="Arial"/>
                <w:b/>
                <w:bCs/>
                <w:color w:val="000000"/>
                <w:sz w:val="17"/>
                <w:szCs w:val="17"/>
              </w:rPr>
              <w:t>33</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69C7A34" w14:textId="77777777" w:rsidR="00066C63" w:rsidRDefault="009656F6">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tcPr>
          <w:p w14:paraId="669C7A35" w14:textId="77777777" w:rsidR="00066C63" w:rsidRDefault="00066C63">
            <w:pPr>
              <w:rPr>
                <w:rFonts w:ascii="宋体"/>
              </w:rPr>
            </w:pPr>
          </w:p>
        </w:tc>
      </w:tr>
    </w:tbl>
    <w:p w14:paraId="669C7A37" w14:textId="77777777" w:rsidR="00066C63" w:rsidRDefault="009656F6">
      <w:pPr>
        <w:spacing w:before="120"/>
      </w:pPr>
      <w:r>
        <w:rPr>
          <w:rFonts w:ascii="sans-serif" w:eastAsia="sans-serif" w:hAnsi="sans-serif" w:cs="sans-serif"/>
          <w:b/>
          <w:bCs/>
          <w:color w:val="808080"/>
          <w:sz w:val="22"/>
          <w:szCs w:val="22"/>
        </w:rPr>
        <w:t>THIRD QUARTER OF FISCAL 2021 COMPARED TO THIRD QUARTER OF FISCAL 2020</w:t>
      </w:r>
    </w:p>
    <w:p w14:paraId="669C7A38" w14:textId="77777777" w:rsidR="00066C63" w:rsidRDefault="009656F6">
      <w:pPr>
        <w:spacing w:after="120"/>
      </w:pPr>
      <w:r>
        <w:rPr>
          <w:rFonts w:ascii="Arial" w:eastAsia="宋体" w:hAnsi="Arial" w:cs="Arial"/>
          <w:color w:val="000000"/>
          <w:sz w:val="17"/>
          <w:szCs w:val="17"/>
        </w:rPr>
        <w:t>O</w:t>
      </w:r>
      <w:r>
        <w:rPr>
          <w:rFonts w:ascii="Arial" w:eastAsia="宋体" w:hAnsi="Arial" w:cs="Arial"/>
          <w:color w:val="000000"/>
          <w:sz w:val="17"/>
          <w:szCs w:val="17"/>
        </w:rPr>
        <w:t xml:space="preserve">n a currency-neutral basis, Greater China revenues for the third quarter of fiscal 2021 increased 42% driven by higher revenues in all key categories, led by Sportswear and the Jordan Brand. NIKE Direct revenues increased 52% due to comparable store sales </w:t>
      </w:r>
      <w:r>
        <w:rPr>
          <w:rFonts w:ascii="Arial" w:eastAsia="宋体" w:hAnsi="Arial" w:cs="Arial"/>
          <w:color w:val="000000"/>
          <w:sz w:val="17"/>
          <w:szCs w:val="17"/>
        </w:rPr>
        <w:t xml:space="preserve">growth of 56%, digital sales growth of 44% and the addition of new stores. Revenue growth in Greater China also reflects the impacts of COVID-19 in the prior year, which included temporary store closures and stores operating on reduced hours. </w:t>
      </w:r>
    </w:p>
    <w:p w14:paraId="669C7A39" w14:textId="77777777" w:rsidR="00066C63" w:rsidRDefault="009656F6">
      <w:pPr>
        <w:spacing w:before="120" w:after="120"/>
      </w:pPr>
      <w:r>
        <w:rPr>
          <w:rFonts w:ascii="Arial" w:eastAsia="宋体" w:hAnsi="Arial" w:cs="Arial"/>
          <w:color w:val="000000"/>
          <w:sz w:val="17"/>
          <w:szCs w:val="17"/>
        </w:rPr>
        <w:t>Currency-neu</w:t>
      </w:r>
      <w:r>
        <w:rPr>
          <w:rFonts w:ascii="Arial" w:eastAsia="宋体" w:hAnsi="Arial" w:cs="Arial"/>
          <w:color w:val="000000"/>
          <w:sz w:val="17"/>
          <w:szCs w:val="17"/>
        </w:rPr>
        <w:t xml:space="preserve">tral footwear revenues increased 41% for the third quarter of fiscal 2021 driven by higher revenues in all key categories, primarily Sportswear and the Jordan Brand. Unit sales of footwear increased 39%, while higher ASP per pair contributed approximately </w:t>
      </w:r>
      <w:r>
        <w:rPr>
          <w:rFonts w:ascii="Arial" w:eastAsia="宋体" w:hAnsi="Arial" w:cs="Arial"/>
          <w:color w:val="000000"/>
          <w:sz w:val="17"/>
          <w:szCs w:val="17"/>
        </w:rPr>
        <w:t>2 percentage points of footwear revenue growth, driven by higher full-price ASP, in part reflecting lower discounts, partially offset by an unfavorable full-price mix.</w:t>
      </w:r>
    </w:p>
    <w:p w14:paraId="669C7A3A" w14:textId="77777777" w:rsidR="00066C63" w:rsidRDefault="009656F6">
      <w:pPr>
        <w:spacing w:before="120" w:after="120"/>
      </w:pPr>
      <w:r>
        <w:rPr>
          <w:rFonts w:ascii="Arial" w:eastAsia="宋体" w:hAnsi="Arial" w:cs="Arial"/>
          <w:color w:val="000000"/>
          <w:sz w:val="17"/>
          <w:szCs w:val="17"/>
        </w:rPr>
        <w:t>Currency-neutral apparel revenues grew 44% for the third quarter of fiscal 2021 due to h</w:t>
      </w:r>
      <w:r>
        <w:rPr>
          <w:rFonts w:ascii="Arial" w:eastAsia="宋体" w:hAnsi="Arial" w:cs="Arial"/>
          <w:color w:val="000000"/>
          <w:sz w:val="17"/>
          <w:szCs w:val="17"/>
        </w:rPr>
        <w:t>igher revenues in all key categories, led by Sportswear and the Jordan Brand. Unit sales of apparel increased 52%, while lower ASP per unit reduced apparel revenues by approximately 8 percentage points, due to lower NIKE Direct and full-price ASPs.</w:t>
      </w:r>
    </w:p>
    <w:p w14:paraId="669C7A3B" w14:textId="77777777" w:rsidR="00066C63" w:rsidRDefault="009656F6">
      <w:pPr>
        <w:spacing w:before="120" w:after="120"/>
      </w:pPr>
      <w:r>
        <w:rPr>
          <w:rFonts w:ascii="Arial" w:eastAsia="宋体" w:hAnsi="Arial" w:cs="Arial"/>
          <w:color w:val="000000"/>
          <w:sz w:val="17"/>
          <w:szCs w:val="17"/>
        </w:rPr>
        <w:t>Reported EBIT increased 75% as higher revenues and selling and administrative expense leverage more than offset a decline in gross margin. Gross margin decreased approximately 140 basis points reflecting unfavorable changes in standard foreign currency exc</w:t>
      </w:r>
      <w:r>
        <w:rPr>
          <w:rFonts w:ascii="Arial" w:eastAsia="宋体" w:hAnsi="Arial" w:cs="Arial"/>
          <w:color w:val="000000"/>
          <w:sz w:val="17"/>
          <w:szCs w:val="17"/>
        </w:rPr>
        <w:t>hange rates and a lower mix of full-price sales, partially offset by higher full-price ASP, primarily due to lower discounts, and lower other costs. A lower mix of full-price sales was primarily due to comparisons with the prior year when our factory store</w:t>
      </w:r>
      <w:r>
        <w:rPr>
          <w:rFonts w:ascii="Arial" w:eastAsia="宋体" w:hAnsi="Arial" w:cs="Arial"/>
          <w:color w:val="000000"/>
          <w:sz w:val="17"/>
          <w:szCs w:val="17"/>
        </w:rPr>
        <w:t>s were temporarily closed due to COVID-19. Lower other costs were primarily due to the favorable rate impact of warehousing and freight costs on a higher volume of sales. Selling and administrative expense increased due to higher operating overhead expense</w:t>
      </w:r>
      <w:r>
        <w:rPr>
          <w:rFonts w:ascii="Arial" w:eastAsia="宋体" w:hAnsi="Arial" w:cs="Arial"/>
          <w:color w:val="000000"/>
          <w:sz w:val="17"/>
          <w:szCs w:val="17"/>
        </w:rPr>
        <w:t xml:space="preserve">, partially offset by lower demand creation expense. Growth in operating overhead expense was driven by higher investments within our NIKE Direct operations. Demand creation expense decreased primarily due to lower advertising and marketing expenses. </w:t>
      </w:r>
    </w:p>
    <w:p w14:paraId="669C7A3C" w14:textId="77777777" w:rsidR="00066C63" w:rsidRDefault="009656F6">
      <w:pPr>
        <w:spacing w:before="120"/>
      </w:pPr>
      <w:r>
        <w:rPr>
          <w:rFonts w:ascii="sans-serif" w:eastAsia="sans-serif" w:hAnsi="sans-serif" w:cs="sans-serif"/>
          <w:b/>
          <w:bCs/>
          <w:color w:val="808080"/>
          <w:sz w:val="22"/>
          <w:szCs w:val="22"/>
        </w:rPr>
        <w:t>FIRS</w:t>
      </w:r>
      <w:r>
        <w:rPr>
          <w:rFonts w:ascii="sans-serif" w:eastAsia="sans-serif" w:hAnsi="sans-serif" w:cs="sans-serif"/>
          <w:b/>
          <w:bCs/>
          <w:color w:val="808080"/>
          <w:sz w:val="22"/>
          <w:szCs w:val="22"/>
        </w:rPr>
        <w:t>T NINE MONTHS OF FISCAL 2021 COMPARED TO FIRST NINE MONTHS OF FISCAL 2020</w:t>
      </w:r>
    </w:p>
    <w:p w14:paraId="669C7A3D" w14:textId="77777777" w:rsidR="00066C63" w:rsidRDefault="009656F6">
      <w:pPr>
        <w:spacing w:after="120"/>
      </w:pPr>
      <w:r>
        <w:rPr>
          <w:rFonts w:ascii="Arial" w:eastAsia="宋体" w:hAnsi="Arial" w:cs="Arial"/>
          <w:color w:val="000000"/>
          <w:sz w:val="17"/>
          <w:szCs w:val="17"/>
        </w:rPr>
        <w:t>On a currency-neutral basis, Greater China revenues for the first nine months of fiscal 2021 increased 22%, driven by higher revenues in all key categories, led by Sportswear and the</w:t>
      </w:r>
      <w:r>
        <w:rPr>
          <w:rFonts w:ascii="Arial" w:eastAsia="宋体" w:hAnsi="Arial" w:cs="Arial"/>
          <w:color w:val="000000"/>
          <w:sz w:val="17"/>
          <w:szCs w:val="17"/>
        </w:rPr>
        <w:t xml:space="preserve"> Jordan Brand. NIKE Direct revenues increased 34%, driven by digital sales growth of 37%, comparable store sales growth of 30% and the addition of new stores.</w:t>
      </w:r>
    </w:p>
    <w:p w14:paraId="669C7A3E" w14:textId="77777777" w:rsidR="00066C63" w:rsidRDefault="009656F6">
      <w:pPr>
        <w:spacing w:before="120" w:after="120"/>
      </w:pPr>
      <w:r>
        <w:rPr>
          <w:rFonts w:ascii="Arial" w:eastAsia="宋体" w:hAnsi="Arial" w:cs="Arial"/>
          <w:color w:val="000000"/>
          <w:sz w:val="17"/>
          <w:szCs w:val="17"/>
        </w:rPr>
        <w:t xml:space="preserve">Currency-neutral footwear revenues increased 23%, driven by growth in all key categories, led by </w:t>
      </w:r>
      <w:r>
        <w:rPr>
          <w:rFonts w:ascii="Arial" w:eastAsia="宋体" w:hAnsi="Arial" w:cs="Arial"/>
          <w:color w:val="000000"/>
          <w:sz w:val="17"/>
          <w:szCs w:val="17"/>
        </w:rPr>
        <w:t>Sportswear and the Jordan Brand. Unit sales of footwear increased 27%, while lower ASP per pair reduced footwear revenues by approximately 4 percentage points, driven by lower NIKE Direct ASP and unfavorable full-price mix.</w:t>
      </w:r>
    </w:p>
    <w:p w14:paraId="669C7A3F" w14:textId="77777777" w:rsidR="00066C63" w:rsidRDefault="009656F6">
      <w:pPr>
        <w:spacing w:before="120" w:after="120"/>
      </w:pPr>
      <w:r>
        <w:rPr>
          <w:rFonts w:ascii="Arial" w:eastAsia="宋体" w:hAnsi="Arial" w:cs="Arial"/>
          <w:color w:val="000000"/>
          <w:sz w:val="17"/>
          <w:szCs w:val="17"/>
        </w:rPr>
        <w:t>Currency-neutral apparel revenue</w:t>
      </w:r>
      <w:r>
        <w:rPr>
          <w:rFonts w:ascii="Arial" w:eastAsia="宋体" w:hAnsi="Arial" w:cs="Arial"/>
          <w:color w:val="000000"/>
          <w:sz w:val="17"/>
          <w:szCs w:val="17"/>
        </w:rPr>
        <w:t xml:space="preserve"> growth of 20% was fueled by higher revenues in nearly all key categories, most notably Sportswear. Unit sales of apparel increased 24%, while lower ASP per unit reduced apparel revenues by approximately 4 </w:t>
      </w:r>
    </w:p>
    <w:p w14:paraId="669C7A40" w14:textId="77777777" w:rsidR="00066C63" w:rsidRDefault="009656F6">
      <w:pPr>
        <w:spacing w:before="120" w:after="120"/>
      </w:pPr>
      <w:r>
        <w:rPr>
          <w:rFonts w:ascii="Arial" w:eastAsia="宋体" w:hAnsi="Arial" w:cs="Arial"/>
          <w:color w:val="E87722"/>
          <w:sz w:val="17"/>
          <w:szCs w:val="17"/>
        </w:rPr>
        <w:t>36</w:t>
      </w:r>
      <w:r>
        <w:rPr>
          <w:rFonts w:ascii="sans-serif" w:eastAsia="sans-serif" w:hAnsi="sans-serif" w:cs="sans-serif"/>
          <w:color w:val="000000"/>
          <w:sz w:val="17"/>
          <w:szCs w:val="17"/>
        </w:rPr>
        <w:t xml:space="preserve"> </w:t>
      </w:r>
    </w:p>
    <w:p w14:paraId="669C7A41" w14:textId="77777777" w:rsidR="00066C63" w:rsidRDefault="009656F6">
      <w:r>
        <w:pict w14:anchorId="669C7E54">
          <v:rect id="_x0000_i1062" style="width:415.3pt;height:1.5pt" o:hralign="center" o:hrstd="t" o:hr="t" fillcolor="#a0a0a0" stroked="f"/>
        </w:pict>
      </w:r>
    </w:p>
    <w:p w14:paraId="669C7A42" w14:textId="77777777" w:rsidR="00066C63" w:rsidRDefault="00066C63"/>
    <w:p w14:paraId="669C7A43" w14:textId="77777777" w:rsidR="00066C63" w:rsidRDefault="009656F6">
      <w:hyperlink r:id="rId107" w:anchor="i1e99cb26debe49fe8b698d0f0eb1273a_7" w:history="1">
        <w:r>
          <w:rPr>
            <w:rStyle w:val="a5"/>
            <w:rFonts w:ascii="sans-serif" w:eastAsia="sans-serif" w:hAnsi="sans-serif" w:cs="sans-serif"/>
            <w:sz w:val="17"/>
            <w:szCs w:val="17"/>
          </w:rPr>
          <w:t>Table of Contents</w:t>
        </w:r>
      </w:hyperlink>
    </w:p>
    <w:p w14:paraId="669C7A44" w14:textId="77777777" w:rsidR="00066C63" w:rsidRDefault="00066C63"/>
    <w:p w14:paraId="669C7A45" w14:textId="77777777" w:rsidR="00066C63" w:rsidRDefault="009656F6">
      <w:pPr>
        <w:spacing w:before="120" w:after="120"/>
      </w:pPr>
      <w:r>
        <w:rPr>
          <w:rFonts w:ascii="Arial" w:eastAsia="宋体" w:hAnsi="Arial" w:cs="Arial"/>
          <w:color w:val="000000"/>
          <w:sz w:val="17"/>
          <w:szCs w:val="17"/>
        </w:rPr>
        <w:t xml:space="preserve">percentage points. Lower ASP was driven by lower NIKE Direct ASP and unfavorable full-price mix, partially offset by </w:t>
      </w:r>
      <w:r>
        <w:rPr>
          <w:rFonts w:ascii="Arial" w:eastAsia="宋体" w:hAnsi="Arial" w:cs="Arial"/>
          <w:color w:val="000000"/>
          <w:sz w:val="17"/>
          <w:szCs w:val="17"/>
        </w:rPr>
        <w:t>higher off-price ASP.</w:t>
      </w:r>
    </w:p>
    <w:p w14:paraId="669C7A46" w14:textId="77777777" w:rsidR="00066C63" w:rsidRDefault="009656F6">
      <w:pPr>
        <w:spacing w:before="120" w:after="120"/>
      </w:pPr>
      <w:r>
        <w:rPr>
          <w:rFonts w:ascii="Arial" w:eastAsia="宋体" w:hAnsi="Arial" w:cs="Arial"/>
          <w:color w:val="000000"/>
          <w:sz w:val="17"/>
          <w:szCs w:val="17"/>
        </w:rPr>
        <w:t>Reported EBIT increased 33% as higher revenues and lower selling and administrative expense more than offset a decline in gross margin. Gross margin decreased approximately 300 basis points primarily due to unfavorable changes in stan</w:t>
      </w:r>
      <w:r>
        <w:rPr>
          <w:rFonts w:ascii="Arial" w:eastAsia="宋体" w:hAnsi="Arial" w:cs="Arial"/>
          <w:color w:val="000000"/>
          <w:sz w:val="17"/>
          <w:szCs w:val="17"/>
        </w:rPr>
        <w:t>dard foreign currency exchange rates, lower margin in our NIKE Direct business and higher product costs. Selling and administrative expense decreased due to lower demand creation expense, partially offset by higher operating overhead expense. Demand creati</w:t>
      </w:r>
      <w:r>
        <w:rPr>
          <w:rFonts w:ascii="Arial" w:eastAsia="宋体" w:hAnsi="Arial" w:cs="Arial"/>
          <w:color w:val="000000"/>
          <w:sz w:val="17"/>
          <w:szCs w:val="17"/>
        </w:rPr>
        <w:t>on expense decreased primarily due to lower advertising and marketing expenses. Growth in operating overhead expense was driven by higher investments within our NIKE Direct operations.</w:t>
      </w:r>
    </w:p>
    <w:p w14:paraId="669C7A47" w14:textId="77777777" w:rsidR="00066C63" w:rsidRDefault="009656F6">
      <w:pPr>
        <w:spacing w:before="240" w:after="120"/>
      </w:pPr>
      <w:r>
        <w:rPr>
          <w:rFonts w:ascii="sans-serif" w:eastAsia="sans-serif" w:hAnsi="sans-serif" w:cs="sans-serif"/>
          <w:b/>
          <w:bCs/>
          <w:color w:val="000000"/>
          <w:sz w:val="28"/>
          <w:szCs w:val="28"/>
        </w:rPr>
        <w:t>ASIA PACIFIC &amp; LATIN AMERICA</w:t>
      </w:r>
    </w:p>
    <w:tbl>
      <w:tblPr>
        <w:tblW w:w="5000" w:type="pct"/>
        <w:tblCellMar>
          <w:top w:w="15" w:type="dxa"/>
          <w:left w:w="15" w:type="dxa"/>
          <w:bottom w:w="15" w:type="dxa"/>
          <w:right w:w="15" w:type="dxa"/>
        </w:tblCellMar>
        <w:tblLook w:val="04A0" w:firstRow="1" w:lastRow="0" w:firstColumn="1" w:lastColumn="0" w:noHBand="0" w:noVBand="1"/>
      </w:tblPr>
      <w:tblGrid>
        <w:gridCol w:w="175"/>
        <w:gridCol w:w="1401"/>
        <w:gridCol w:w="36"/>
        <w:gridCol w:w="110"/>
        <w:gridCol w:w="653"/>
        <w:gridCol w:w="36"/>
        <w:gridCol w:w="110"/>
        <w:gridCol w:w="653"/>
        <w:gridCol w:w="36"/>
        <w:gridCol w:w="85"/>
        <w:gridCol w:w="508"/>
        <w:gridCol w:w="161"/>
        <w:gridCol w:w="95"/>
        <w:gridCol w:w="700"/>
        <w:gridCol w:w="161"/>
        <w:gridCol w:w="40"/>
        <w:gridCol w:w="32"/>
        <w:gridCol w:w="36"/>
        <w:gridCol w:w="110"/>
        <w:gridCol w:w="653"/>
        <w:gridCol w:w="36"/>
        <w:gridCol w:w="110"/>
        <w:gridCol w:w="653"/>
        <w:gridCol w:w="36"/>
        <w:gridCol w:w="85"/>
        <w:gridCol w:w="508"/>
        <w:gridCol w:w="161"/>
        <w:gridCol w:w="95"/>
        <w:gridCol w:w="700"/>
        <w:gridCol w:w="161"/>
      </w:tblGrid>
      <w:tr w:rsidR="00066C63" w14:paraId="669C7A66" w14:textId="77777777">
        <w:tc>
          <w:tcPr>
            <w:tcW w:w="50" w:type="pct"/>
            <w:shd w:val="clear" w:color="auto" w:fill="auto"/>
          </w:tcPr>
          <w:p w14:paraId="669C7A48" w14:textId="77777777" w:rsidR="00066C63" w:rsidRDefault="00066C63">
            <w:pPr>
              <w:rPr>
                <w:rFonts w:ascii="宋体"/>
              </w:rPr>
            </w:pPr>
          </w:p>
        </w:tc>
        <w:tc>
          <w:tcPr>
            <w:tcW w:w="1295" w:type="pct"/>
            <w:shd w:val="clear" w:color="auto" w:fill="auto"/>
          </w:tcPr>
          <w:p w14:paraId="669C7A49" w14:textId="77777777" w:rsidR="00066C63" w:rsidRDefault="00066C63">
            <w:pPr>
              <w:rPr>
                <w:rFonts w:ascii="宋体"/>
              </w:rPr>
            </w:pPr>
          </w:p>
        </w:tc>
        <w:tc>
          <w:tcPr>
            <w:tcW w:w="5" w:type="pct"/>
            <w:shd w:val="clear" w:color="auto" w:fill="auto"/>
          </w:tcPr>
          <w:p w14:paraId="669C7A4A" w14:textId="77777777" w:rsidR="00066C63" w:rsidRDefault="00066C63">
            <w:pPr>
              <w:rPr>
                <w:rFonts w:ascii="宋体"/>
              </w:rPr>
            </w:pPr>
          </w:p>
        </w:tc>
        <w:tc>
          <w:tcPr>
            <w:tcW w:w="50" w:type="pct"/>
            <w:shd w:val="clear" w:color="auto" w:fill="auto"/>
          </w:tcPr>
          <w:p w14:paraId="669C7A4B" w14:textId="77777777" w:rsidR="00066C63" w:rsidRDefault="00066C63">
            <w:pPr>
              <w:rPr>
                <w:rFonts w:ascii="宋体"/>
              </w:rPr>
            </w:pPr>
          </w:p>
        </w:tc>
        <w:tc>
          <w:tcPr>
            <w:tcW w:w="446" w:type="pct"/>
            <w:shd w:val="clear" w:color="auto" w:fill="auto"/>
          </w:tcPr>
          <w:p w14:paraId="669C7A4C" w14:textId="77777777" w:rsidR="00066C63" w:rsidRDefault="00066C63">
            <w:pPr>
              <w:rPr>
                <w:rFonts w:ascii="宋体"/>
              </w:rPr>
            </w:pPr>
          </w:p>
        </w:tc>
        <w:tc>
          <w:tcPr>
            <w:tcW w:w="5" w:type="pct"/>
            <w:shd w:val="clear" w:color="auto" w:fill="auto"/>
          </w:tcPr>
          <w:p w14:paraId="669C7A4D" w14:textId="77777777" w:rsidR="00066C63" w:rsidRDefault="00066C63">
            <w:pPr>
              <w:rPr>
                <w:rFonts w:ascii="宋体"/>
              </w:rPr>
            </w:pPr>
          </w:p>
        </w:tc>
        <w:tc>
          <w:tcPr>
            <w:tcW w:w="50" w:type="pct"/>
            <w:shd w:val="clear" w:color="auto" w:fill="auto"/>
          </w:tcPr>
          <w:p w14:paraId="669C7A4E" w14:textId="77777777" w:rsidR="00066C63" w:rsidRDefault="00066C63">
            <w:pPr>
              <w:rPr>
                <w:rFonts w:ascii="宋体"/>
              </w:rPr>
            </w:pPr>
          </w:p>
        </w:tc>
        <w:tc>
          <w:tcPr>
            <w:tcW w:w="446" w:type="pct"/>
            <w:shd w:val="clear" w:color="auto" w:fill="auto"/>
          </w:tcPr>
          <w:p w14:paraId="669C7A4F" w14:textId="77777777" w:rsidR="00066C63" w:rsidRDefault="00066C63">
            <w:pPr>
              <w:rPr>
                <w:rFonts w:ascii="宋体"/>
              </w:rPr>
            </w:pPr>
          </w:p>
        </w:tc>
        <w:tc>
          <w:tcPr>
            <w:tcW w:w="5" w:type="pct"/>
            <w:shd w:val="clear" w:color="auto" w:fill="auto"/>
          </w:tcPr>
          <w:p w14:paraId="669C7A50" w14:textId="77777777" w:rsidR="00066C63" w:rsidRDefault="00066C63">
            <w:pPr>
              <w:rPr>
                <w:rFonts w:ascii="宋体"/>
              </w:rPr>
            </w:pPr>
          </w:p>
        </w:tc>
        <w:tc>
          <w:tcPr>
            <w:tcW w:w="50" w:type="pct"/>
            <w:shd w:val="clear" w:color="auto" w:fill="auto"/>
          </w:tcPr>
          <w:p w14:paraId="669C7A51" w14:textId="77777777" w:rsidR="00066C63" w:rsidRDefault="00066C63">
            <w:pPr>
              <w:rPr>
                <w:rFonts w:ascii="宋体"/>
              </w:rPr>
            </w:pPr>
          </w:p>
        </w:tc>
        <w:tc>
          <w:tcPr>
            <w:tcW w:w="307" w:type="pct"/>
            <w:shd w:val="clear" w:color="auto" w:fill="auto"/>
          </w:tcPr>
          <w:p w14:paraId="669C7A52" w14:textId="77777777" w:rsidR="00066C63" w:rsidRDefault="00066C63">
            <w:pPr>
              <w:rPr>
                <w:rFonts w:ascii="宋体"/>
              </w:rPr>
            </w:pPr>
          </w:p>
        </w:tc>
        <w:tc>
          <w:tcPr>
            <w:tcW w:w="5" w:type="pct"/>
            <w:shd w:val="clear" w:color="auto" w:fill="auto"/>
          </w:tcPr>
          <w:p w14:paraId="669C7A53" w14:textId="77777777" w:rsidR="00066C63" w:rsidRDefault="00066C63">
            <w:pPr>
              <w:rPr>
                <w:rFonts w:ascii="宋体"/>
              </w:rPr>
            </w:pPr>
          </w:p>
        </w:tc>
        <w:tc>
          <w:tcPr>
            <w:tcW w:w="50" w:type="pct"/>
            <w:shd w:val="clear" w:color="auto" w:fill="auto"/>
          </w:tcPr>
          <w:p w14:paraId="669C7A54" w14:textId="77777777" w:rsidR="00066C63" w:rsidRDefault="00066C63">
            <w:pPr>
              <w:rPr>
                <w:rFonts w:ascii="宋体"/>
              </w:rPr>
            </w:pPr>
          </w:p>
        </w:tc>
        <w:tc>
          <w:tcPr>
            <w:tcW w:w="384" w:type="pct"/>
            <w:shd w:val="clear" w:color="auto" w:fill="auto"/>
          </w:tcPr>
          <w:p w14:paraId="669C7A55" w14:textId="77777777" w:rsidR="00066C63" w:rsidRDefault="00066C63">
            <w:pPr>
              <w:rPr>
                <w:rFonts w:ascii="宋体"/>
              </w:rPr>
            </w:pPr>
          </w:p>
        </w:tc>
        <w:tc>
          <w:tcPr>
            <w:tcW w:w="5" w:type="pct"/>
            <w:shd w:val="clear" w:color="auto" w:fill="auto"/>
          </w:tcPr>
          <w:p w14:paraId="669C7A56" w14:textId="77777777" w:rsidR="00066C63" w:rsidRDefault="00066C63">
            <w:pPr>
              <w:rPr>
                <w:rFonts w:ascii="宋体"/>
              </w:rPr>
            </w:pPr>
          </w:p>
        </w:tc>
        <w:tc>
          <w:tcPr>
            <w:tcW w:w="5" w:type="pct"/>
            <w:shd w:val="clear" w:color="auto" w:fill="auto"/>
          </w:tcPr>
          <w:p w14:paraId="669C7A57" w14:textId="77777777" w:rsidR="00066C63" w:rsidRDefault="00066C63">
            <w:pPr>
              <w:rPr>
                <w:rFonts w:ascii="宋体"/>
              </w:rPr>
            </w:pPr>
          </w:p>
        </w:tc>
        <w:tc>
          <w:tcPr>
            <w:tcW w:w="28" w:type="pct"/>
            <w:shd w:val="clear" w:color="auto" w:fill="auto"/>
          </w:tcPr>
          <w:p w14:paraId="669C7A58" w14:textId="77777777" w:rsidR="00066C63" w:rsidRDefault="00066C63">
            <w:pPr>
              <w:rPr>
                <w:rFonts w:ascii="宋体"/>
              </w:rPr>
            </w:pPr>
          </w:p>
        </w:tc>
        <w:tc>
          <w:tcPr>
            <w:tcW w:w="5" w:type="pct"/>
            <w:shd w:val="clear" w:color="auto" w:fill="auto"/>
          </w:tcPr>
          <w:p w14:paraId="669C7A59" w14:textId="77777777" w:rsidR="00066C63" w:rsidRDefault="00066C63">
            <w:pPr>
              <w:rPr>
                <w:rFonts w:ascii="宋体"/>
              </w:rPr>
            </w:pPr>
          </w:p>
        </w:tc>
        <w:tc>
          <w:tcPr>
            <w:tcW w:w="50" w:type="pct"/>
            <w:shd w:val="clear" w:color="auto" w:fill="auto"/>
          </w:tcPr>
          <w:p w14:paraId="669C7A5A" w14:textId="77777777" w:rsidR="00066C63" w:rsidRDefault="00066C63">
            <w:pPr>
              <w:rPr>
                <w:rFonts w:ascii="宋体"/>
              </w:rPr>
            </w:pPr>
          </w:p>
        </w:tc>
        <w:tc>
          <w:tcPr>
            <w:tcW w:w="446" w:type="pct"/>
            <w:shd w:val="clear" w:color="auto" w:fill="auto"/>
          </w:tcPr>
          <w:p w14:paraId="669C7A5B" w14:textId="77777777" w:rsidR="00066C63" w:rsidRDefault="00066C63">
            <w:pPr>
              <w:rPr>
                <w:rFonts w:ascii="宋体"/>
              </w:rPr>
            </w:pPr>
          </w:p>
        </w:tc>
        <w:tc>
          <w:tcPr>
            <w:tcW w:w="5" w:type="pct"/>
            <w:shd w:val="clear" w:color="auto" w:fill="auto"/>
          </w:tcPr>
          <w:p w14:paraId="669C7A5C" w14:textId="77777777" w:rsidR="00066C63" w:rsidRDefault="00066C63">
            <w:pPr>
              <w:rPr>
                <w:rFonts w:ascii="宋体"/>
              </w:rPr>
            </w:pPr>
          </w:p>
        </w:tc>
        <w:tc>
          <w:tcPr>
            <w:tcW w:w="50" w:type="pct"/>
            <w:shd w:val="clear" w:color="auto" w:fill="auto"/>
          </w:tcPr>
          <w:p w14:paraId="669C7A5D" w14:textId="77777777" w:rsidR="00066C63" w:rsidRDefault="00066C63">
            <w:pPr>
              <w:rPr>
                <w:rFonts w:ascii="宋体"/>
              </w:rPr>
            </w:pPr>
          </w:p>
        </w:tc>
        <w:tc>
          <w:tcPr>
            <w:tcW w:w="446" w:type="pct"/>
            <w:shd w:val="clear" w:color="auto" w:fill="auto"/>
          </w:tcPr>
          <w:p w14:paraId="669C7A5E" w14:textId="77777777" w:rsidR="00066C63" w:rsidRDefault="00066C63">
            <w:pPr>
              <w:rPr>
                <w:rFonts w:ascii="宋体"/>
              </w:rPr>
            </w:pPr>
          </w:p>
        </w:tc>
        <w:tc>
          <w:tcPr>
            <w:tcW w:w="5" w:type="pct"/>
            <w:shd w:val="clear" w:color="auto" w:fill="auto"/>
          </w:tcPr>
          <w:p w14:paraId="669C7A5F" w14:textId="77777777" w:rsidR="00066C63" w:rsidRDefault="00066C63">
            <w:pPr>
              <w:rPr>
                <w:rFonts w:ascii="宋体"/>
              </w:rPr>
            </w:pPr>
          </w:p>
        </w:tc>
        <w:tc>
          <w:tcPr>
            <w:tcW w:w="50" w:type="pct"/>
            <w:shd w:val="clear" w:color="auto" w:fill="auto"/>
          </w:tcPr>
          <w:p w14:paraId="669C7A60" w14:textId="77777777" w:rsidR="00066C63" w:rsidRDefault="00066C63">
            <w:pPr>
              <w:rPr>
                <w:rFonts w:ascii="宋体"/>
              </w:rPr>
            </w:pPr>
          </w:p>
        </w:tc>
        <w:tc>
          <w:tcPr>
            <w:tcW w:w="307" w:type="pct"/>
            <w:shd w:val="clear" w:color="auto" w:fill="auto"/>
          </w:tcPr>
          <w:p w14:paraId="669C7A61" w14:textId="77777777" w:rsidR="00066C63" w:rsidRDefault="00066C63">
            <w:pPr>
              <w:rPr>
                <w:rFonts w:ascii="宋体"/>
              </w:rPr>
            </w:pPr>
          </w:p>
        </w:tc>
        <w:tc>
          <w:tcPr>
            <w:tcW w:w="5" w:type="pct"/>
            <w:shd w:val="clear" w:color="auto" w:fill="auto"/>
          </w:tcPr>
          <w:p w14:paraId="669C7A62" w14:textId="77777777" w:rsidR="00066C63" w:rsidRDefault="00066C63">
            <w:pPr>
              <w:rPr>
                <w:rFonts w:ascii="宋体"/>
              </w:rPr>
            </w:pPr>
          </w:p>
        </w:tc>
        <w:tc>
          <w:tcPr>
            <w:tcW w:w="50" w:type="pct"/>
            <w:shd w:val="clear" w:color="auto" w:fill="auto"/>
          </w:tcPr>
          <w:p w14:paraId="669C7A63" w14:textId="77777777" w:rsidR="00066C63" w:rsidRDefault="00066C63">
            <w:pPr>
              <w:rPr>
                <w:rFonts w:ascii="宋体"/>
              </w:rPr>
            </w:pPr>
          </w:p>
        </w:tc>
        <w:tc>
          <w:tcPr>
            <w:tcW w:w="385" w:type="pct"/>
            <w:shd w:val="clear" w:color="auto" w:fill="auto"/>
          </w:tcPr>
          <w:p w14:paraId="669C7A64" w14:textId="77777777" w:rsidR="00066C63" w:rsidRDefault="00066C63">
            <w:pPr>
              <w:rPr>
                <w:rFonts w:ascii="宋体"/>
              </w:rPr>
            </w:pPr>
          </w:p>
        </w:tc>
        <w:tc>
          <w:tcPr>
            <w:tcW w:w="5" w:type="pct"/>
            <w:shd w:val="clear" w:color="auto" w:fill="auto"/>
          </w:tcPr>
          <w:p w14:paraId="669C7A65" w14:textId="77777777" w:rsidR="00066C63" w:rsidRDefault="00066C63">
            <w:pPr>
              <w:rPr>
                <w:rFonts w:ascii="宋体"/>
              </w:rPr>
            </w:pPr>
          </w:p>
        </w:tc>
      </w:tr>
      <w:tr w:rsidR="00066C63" w14:paraId="669C7A6B" w14:textId="77777777">
        <w:tc>
          <w:tcPr>
            <w:tcW w:w="0" w:type="auto"/>
            <w:gridSpan w:val="3"/>
            <w:shd w:val="clear" w:color="auto" w:fill="auto"/>
            <w:tcMar>
              <w:top w:w="0" w:type="dxa"/>
              <w:left w:w="20" w:type="dxa"/>
              <w:bottom w:w="0" w:type="dxa"/>
              <w:right w:w="20" w:type="dxa"/>
            </w:tcMar>
          </w:tcPr>
          <w:p w14:paraId="669C7A67" w14:textId="77777777" w:rsidR="00066C63" w:rsidRDefault="00066C63">
            <w:pPr>
              <w:rPr>
                <w:rFonts w:ascii="宋体"/>
              </w:rPr>
            </w:pPr>
          </w:p>
        </w:tc>
        <w:tc>
          <w:tcPr>
            <w:tcW w:w="0" w:type="auto"/>
            <w:gridSpan w:val="12"/>
            <w:shd w:val="clear" w:color="auto" w:fill="auto"/>
            <w:tcMar>
              <w:top w:w="40" w:type="dxa"/>
              <w:left w:w="20" w:type="dxa"/>
              <w:bottom w:w="40" w:type="dxa"/>
              <w:right w:w="20" w:type="dxa"/>
            </w:tcMar>
            <w:vAlign w:val="bottom"/>
          </w:tcPr>
          <w:p w14:paraId="669C7A68" w14:textId="77777777" w:rsidR="00066C63" w:rsidRDefault="009656F6">
            <w:pPr>
              <w:jc w:val="center"/>
              <w:textAlignment w:val="bottom"/>
            </w:pPr>
            <w:r>
              <w:rPr>
                <w:rFonts w:ascii="sans-serif" w:eastAsia="sans-serif" w:hAnsi="sans-serif" w:cs="sans-serif"/>
                <w:b/>
                <w:bCs/>
                <w:color w:val="000000"/>
                <w:sz w:val="17"/>
                <w:szCs w:val="17"/>
              </w:rPr>
              <w:t xml:space="preserve">THREE MONTHS ENDED </w:t>
            </w:r>
          </w:p>
        </w:tc>
        <w:tc>
          <w:tcPr>
            <w:tcW w:w="0" w:type="auto"/>
            <w:gridSpan w:val="3"/>
            <w:shd w:val="clear" w:color="auto" w:fill="auto"/>
            <w:tcMar>
              <w:top w:w="0" w:type="dxa"/>
              <w:left w:w="20" w:type="dxa"/>
              <w:bottom w:w="0" w:type="dxa"/>
              <w:right w:w="20" w:type="dxa"/>
            </w:tcMar>
          </w:tcPr>
          <w:p w14:paraId="669C7A69" w14:textId="77777777" w:rsidR="00066C63" w:rsidRDefault="00066C63">
            <w:pPr>
              <w:rPr>
                <w:rFonts w:ascii="宋体"/>
              </w:rPr>
            </w:pPr>
          </w:p>
        </w:tc>
        <w:tc>
          <w:tcPr>
            <w:tcW w:w="0" w:type="auto"/>
            <w:gridSpan w:val="12"/>
            <w:shd w:val="clear" w:color="auto" w:fill="auto"/>
            <w:tcMar>
              <w:top w:w="40" w:type="dxa"/>
              <w:left w:w="20" w:type="dxa"/>
              <w:bottom w:w="40" w:type="dxa"/>
              <w:right w:w="20" w:type="dxa"/>
            </w:tcMar>
            <w:vAlign w:val="bottom"/>
          </w:tcPr>
          <w:p w14:paraId="669C7A6A" w14:textId="77777777" w:rsidR="00066C63" w:rsidRDefault="009656F6">
            <w:pPr>
              <w:jc w:val="center"/>
              <w:textAlignment w:val="bottom"/>
            </w:pPr>
            <w:r>
              <w:rPr>
                <w:rFonts w:ascii="sans-serif" w:eastAsia="sans-serif" w:hAnsi="sans-serif" w:cs="sans-serif"/>
                <w:b/>
                <w:bCs/>
                <w:color w:val="000000"/>
                <w:sz w:val="17"/>
                <w:szCs w:val="17"/>
              </w:rPr>
              <w:t xml:space="preserve">NINE MONTHS ENDED </w:t>
            </w:r>
          </w:p>
        </w:tc>
      </w:tr>
      <w:tr w:rsidR="00066C63" w14:paraId="669C7A76" w14:textId="77777777">
        <w:tc>
          <w:tcPr>
            <w:tcW w:w="0" w:type="auto"/>
            <w:gridSpan w:val="3"/>
            <w:shd w:val="clear" w:color="auto" w:fill="auto"/>
            <w:tcMar>
              <w:top w:w="40" w:type="dxa"/>
              <w:left w:w="20" w:type="dxa"/>
              <w:bottom w:w="40" w:type="dxa"/>
              <w:right w:w="20" w:type="dxa"/>
            </w:tcMar>
            <w:vAlign w:val="bottom"/>
          </w:tcPr>
          <w:p w14:paraId="669C7A6C" w14:textId="77777777" w:rsidR="00066C63" w:rsidRDefault="009656F6">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A6D" w14:textId="77777777" w:rsidR="00066C63" w:rsidRDefault="009656F6">
            <w:pPr>
              <w:jc w:val="center"/>
              <w:textAlignment w:val="bottom"/>
            </w:pPr>
            <w:r>
              <w:rPr>
                <w:rFonts w:ascii="sans-serif" w:eastAsia="sans-serif" w:hAnsi="sans-serif" w:cs="sans-serif"/>
                <w:b/>
                <w:bCs/>
                <w:color w:val="000000"/>
                <w:sz w:val="17"/>
                <w:szCs w:val="17"/>
              </w:rPr>
              <w:t>FEBRUARY 28, 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A6E" w14:textId="77777777" w:rsidR="00066C63" w:rsidRDefault="009656F6">
            <w:pPr>
              <w:jc w:val="center"/>
              <w:textAlignment w:val="bottom"/>
            </w:pPr>
            <w:r>
              <w:rPr>
                <w:rFonts w:ascii="sans-serif" w:eastAsia="sans-serif" w:hAnsi="sans-serif" w:cs="sans-serif"/>
                <w:b/>
                <w:bCs/>
                <w:color w:val="000000"/>
                <w:sz w:val="17"/>
                <w:szCs w:val="17"/>
              </w:rPr>
              <w:t>FEBRUARY 29, 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A6F" w14:textId="77777777" w:rsidR="00066C63" w:rsidRDefault="009656F6">
            <w:pPr>
              <w:jc w:val="right"/>
              <w:textAlignment w:val="bottom"/>
            </w:pPr>
            <w:r>
              <w:rPr>
                <w:rFonts w:ascii="sans-serif" w:eastAsia="sans-serif" w:hAnsi="sans-serif" w:cs="sans-serif"/>
                <w:b/>
                <w:bCs/>
                <w:color w:val="000000"/>
                <w:sz w:val="17"/>
                <w:szCs w:val="17"/>
              </w:rPr>
              <w:t>% CHANGE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A70" w14:textId="77777777" w:rsidR="00066C63" w:rsidRDefault="009656F6">
            <w:pPr>
              <w:jc w:val="right"/>
              <w:textAlignment w:val="bottom"/>
            </w:pPr>
            <w:r>
              <w:rPr>
                <w:rFonts w:ascii="sans-serif" w:eastAsia="sans-serif" w:hAnsi="sans-serif" w:cs="sans-serif"/>
                <w:b/>
                <w:bCs/>
                <w:color w:val="000000"/>
                <w:sz w:val="17"/>
                <w:szCs w:val="17"/>
              </w:rPr>
              <w:t xml:space="preserve">% CHANGE </w:t>
            </w:r>
            <w:r>
              <w:rPr>
                <w:rFonts w:ascii="sans-serif" w:eastAsia="sans-serif" w:hAnsi="sans-serif" w:cs="sans-serif"/>
                <w:b/>
                <w:bCs/>
                <w:color w:val="000000"/>
                <w:sz w:val="17"/>
                <w:szCs w:val="17"/>
              </w:rPr>
              <w:t>EXCLUDING CURRENCY CHANGES</w:t>
            </w:r>
          </w:p>
        </w:tc>
        <w:tc>
          <w:tcPr>
            <w:tcW w:w="0" w:type="auto"/>
            <w:gridSpan w:val="3"/>
            <w:shd w:val="clear" w:color="auto" w:fill="auto"/>
            <w:tcMar>
              <w:top w:w="0" w:type="dxa"/>
              <w:left w:w="20" w:type="dxa"/>
              <w:bottom w:w="0" w:type="dxa"/>
              <w:right w:w="20" w:type="dxa"/>
            </w:tcMar>
          </w:tcPr>
          <w:p w14:paraId="669C7A71" w14:textId="77777777" w:rsidR="00066C63" w:rsidRDefault="00066C63">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A72" w14:textId="77777777" w:rsidR="00066C63" w:rsidRDefault="009656F6">
            <w:pPr>
              <w:jc w:val="center"/>
              <w:textAlignment w:val="bottom"/>
            </w:pPr>
            <w:r>
              <w:rPr>
                <w:rFonts w:ascii="sans-serif" w:eastAsia="sans-serif" w:hAnsi="sans-serif" w:cs="sans-serif"/>
                <w:b/>
                <w:bCs/>
                <w:color w:val="000000"/>
                <w:sz w:val="17"/>
                <w:szCs w:val="17"/>
              </w:rPr>
              <w:t>FEBRUARY 28, 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A73" w14:textId="77777777" w:rsidR="00066C63" w:rsidRDefault="009656F6">
            <w:pPr>
              <w:jc w:val="center"/>
              <w:textAlignment w:val="bottom"/>
            </w:pPr>
            <w:r>
              <w:rPr>
                <w:rFonts w:ascii="sans-serif" w:eastAsia="sans-serif" w:hAnsi="sans-serif" w:cs="sans-serif"/>
                <w:b/>
                <w:bCs/>
                <w:color w:val="000000"/>
                <w:sz w:val="17"/>
                <w:szCs w:val="17"/>
              </w:rPr>
              <w:t>FEBRUARY 29, 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A74" w14:textId="77777777" w:rsidR="00066C63" w:rsidRDefault="009656F6">
            <w:pPr>
              <w:jc w:val="right"/>
              <w:textAlignment w:val="bottom"/>
            </w:pPr>
            <w:r>
              <w:rPr>
                <w:rFonts w:ascii="sans-serif" w:eastAsia="sans-serif" w:hAnsi="sans-serif" w:cs="sans-serif"/>
                <w:b/>
                <w:bCs/>
                <w:color w:val="000000"/>
                <w:sz w:val="17"/>
                <w:szCs w:val="17"/>
              </w:rPr>
              <w:t>% CHANGE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A75" w14:textId="77777777" w:rsidR="00066C63" w:rsidRDefault="009656F6">
            <w:pPr>
              <w:jc w:val="right"/>
              <w:textAlignment w:val="bottom"/>
            </w:pPr>
            <w:r>
              <w:rPr>
                <w:rFonts w:ascii="sans-serif" w:eastAsia="sans-serif" w:hAnsi="sans-serif" w:cs="sans-serif"/>
                <w:b/>
                <w:bCs/>
                <w:color w:val="000000"/>
                <w:sz w:val="17"/>
                <w:szCs w:val="17"/>
              </w:rPr>
              <w:t>% CHANGE EXCLUDING CURRENCY CHANGES</w:t>
            </w:r>
          </w:p>
        </w:tc>
      </w:tr>
      <w:tr w:rsidR="00066C63" w14:paraId="669C7A81"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A77" w14:textId="77777777" w:rsidR="00066C63" w:rsidRDefault="009656F6">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FFF1E7"/>
            <w:tcMar>
              <w:top w:w="0" w:type="dxa"/>
              <w:left w:w="20" w:type="dxa"/>
              <w:bottom w:w="0" w:type="dxa"/>
              <w:right w:w="20" w:type="dxa"/>
            </w:tcMar>
          </w:tcPr>
          <w:p w14:paraId="669C7A78"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7A79"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7A7A"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7A7B"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7A7C" w14:textId="77777777" w:rsidR="00066C63" w:rsidRDefault="00066C63">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669C7A7D"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7A7E"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7A7F"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7A80" w14:textId="77777777" w:rsidR="00066C63" w:rsidRDefault="00066C63">
            <w:pPr>
              <w:rPr>
                <w:rFonts w:ascii="宋体"/>
              </w:rPr>
            </w:pPr>
          </w:p>
        </w:tc>
      </w:tr>
      <w:tr w:rsidR="00066C63" w14:paraId="669C7A98"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7A82" w14:textId="77777777" w:rsidR="00066C63" w:rsidRDefault="009656F6">
            <w:pPr>
              <w:textAlignment w:val="bottom"/>
            </w:pPr>
            <w:r>
              <w:rPr>
                <w:rFonts w:ascii="Arial" w:eastAsia="宋体" w:hAnsi="Arial" w:cs="Arial"/>
                <w:color w:val="000000"/>
                <w:sz w:val="17"/>
                <w:szCs w:val="17"/>
              </w:rPr>
              <w:t>Footwear</w:t>
            </w:r>
          </w:p>
        </w:tc>
        <w:tc>
          <w:tcPr>
            <w:tcW w:w="0" w:type="auto"/>
            <w:tcBorders>
              <w:top w:val="single" w:sz="8" w:space="0" w:color="808080"/>
            </w:tcBorders>
            <w:shd w:val="clear" w:color="auto" w:fill="FFF1E7"/>
            <w:tcMar>
              <w:top w:w="40" w:type="dxa"/>
              <w:left w:w="20" w:type="dxa"/>
              <w:bottom w:w="40" w:type="dxa"/>
              <w:right w:w="0" w:type="dxa"/>
            </w:tcMar>
            <w:vAlign w:val="bottom"/>
          </w:tcPr>
          <w:p w14:paraId="669C7A83"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669C7A84" w14:textId="77777777" w:rsidR="00066C63" w:rsidRDefault="009656F6">
            <w:pPr>
              <w:jc w:val="right"/>
              <w:textAlignment w:val="bottom"/>
            </w:pPr>
            <w:r>
              <w:rPr>
                <w:rFonts w:ascii="Arial" w:eastAsia="宋体" w:hAnsi="Arial" w:cs="Arial"/>
                <w:color w:val="000000"/>
                <w:sz w:val="17"/>
                <w:szCs w:val="17"/>
              </w:rPr>
              <w:t>903 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7A85" w14:textId="77777777" w:rsidR="00066C63" w:rsidRDefault="00066C63">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669C7A86"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669C7A87" w14:textId="77777777" w:rsidR="00066C63" w:rsidRDefault="009656F6">
            <w:pPr>
              <w:jc w:val="right"/>
              <w:textAlignment w:val="bottom"/>
            </w:pPr>
            <w:r>
              <w:rPr>
                <w:rFonts w:ascii="Arial" w:eastAsia="宋体" w:hAnsi="Arial" w:cs="Arial"/>
                <w:color w:val="000000"/>
                <w:sz w:val="17"/>
                <w:szCs w:val="17"/>
              </w:rPr>
              <w:t>963 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A88"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A89" w14:textId="77777777" w:rsidR="00066C63" w:rsidRDefault="009656F6">
            <w:pPr>
              <w:jc w:val="right"/>
              <w:textAlignment w:val="bottom"/>
            </w:pPr>
            <w:r>
              <w:rPr>
                <w:rFonts w:ascii="Arial" w:eastAsia="宋体" w:hAnsi="Arial" w:cs="Arial"/>
                <w:color w:val="000000"/>
                <w:sz w:val="17"/>
                <w:szCs w:val="17"/>
              </w:rPr>
              <w:t>-6 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A8A" w14:textId="77777777" w:rsidR="00066C63" w:rsidRDefault="009656F6">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A8B" w14:textId="77777777" w:rsidR="00066C63" w:rsidRDefault="009656F6">
            <w:pPr>
              <w:jc w:val="right"/>
              <w:textAlignment w:val="bottom"/>
            </w:pPr>
            <w:r>
              <w:rPr>
                <w:rFonts w:ascii="Arial" w:eastAsia="宋体" w:hAnsi="Arial" w:cs="Arial"/>
                <w:color w:val="000000"/>
                <w:sz w:val="17"/>
                <w:szCs w:val="17"/>
              </w:rPr>
              <w:t>-7 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A8C" w14:textId="77777777" w:rsidR="00066C63" w:rsidRDefault="009656F6">
            <w:pPr>
              <w:jc w:val="right"/>
              <w:textAlignment w:val="bottom"/>
            </w:pPr>
            <w:r>
              <w:rPr>
                <w:rFonts w:ascii="Arial" w:eastAsia="宋体" w:hAnsi="Arial" w:cs="Arial"/>
                <w:color w:val="000000"/>
                <w:sz w:val="17"/>
                <w:szCs w:val="17"/>
              </w:rPr>
              <w:t>%</w:t>
            </w:r>
          </w:p>
        </w:tc>
        <w:tc>
          <w:tcPr>
            <w:tcW w:w="0" w:type="auto"/>
            <w:gridSpan w:val="3"/>
            <w:tcBorders>
              <w:top w:val="single" w:sz="8" w:space="0" w:color="808080"/>
            </w:tcBorders>
            <w:shd w:val="clear" w:color="auto" w:fill="auto"/>
            <w:tcMar>
              <w:top w:w="0" w:type="dxa"/>
              <w:left w:w="20" w:type="dxa"/>
              <w:bottom w:w="0" w:type="dxa"/>
              <w:right w:w="20" w:type="dxa"/>
            </w:tcMar>
          </w:tcPr>
          <w:p w14:paraId="669C7A8D" w14:textId="77777777" w:rsidR="00066C63" w:rsidRDefault="00066C63">
            <w:pPr>
              <w:rPr>
                <w:rFonts w:ascii="宋体"/>
              </w:rPr>
            </w:pPr>
          </w:p>
        </w:tc>
        <w:tc>
          <w:tcPr>
            <w:tcW w:w="0" w:type="auto"/>
            <w:tcBorders>
              <w:top w:val="single" w:sz="8" w:space="0" w:color="808080"/>
            </w:tcBorders>
            <w:shd w:val="clear" w:color="auto" w:fill="FFF1E7"/>
            <w:tcMar>
              <w:top w:w="40" w:type="dxa"/>
              <w:left w:w="20" w:type="dxa"/>
              <w:bottom w:w="40" w:type="dxa"/>
              <w:right w:w="0" w:type="dxa"/>
            </w:tcMar>
            <w:vAlign w:val="bottom"/>
          </w:tcPr>
          <w:p w14:paraId="669C7A8E"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669C7A8F" w14:textId="77777777" w:rsidR="00066C63" w:rsidRDefault="009656F6">
            <w:pPr>
              <w:jc w:val="right"/>
              <w:textAlignment w:val="bottom"/>
            </w:pPr>
            <w:r>
              <w:rPr>
                <w:rFonts w:ascii="Arial" w:eastAsia="宋体" w:hAnsi="Arial" w:cs="Arial"/>
                <w:color w:val="000000"/>
                <w:sz w:val="17"/>
                <w:szCs w:val="17"/>
              </w:rPr>
              <w:t>2,652 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7A90" w14:textId="77777777" w:rsidR="00066C63" w:rsidRDefault="00066C63">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669C7A91"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669C7A92" w14:textId="77777777" w:rsidR="00066C63" w:rsidRDefault="009656F6">
            <w:pPr>
              <w:jc w:val="right"/>
              <w:textAlignment w:val="bottom"/>
            </w:pPr>
            <w:r>
              <w:rPr>
                <w:rFonts w:ascii="Arial" w:eastAsia="宋体" w:hAnsi="Arial" w:cs="Arial"/>
                <w:color w:val="000000"/>
                <w:sz w:val="17"/>
                <w:szCs w:val="17"/>
              </w:rPr>
              <w:t>2,890 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A93"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A94" w14:textId="77777777" w:rsidR="00066C63" w:rsidRDefault="009656F6">
            <w:pPr>
              <w:jc w:val="right"/>
              <w:textAlignment w:val="bottom"/>
            </w:pPr>
            <w:r>
              <w:rPr>
                <w:rFonts w:ascii="Arial" w:eastAsia="宋体" w:hAnsi="Arial" w:cs="Arial"/>
                <w:color w:val="000000"/>
                <w:sz w:val="17"/>
                <w:szCs w:val="17"/>
              </w:rPr>
              <w:t>-8 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A95" w14:textId="77777777" w:rsidR="00066C63" w:rsidRDefault="009656F6">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A96" w14:textId="77777777" w:rsidR="00066C63" w:rsidRDefault="009656F6">
            <w:pPr>
              <w:jc w:val="right"/>
              <w:textAlignment w:val="bottom"/>
            </w:pPr>
            <w:r>
              <w:rPr>
                <w:rFonts w:ascii="Arial" w:eastAsia="宋体" w:hAnsi="Arial" w:cs="Arial"/>
                <w:color w:val="000000"/>
                <w:sz w:val="17"/>
                <w:szCs w:val="17"/>
              </w:rPr>
              <w:t>-5 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A97" w14:textId="77777777" w:rsidR="00066C63" w:rsidRDefault="009656F6">
            <w:pPr>
              <w:jc w:val="right"/>
              <w:textAlignment w:val="bottom"/>
            </w:pPr>
            <w:r>
              <w:rPr>
                <w:rFonts w:ascii="Arial" w:eastAsia="宋体" w:hAnsi="Arial" w:cs="Arial"/>
                <w:color w:val="000000"/>
                <w:sz w:val="17"/>
                <w:szCs w:val="17"/>
              </w:rPr>
              <w:t>%</w:t>
            </w:r>
          </w:p>
        </w:tc>
      </w:tr>
      <w:tr w:rsidR="00066C63" w14:paraId="669C7AAB"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7A99" w14:textId="77777777" w:rsidR="00066C63" w:rsidRDefault="009656F6">
            <w:pPr>
              <w:textAlignment w:val="bottom"/>
            </w:pPr>
            <w:r>
              <w:rPr>
                <w:rFonts w:ascii="Arial" w:eastAsia="宋体" w:hAnsi="Arial" w:cs="Arial"/>
                <w:color w:val="000000"/>
                <w:sz w:val="17"/>
                <w:szCs w:val="17"/>
              </w:rPr>
              <w:t>Apparel</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7A9A" w14:textId="77777777" w:rsidR="00066C63" w:rsidRDefault="009656F6">
            <w:pPr>
              <w:jc w:val="right"/>
              <w:textAlignment w:val="bottom"/>
            </w:pPr>
            <w:r>
              <w:rPr>
                <w:rFonts w:ascii="Arial" w:eastAsia="宋体" w:hAnsi="Arial" w:cs="Arial"/>
                <w:color w:val="000000"/>
                <w:sz w:val="17"/>
                <w:szCs w:val="17"/>
              </w:rPr>
              <w:t>365 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7A9B"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A9C" w14:textId="77777777" w:rsidR="00066C63" w:rsidRDefault="009656F6">
            <w:pPr>
              <w:jc w:val="right"/>
              <w:textAlignment w:val="bottom"/>
            </w:pPr>
            <w:r>
              <w:rPr>
                <w:rFonts w:ascii="Arial" w:eastAsia="宋体" w:hAnsi="Arial" w:cs="Arial"/>
                <w:color w:val="000000"/>
                <w:sz w:val="17"/>
                <w:szCs w:val="17"/>
              </w:rPr>
              <w:t>388 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A9D"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A9E" w14:textId="77777777" w:rsidR="00066C63" w:rsidRDefault="009656F6">
            <w:pPr>
              <w:jc w:val="right"/>
              <w:textAlignment w:val="bottom"/>
            </w:pPr>
            <w:r>
              <w:rPr>
                <w:rFonts w:ascii="Arial" w:eastAsia="宋体" w:hAnsi="Arial" w:cs="Arial"/>
                <w:color w:val="000000"/>
                <w:sz w:val="17"/>
                <w:szCs w:val="17"/>
              </w:rPr>
              <w:t>-6 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A9F" w14:textId="77777777" w:rsidR="00066C63" w:rsidRDefault="009656F6">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AA0" w14:textId="77777777" w:rsidR="00066C63" w:rsidRDefault="009656F6">
            <w:pPr>
              <w:jc w:val="right"/>
              <w:textAlignment w:val="bottom"/>
            </w:pPr>
            <w:r>
              <w:rPr>
                <w:rFonts w:ascii="Arial" w:eastAsia="宋体" w:hAnsi="Arial" w:cs="Arial"/>
                <w:color w:val="000000"/>
                <w:sz w:val="17"/>
                <w:szCs w:val="17"/>
              </w:rPr>
              <w:t>-8 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AA1" w14:textId="77777777" w:rsidR="00066C63" w:rsidRDefault="009656F6">
            <w:pPr>
              <w:jc w:val="right"/>
              <w:textAlignment w:val="bottom"/>
            </w:pPr>
            <w:r>
              <w:rPr>
                <w:rFonts w:ascii="Arial" w:eastAsia="宋体" w:hAnsi="Arial" w:cs="Arial"/>
                <w:color w:val="000000"/>
                <w:sz w:val="17"/>
                <w:szCs w:val="17"/>
              </w:rPr>
              <w:t>%</w:t>
            </w:r>
          </w:p>
        </w:tc>
        <w:tc>
          <w:tcPr>
            <w:tcW w:w="0" w:type="auto"/>
            <w:gridSpan w:val="3"/>
            <w:tcBorders>
              <w:top w:val="single" w:sz="8" w:space="0" w:color="808080"/>
            </w:tcBorders>
            <w:shd w:val="clear" w:color="auto" w:fill="auto"/>
            <w:tcMar>
              <w:top w:w="0" w:type="dxa"/>
              <w:left w:w="20" w:type="dxa"/>
              <w:bottom w:w="0" w:type="dxa"/>
              <w:right w:w="20" w:type="dxa"/>
            </w:tcMar>
          </w:tcPr>
          <w:p w14:paraId="669C7AA2" w14:textId="77777777" w:rsidR="00066C63" w:rsidRDefault="00066C63">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7AA3" w14:textId="77777777" w:rsidR="00066C63" w:rsidRDefault="009656F6">
            <w:pPr>
              <w:jc w:val="right"/>
              <w:textAlignment w:val="bottom"/>
            </w:pPr>
            <w:r>
              <w:rPr>
                <w:rFonts w:ascii="Arial" w:eastAsia="宋体" w:hAnsi="Arial" w:cs="Arial"/>
                <w:color w:val="000000"/>
                <w:sz w:val="17"/>
                <w:szCs w:val="17"/>
              </w:rPr>
              <w:t>1,098 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7AA4"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AA5" w14:textId="77777777" w:rsidR="00066C63" w:rsidRDefault="009656F6">
            <w:pPr>
              <w:jc w:val="right"/>
              <w:textAlignment w:val="bottom"/>
            </w:pPr>
            <w:r>
              <w:rPr>
                <w:rFonts w:ascii="Arial" w:eastAsia="宋体" w:hAnsi="Arial" w:cs="Arial"/>
                <w:color w:val="000000"/>
                <w:sz w:val="17"/>
                <w:szCs w:val="17"/>
              </w:rPr>
              <w:t>1,154 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AA6"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AA7" w14:textId="77777777" w:rsidR="00066C63" w:rsidRDefault="009656F6">
            <w:pPr>
              <w:jc w:val="right"/>
              <w:textAlignment w:val="bottom"/>
            </w:pPr>
            <w:r>
              <w:rPr>
                <w:rFonts w:ascii="Arial" w:eastAsia="宋体" w:hAnsi="Arial" w:cs="Arial"/>
                <w:color w:val="000000"/>
                <w:sz w:val="17"/>
                <w:szCs w:val="17"/>
              </w:rPr>
              <w:t>-5 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AA8" w14:textId="77777777" w:rsidR="00066C63" w:rsidRDefault="009656F6">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AA9" w14:textId="77777777" w:rsidR="00066C63" w:rsidRDefault="009656F6">
            <w:pPr>
              <w:jc w:val="right"/>
              <w:textAlignment w:val="bottom"/>
            </w:pPr>
            <w:r>
              <w:rPr>
                <w:rFonts w:ascii="Arial" w:eastAsia="宋体" w:hAnsi="Arial" w:cs="Arial"/>
                <w:color w:val="000000"/>
                <w:sz w:val="17"/>
                <w:szCs w:val="17"/>
              </w:rPr>
              <w:t>-2 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AAA" w14:textId="77777777" w:rsidR="00066C63" w:rsidRDefault="009656F6">
            <w:pPr>
              <w:jc w:val="right"/>
              <w:textAlignment w:val="bottom"/>
            </w:pPr>
            <w:r>
              <w:rPr>
                <w:rFonts w:ascii="Arial" w:eastAsia="宋体" w:hAnsi="Arial" w:cs="Arial"/>
                <w:color w:val="000000"/>
                <w:sz w:val="17"/>
                <w:szCs w:val="17"/>
              </w:rPr>
              <w:t>%</w:t>
            </w:r>
          </w:p>
        </w:tc>
      </w:tr>
      <w:tr w:rsidR="00066C63" w14:paraId="669C7ABE"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7AAC" w14:textId="77777777" w:rsidR="00066C63" w:rsidRDefault="009656F6">
            <w:pPr>
              <w:textAlignment w:val="bottom"/>
            </w:pPr>
            <w:r>
              <w:rPr>
                <w:rFonts w:ascii="Arial" w:eastAsia="宋体" w:hAnsi="Arial" w:cs="Arial"/>
                <w:color w:val="000000"/>
                <w:sz w:val="17"/>
                <w:szCs w:val="17"/>
              </w:rPr>
              <w:t>Equipment</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7AAD" w14:textId="77777777" w:rsidR="00066C63" w:rsidRDefault="009656F6">
            <w:pPr>
              <w:jc w:val="right"/>
              <w:textAlignment w:val="bottom"/>
            </w:pPr>
            <w:r>
              <w:rPr>
                <w:rFonts w:ascii="Arial" w:eastAsia="宋体" w:hAnsi="Arial" w:cs="Arial"/>
                <w:color w:val="000000"/>
                <w:sz w:val="17"/>
                <w:szCs w:val="17"/>
              </w:rPr>
              <w:t>47 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7AAE"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AAF" w14:textId="77777777" w:rsidR="00066C63" w:rsidRDefault="009656F6">
            <w:pPr>
              <w:jc w:val="right"/>
              <w:textAlignment w:val="bottom"/>
            </w:pPr>
            <w:r>
              <w:rPr>
                <w:rFonts w:ascii="Arial" w:eastAsia="宋体" w:hAnsi="Arial" w:cs="Arial"/>
                <w:color w:val="000000"/>
                <w:sz w:val="17"/>
                <w:szCs w:val="17"/>
              </w:rPr>
              <w:t>63 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AB0"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AB1" w14:textId="77777777" w:rsidR="00066C63" w:rsidRDefault="009656F6">
            <w:pPr>
              <w:jc w:val="right"/>
              <w:textAlignment w:val="bottom"/>
            </w:pPr>
            <w:r>
              <w:rPr>
                <w:rFonts w:ascii="Arial" w:eastAsia="宋体" w:hAnsi="Arial" w:cs="Arial"/>
                <w:color w:val="000000"/>
                <w:sz w:val="17"/>
                <w:szCs w:val="17"/>
              </w:rPr>
              <w:t>-25 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AB2" w14:textId="77777777" w:rsidR="00066C63" w:rsidRDefault="009656F6">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AB3" w14:textId="77777777" w:rsidR="00066C63" w:rsidRDefault="009656F6">
            <w:pPr>
              <w:jc w:val="right"/>
              <w:textAlignment w:val="bottom"/>
            </w:pPr>
            <w:r>
              <w:rPr>
                <w:rFonts w:ascii="Arial" w:eastAsia="宋体" w:hAnsi="Arial" w:cs="Arial"/>
                <w:color w:val="000000"/>
                <w:sz w:val="17"/>
                <w:szCs w:val="17"/>
              </w:rPr>
              <w:t>-26 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AB4" w14:textId="77777777" w:rsidR="00066C63" w:rsidRDefault="009656F6">
            <w:pPr>
              <w:jc w:val="right"/>
              <w:textAlignment w:val="bottom"/>
            </w:pPr>
            <w:r>
              <w:rPr>
                <w:rFonts w:ascii="Arial" w:eastAsia="宋体" w:hAnsi="Arial" w:cs="Arial"/>
                <w:color w:val="000000"/>
                <w:sz w:val="17"/>
                <w:szCs w:val="17"/>
              </w:rPr>
              <w:t>%</w:t>
            </w:r>
          </w:p>
        </w:tc>
        <w:tc>
          <w:tcPr>
            <w:tcW w:w="0" w:type="auto"/>
            <w:gridSpan w:val="3"/>
            <w:tcBorders>
              <w:top w:val="single" w:sz="8" w:space="0" w:color="808080"/>
            </w:tcBorders>
            <w:shd w:val="clear" w:color="auto" w:fill="auto"/>
            <w:tcMar>
              <w:top w:w="0" w:type="dxa"/>
              <w:left w:w="20" w:type="dxa"/>
              <w:bottom w:w="0" w:type="dxa"/>
              <w:right w:w="20" w:type="dxa"/>
            </w:tcMar>
          </w:tcPr>
          <w:p w14:paraId="669C7AB5" w14:textId="77777777" w:rsidR="00066C63" w:rsidRDefault="00066C63">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7AB6" w14:textId="77777777" w:rsidR="00066C63" w:rsidRDefault="009656F6">
            <w:pPr>
              <w:jc w:val="right"/>
              <w:textAlignment w:val="bottom"/>
            </w:pPr>
            <w:r>
              <w:rPr>
                <w:rFonts w:ascii="Arial" w:eastAsia="宋体" w:hAnsi="Arial" w:cs="Arial"/>
                <w:color w:val="000000"/>
                <w:sz w:val="17"/>
                <w:szCs w:val="17"/>
              </w:rPr>
              <w:t>135 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7AB7"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AB8" w14:textId="77777777" w:rsidR="00066C63" w:rsidRDefault="009656F6">
            <w:pPr>
              <w:jc w:val="right"/>
              <w:textAlignment w:val="bottom"/>
            </w:pPr>
            <w:r>
              <w:rPr>
                <w:rFonts w:ascii="Arial" w:eastAsia="宋体" w:hAnsi="Arial" w:cs="Arial"/>
                <w:color w:val="000000"/>
                <w:sz w:val="17"/>
                <w:szCs w:val="17"/>
              </w:rPr>
              <w:t>183 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AB9"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ABA" w14:textId="77777777" w:rsidR="00066C63" w:rsidRDefault="009656F6">
            <w:pPr>
              <w:jc w:val="right"/>
              <w:textAlignment w:val="bottom"/>
            </w:pPr>
            <w:r>
              <w:rPr>
                <w:rFonts w:ascii="Arial" w:eastAsia="宋体" w:hAnsi="Arial" w:cs="Arial"/>
                <w:color w:val="000000"/>
                <w:sz w:val="17"/>
                <w:szCs w:val="17"/>
              </w:rPr>
              <w:t>-26 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ABB" w14:textId="77777777" w:rsidR="00066C63" w:rsidRDefault="009656F6">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ABC" w14:textId="77777777" w:rsidR="00066C63" w:rsidRDefault="009656F6">
            <w:pPr>
              <w:jc w:val="right"/>
              <w:textAlignment w:val="bottom"/>
            </w:pPr>
            <w:r>
              <w:rPr>
                <w:rFonts w:ascii="Arial" w:eastAsia="宋体" w:hAnsi="Arial" w:cs="Arial"/>
                <w:color w:val="000000"/>
                <w:sz w:val="17"/>
                <w:szCs w:val="17"/>
              </w:rPr>
              <w:t>-23 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ABD" w14:textId="77777777" w:rsidR="00066C63" w:rsidRDefault="009656F6">
            <w:pPr>
              <w:jc w:val="right"/>
              <w:textAlignment w:val="bottom"/>
            </w:pPr>
            <w:r>
              <w:rPr>
                <w:rFonts w:ascii="Arial" w:eastAsia="宋体" w:hAnsi="Arial" w:cs="Arial"/>
                <w:color w:val="000000"/>
                <w:sz w:val="17"/>
                <w:szCs w:val="17"/>
              </w:rPr>
              <w:t>%</w:t>
            </w:r>
          </w:p>
        </w:tc>
      </w:tr>
      <w:tr w:rsidR="00066C63" w14:paraId="669C7AD5"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ABF" w14:textId="77777777" w:rsidR="00066C63" w:rsidRDefault="009656F6">
            <w:pPr>
              <w:textAlignment w:val="bottom"/>
            </w:pPr>
            <w:r>
              <w:rPr>
                <w:rFonts w:ascii="Arial" w:eastAsia="宋体" w:hAnsi="Arial" w:cs="Arial"/>
                <w:b/>
                <w:bCs/>
                <w:color w:val="000000"/>
                <w:sz w:val="17"/>
                <w:szCs w:val="17"/>
              </w:rPr>
              <w:t>TOTAL 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669C7AC0"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669C7AC1" w14:textId="77777777" w:rsidR="00066C63" w:rsidRDefault="009656F6">
            <w:pPr>
              <w:jc w:val="right"/>
              <w:textAlignment w:val="bottom"/>
            </w:pPr>
            <w:r>
              <w:rPr>
                <w:rFonts w:ascii="Arial" w:eastAsia="宋体" w:hAnsi="Arial" w:cs="Arial"/>
                <w:b/>
                <w:bCs/>
                <w:color w:val="000000"/>
                <w:sz w:val="17"/>
                <w:szCs w:val="17"/>
              </w:rPr>
              <w:t>1,315</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7AC2" w14:textId="77777777" w:rsidR="00066C63" w:rsidRDefault="00066C63">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69C7AC3"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69C7AC4" w14:textId="77777777" w:rsidR="00066C63" w:rsidRDefault="009656F6">
            <w:pPr>
              <w:jc w:val="right"/>
              <w:textAlignment w:val="bottom"/>
            </w:pPr>
            <w:r>
              <w:rPr>
                <w:rFonts w:ascii="Arial" w:eastAsia="宋体" w:hAnsi="Arial" w:cs="Arial"/>
                <w:b/>
                <w:bCs/>
                <w:color w:val="000000"/>
                <w:sz w:val="17"/>
                <w:szCs w:val="17"/>
              </w:rPr>
              <w:t>1,414</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7AC5" w14:textId="77777777" w:rsidR="00066C63" w:rsidRDefault="00066C63">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7AC6" w14:textId="77777777" w:rsidR="00066C63" w:rsidRDefault="009656F6">
            <w:pPr>
              <w:jc w:val="right"/>
              <w:textAlignment w:val="bottom"/>
            </w:pPr>
            <w:r>
              <w:rPr>
                <w:rFonts w:ascii="Arial" w:eastAsia="宋体" w:hAnsi="Arial" w:cs="Arial"/>
                <w:b/>
                <w:bCs/>
                <w:color w:val="000000"/>
                <w:sz w:val="17"/>
                <w:szCs w:val="17"/>
              </w:rPr>
              <w:t>-7</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7AC7" w14:textId="77777777" w:rsidR="00066C63" w:rsidRDefault="009656F6">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7AC8" w14:textId="77777777" w:rsidR="00066C63" w:rsidRDefault="009656F6">
            <w:pPr>
              <w:jc w:val="right"/>
              <w:textAlignment w:val="bottom"/>
            </w:pPr>
            <w:r>
              <w:rPr>
                <w:rFonts w:ascii="Arial" w:eastAsia="宋体" w:hAnsi="Arial" w:cs="Arial"/>
                <w:b/>
                <w:bCs/>
                <w:color w:val="000000"/>
                <w:sz w:val="17"/>
                <w:szCs w:val="17"/>
              </w:rPr>
              <w:t>-8</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7AC9" w14:textId="77777777" w:rsidR="00066C63" w:rsidRDefault="009656F6">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tcPr>
          <w:p w14:paraId="669C7ACA" w14:textId="77777777" w:rsidR="00066C63" w:rsidRDefault="00066C63">
            <w:pPr>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669C7ACB"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669C7ACC" w14:textId="77777777" w:rsidR="00066C63" w:rsidRDefault="009656F6">
            <w:pPr>
              <w:jc w:val="right"/>
              <w:textAlignment w:val="bottom"/>
            </w:pPr>
            <w:r>
              <w:rPr>
                <w:rFonts w:ascii="Arial" w:eastAsia="宋体" w:hAnsi="Arial" w:cs="Arial"/>
                <w:b/>
                <w:bCs/>
                <w:color w:val="000000"/>
                <w:sz w:val="17"/>
                <w:szCs w:val="17"/>
              </w:rPr>
              <w:t>3,885</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7ACD" w14:textId="77777777" w:rsidR="00066C63" w:rsidRDefault="00066C63">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69C7ACE"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69C7ACF" w14:textId="77777777" w:rsidR="00066C63" w:rsidRDefault="009656F6">
            <w:pPr>
              <w:jc w:val="right"/>
              <w:textAlignment w:val="bottom"/>
            </w:pPr>
            <w:r>
              <w:rPr>
                <w:rFonts w:ascii="Arial" w:eastAsia="宋体" w:hAnsi="Arial" w:cs="Arial"/>
                <w:b/>
                <w:bCs/>
                <w:color w:val="000000"/>
                <w:sz w:val="17"/>
                <w:szCs w:val="17"/>
              </w:rPr>
              <w:t>4,227</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7AD0" w14:textId="77777777" w:rsidR="00066C63" w:rsidRDefault="00066C63">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7AD1" w14:textId="77777777" w:rsidR="00066C63" w:rsidRDefault="009656F6">
            <w:pPr>
              <w:jc w:val="right"/>
              <w:textAlignment w:val="bottom"/>
            </w:pPr>
            <w:r>
              <w:rPr>
                <w:rFonts w:ascii="Arial" w:eastAsia="宋体" w:hAnsi="Arial" w:cs="Arial"/>
                <w:b/>
                <w:bCs/>
                <w:color w:val="000000"/>
                <w:sz w:val="17"/>
                <w:szCs w:val="17"/>
              </w:rPr>
              <w:t>-8</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7AD2" w14:textId="77777777" w:rsidR="00066C63" w:rsidRDefault="009656F6">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7AD3" w14:textId="77777777" w:rsidR="00066C63" w:rsidRDefault="009656F6">
            <w:pPr>
              <w:jc w:val="right"/>
              <w:textAlignment w:val="bottom"/>
            </w:pPr>
            <w:r>
              <w:rPr>
                <w:rFonts w:ascii="Arial" w:eastAsia="宋体" w:hAnsi="Arial" w:cs="Arial"/>
                <w:b/>
                <w:bCs/>
                <w:color w:val="000000"/>
                <w:sz w:val="17"/>
                <w:szCs w:val="17"/>
              </w:rPr>
              <w:t>-5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7AD4" w14:textId="77777777" w:rsidR="00066C63" w:rsidRDefault="009656F6">
            <w:pPr>
              <w:jc w:val="right"/>
              <w:textAlignment w:val="bottom"/>
            </w:pPr>
            <w:r>
              <w:rPr>
                <w:rFonts w:ascii="Arial" w:eastAsia="宋体" w:hAnsi="Arial" w:cs="Arial"/>
                <w:b/>
                <w:bCs/>
                <w:color w:val="000000"/>
                <w:sz w:val="17"/>
                <w:szCs w:val="17"/>
              </w:rPr>
              <w:t>%</w:t>
            </w:r>
          </w:p>
        </w:tc>
      </w:tr>
      <w:tr w:rsidR="00066C63" w14:paraId="669C7AE0"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AD6" w14:textId="77777777" w:rsidR="00066C63" w:rsidRDefault="009656F6">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FFF1E7"/>
            <w:tcMar>
              <w:top w:w="0" w:type="dxa"/>
              <w:left w:w="20" w:type="dxa"/>
              <w:bottom w:w="0" w:type="dxa"/>
              <w:right w:w="20" w:type="dxa"/>
            </w:tcMar>
          </w:tcPr>
          <w:p w14:paraId="669C7AD7"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7AD8"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7AD9"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7ADA"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7ADB" w14:textId="77777777" w:rsidR="00066C63" w:rsidRDefault="00066C63">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669C7ADC"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7ADD"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7ADE"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7ADF" w14:textId="77777777" w:rsidR="00066C63" w:rsidRDefault="00066C63">
            <w:pPr>
              <w:rPr>
                <w:rFonts w:ascii="宋体"/>
              </w:rPr>
            </w:pPr>
          </w:p>
        </w:tc>
      </w:tr>
      <w:tr w:rsidR="00066C63" w14:paraId="669C7AF7"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7AE1" w14:textId="77777777" w:rsidR="00066C63" w:rsidRDefault="009656F6">
            <w:pPr>
              <w:textAlignment w:val="bottom"/>
            </w:pPr>
            <w:r>
              <w:rPr>
                <w:rFonts w:ascii="Arial" w:eastAsia="宋体" w:hAnsi="Arial" w:cs="Arial"/>
                <w:color w:val="000000"/>
                <w:sz w:val="17"/>
                <w:szCs w:val="17"/>
              </w:rPr>
              <w:t>Sales to Wholesale Customers</w:t>
            </w:r>
          </w:p>
        </w:tc>
        <w:tc>
          <w:tcPr>
            <w:tcW w:w="0" w:type="auto"/>
            <w:tcBorders>
              <w:top w:val="single" w:sz="8" w:space="0" w:color="808080"/>
            </w:tcBorders>
            <w:shd w:val="clear" w:color="auto" w:fill="FFF1E7"/>
            <w:tcMar>
              <w:top w:w="40" w:type="dxa"/>
              <w:left w:w="20" w:type="dxa"/>
              <w:bottom w:w="40" w:type="dxa"/>
              <w:right w:w="0" w:type="dxa"/>
            </w:tcMar>
            <w:vAlign w:val="bottom"/>
          </w:tcPr>
          <w:p w14:paraId="669C7AE2"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669C7AE3" w14:textId="77777777" w:rsidR="00066C63" w:rsidRDefault="009656F6">
            <w:pPr>
              <w:jc w:val="right"/>
              <w:textAlignment w:val="bottom"/>
            </w:pPr>
            <w:r>
              <w:rPr>
                <w:rFonts w:ascii="Arial" w:eastAsia="宋体" w:hAnsi="Arial" w:cs="Arial"/>
                <w:color w:val="000000"/>
                <w:sz w:val="17"/>
                <w:szCs w:val="17"/>
              </w:rPr>
              <w:t>846 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7AE4" w14:textId="77777777" w:rsidR="00066C63" w:rsidRDefault="00066C63">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669C7AE5"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669C7AE6" w14:textId="77777777" w:rsidR="00066C63" w:rsidRDefault="009656F6">
            <w:pPr>
              <w:jc w:val="right"/>
              <w:textAlignment w:val="bottom"/>
            </w:pPr>
            <w:r>
              <w:rPr>
                <w:rFonts w:ascii="Arial" w:eastAsia="宋体" w:hAnsi="Arial" w:cs="Arial"/>
                <w:color w:val="000000"/>
                <w:sz w:val="17"/>
                <w:szCs w:val="17"/>
              </w:rPr>
              <w:t>953 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AE7"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AE8" w14:textId="77777777" w:rsidR="00066C63" w:rsidRDefault="009656F6">
            <w:pPr>
              <w:jc w:val="right"/>
              <w:textAlignment w:val="bottom"/>
            </w:pPr>
            <w:r>
              <w:rPr>
                <w:rFonts w:ascii="Arial" w:eastAsia="宋体" w:hAnsi="Arial" w:cs="Arial"/>
                <w:color w:val="000000"/>
                <w:sz w:val="17"/>
                <w:szCs w:val="17"/>
              </w:rPr>
              <w:t>-11 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AE9" w14:textId="77777777" w:rsidR="00066C63" w:rsidRDefault="009656F6">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AEA" w14:textId="77777777" w:rsidR="00066C63" w:rsidRDefault="009656F6">
            <w:pPr>
              <w:jc w:val="right"/>
              <w:textAlignment w:val="bottom"/>
            </w:pPr>
            <w:r>
              <w:rPr>
                <w:rFonts w:ascii="Arial" w:eastAsia="宋体" w:hAnsi="Arial" w:cs="Arial"/>
                <w:color w:val="000000"/>
                <w:sz w:val="17"/>
                <w:szCs w:val="17"/>
              </w:rPr>
              <w:t>-12 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AEB" w14:textId="77777777" w:rsidR="00066C63" w:rsidRDefault="009656F6">
            <w:pPr>
              <w:jc w:val="right"/>
              <w:textAlignment w:val="bottom"/>
            </w:pPr>
            <w:r>
              <w:rPr>
                <w:rFonts w:ascii="Arial" w:eastAsia="宋体" w:hAnsi="Arial" w:cs="Arial"/>
                <w:color w:val="000000"/>
                <w:sz w:val="17"/>
                <w:szCs w:val="17"/>
              </w:rPr>
              <w:t>%</w:t>
            </w:r>
          </w:p>
        </w:tc>
        <w:tc>
          <w:tcPr>
            <w:tcW w:w="0" w:type="auto"/>
            <w:gridSpan w:val="3"/>
            <w:tcBorders>
              <w:top w:val="single" w:sz="8" w:space="0" w:color="808080"/>
            </w:tcBorders>
            <w:shd w:val="clear" w:color="auto" w:fill="auto"/>
            <w:tcMar>
              <w:top w:w="0" w:type="dxa"/>
              <w:left w:w="20" w:type="dxa"/>
              <w:bottom w:w="0" w:type="dxa"/>
              <w:right w:w="20" w:type="dxa"/>
            </w:tcMar>
          </w:tcPr>
          <w:p w14:paraId="669C7AEC" w14:textId="77777777" w:rsidR="00066C63" w:rsidRDefault="00066C63">
            <w:pPr>
              <w:rPr>
                <w:rFonts w:ascii="宋体"/>
              </w:rPr>
            </w:pPr>
          </w:p>
        </w:tc>
        <w:tc>
          <w:tcPr>
            <w:tcW w:w="0" w:type="auto"/>
            <w:tcBorders>
              <w:top w:val="single" w:sz="8" w:space="0" w:color="808080"/>
            </w:tcBorders>
            <w:shd w:val="clear" w:color="auto" w:fill="FFF1E7"/>
            <w:tcMar>
              <w:top w:w="40" w:type="dxa"/>
              <w:left w:w="20" w:type="dxa"/>
              <w:bottom w:w="40" w:type="dxa"/>
              <w:right w:w="0" w:type="dxa"/>
            </w:tcMar>
            <w:vAlign w:val="bottom"/>
          </w:tcPr>
          <w:p w14:paraId="669C7AED"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669C7AEE" w14:textId="77777777" w:rsidR="00066C63" w:rsidRDefault="009656F6">
            <w:pPr>
              <w:jc w:val="right"/>
              <w:textAlignment w:val="bottom"/>
            </w:pPr>
            <w:r>
              <w:rPr>
                <w:rFonts w:ascii="Arial" w:eastAsia="宋体" w:hAnsi="Arial" w:cs="Arial"/>
                <w:color w:val="000000"/>
                <w:sz w:val="17"/>
                <w:szCs w:val="17"/>
              </w:rPr>
              <w:t>2,479 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7AEF" w14:textId="77777777" w:rsidR="00066C63" w:rsidRDefault="00066C63">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669C7AF0"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669C7AF1" w14:textId="77777777" w:rsidR="00066C63" w:rsidRDefault="009656F6">
            <w:pPr>
              <w:jc w:val="right"/>
              <w:textAlignment w:val="bottom"/>
            </w:pPr>
            <w:r>
              <w:rPr>
                <w:rFonts w:ascii="Arial" w:eastAsia="宋体" w:hAnsi="Arial" w:cs="Arial"/>
                <w:color w:val="000000"/>
                <w:sz w:val="17"/>
                <w:szCs w:val="17"/>
              </w:rPr>
              <w:t>2,925 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AF2"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AF3" w14:textId="77777777" w:rsidR="00066C63" w:rsidRDefault="009656F6">
            <w:pPr>
              <w:jc w:val="right"/>
              <w:textAlignment w:val="bottom"/>
            </w:pPr>
            <w:r>
              <w:rPr>
                <w:rFonts w:ascii="Arial" w:eastAsia="宋体" w:hAnsi="Arial" w:cs="Arial"/>
                <w:color w:val="000000"/>
                <w:sz w:val="17"/>
                <w:szCs w:val="17"/>
              </w:rPr>
              <w:t>-15 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AF4" w14:textId="77777777" w:rsidR="00066C63" w:rsidRDefault="009656F6">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AF5" w14:textId="77777777" w:rsidR="00066C63" w:rsidRDefault="009656F6">
            <w:pPr>
              <w:jc w:val="right"/>
              <w:textAlignment w:val="bottom"/>
            </w:pPr>
            <w:r>
              <w:rPr>
                <w:rFonts w:ascii="Arial" w:eastAsia="宋体" w:hAnsi="Arial" w:cs="Arial"/>
                <w:color w:val="000000"/>
                <w:sz w:val="17"/>
                <w:szCs w:val="17"/>
              </w:rPr>
              <w:t>-12 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AF6" w14:textId="77777777" w:rsidR="00066C63" w:rsidRDefault="009656F6">
            <w:pPr>
              <w:jc w:val="right"/>
              <w:textAlignment w:val="bottom"/>
            </w:pPr>
            <w:r>
              <w:rPr>
                <w:rFonts w:ascii="Arial" w:eastAsia="宋体" w:hAnsi="Arial" w:cs="Arial"/>
                <w:color w:val="000000"/>
                <w:sz w:val="17"/>
                <w:szCs w:val="17"/>
              </w:rPr>
              <w:t>%</w:t>
            </w:r>
          </w:p>
        </w:tc>
      </w:tr>
      <w:tr w:rsidR="00066C63" w14:paraId="669C7B0A"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7AF8" w14:textId="77777777" w:rsidR="00066C63" w:rsidRDefault="009656F6">
            <w:pPr>
              <w:textAlignment w:val="bottom"/>
            </w:pPr>
            <w:r>
              <w:rPr>
                <w:rFonts w:ascii="Arial" w:eastAsia="宋体" w:hAnsi="Arial" w:cs="Arial"/>
                <w:color w:val="000000"/>
                <w:sz w:val="17"/>
                <w:szCs w:val="17"/>
              </w:rPr>
              <w:t xml:space="preserve">Sales through </w:t>
            </w:r>
            <w:r>
              <w:rPr>
                <w:rFonts w:ascii="Arial" w:eastAsia="宋体" w:hAnsi="Arial" w:cs="Arial"/>
                <w:color w:val="000000"/>
                <w:sz w:val="17"/>
                <w:szCs w:val="17"/>
              </w:rPr>
              <w:t>NIKE Direct</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7AF9" w14:textId="77777777" w:rsidR="00066C63" w:rsidRDefault="009656F6">
            <w:pPr>
              <w:jc w:val="right"/>
              <w:textAlignment w:val="bottom"/>
            </w:pPr>
            <w:r>
              <w:rPr>
                <w:rFonts w:ascii="Arial" w:eastAsia="宋体" w:hAnsi="Arial" w:cs="Arial"/>
                <w:color w:val="000000"/>
                <w:sz w:val="17"/>
                <w:szCs w:val="17"/>
              </w:rPr>
              <w:t>469 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7AFA"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AFB" w14:textId="77777777" w:rsidR="00066C63" w:rsidRDefault="009656F6">
            <w:pPr>
              <w:jc w:val="right"/>
              <w:textAlignment w:val="bottom"/>
            </w:pPr>
            <w:r>
              <w:rPr>
                <w:rFonts w:ascii="Arial" w:eastAsia="宋体" w:hAnsi="Arial" w:cs="Arial"/>
                <w:color w:val="000000"/>
                <w:sz w:val="17"/>
                <w:szCs w:val="17"/>
              </w:rPr>
              <w:t>461 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AFC"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AFD" w14:textId="77777777" w:rsidR="00066C63" w:rsidRDefault="009656F6">
            <w:pPr>
              <w:jc w:val="right"/>
              <w:textAlignment w:val="bottom"/>
            </w:pPr>
            <w:r>
              <w:rPr>
                <w:rFonts w:ascii="Arial" w:eastAsia="宋体" w:hAnsi="Arial" w:cs="Arial"/>
                <w:color w:val="000000"/>
                <w:sz w:val="17"/>
                <w:szCs w:val="17"/>
              </w:rPr>
              <w:t>2 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AFE" w14:textId="77777777" w:rsidR="00066C63" w:rsidRDefault="009656F6">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AFF" w14:textId="77777777" w:rsidR="00066C63" w:rsidRDefault="009656F6">
            <w:pPr>
              <w:jc w:val="right"/>
              <w:textAlignment w:val="bottom"/>
            </w:pPr>
            <w:r>
              <w:rPr>
                <w:rFonts w:ascii="Arial" w:eastAsia="宋体" w:hAnsi="Arial" w:cs="Arial"/>
                <w:color w:val="000000"/>
                <w:sz w:val="17"/>
                <w:szCs w:val="17"/>
              </w:rPr>
              <w:t>0 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B00" w14:textId="77777777" w:rsidR="00066C63" w:rsidRDefault="009656F6">
            <w:pPr>
              <w:jc w:val="right"/>
              <w:textAlignment w:val="bottom"/>
            </w:pPr>
            <w:r>
              <w:rPr>
                <w:rFonts w:ascii="Arial" w:eastAsia="宋体" w:hAnsi="Arial" w:cs="Arial"/>
                <w:color w:val="000000"/>
                <w:sz w:val="17"/>
                <w:szCs w:val="17"/>
              </w:rPr>
              <w:t>%</w:t>
            </w:r>
          </w:p>
        </w:tc>
        <w:tc>
          <w:tcPr>
            <w:tcW w:w="0" w:type="auto"/>
            <w:gridSpan w:val="3"/>
            <w:tcBorders>
              <w:top w:val="single" w:sz="8" w:space="0" w:color="808080"/>
            </w:tcBorders>
            <w:shd w:val="clear" w:color="auto" w:fill="auto"/>
            <w:tcMar>
              <w:top w:w="0" w:type="dxa"/>
              <w:left w:w="20" w:type="dxa"/>
              <w:bottom w:w="0" w:type="dxa"/>
              <w:right w:w="20" w:type="dxa"/>
            </w:tcMar>
          </w:tcPr>
          <w:p w14:paraId="669C7B01" w14:textId="77777777" w:rsidR="00066C63" w:rsidRDefault="00066C63">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7B02" w14:textId="77777777" w:rsidR="00066C63" w:rsidRDefault="009656F6">
            <w:pPr>
              <w:jc w:val="right"/>
              <w:textAlignment w:val="bottom"/>
            </w:pPr>
            <w:r>
              <w:rPr>
                <w:rFonts w:ascii="Arial" w:eastAsia="宋体" w:hAnsi="Arial" w:cs="Arial"/>
                <w:color w:val="000000"/>
                <w:sz w:val="17"/>
                <w:szCs w:val="17"/>
              </w:rPr>
              <w:t>1,406 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7B03"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B04" w14:textId="77777777" w:rsidR="00066C63" w:rsidRDefault="009656F6">
            <w:pPr>
              <w:jc w:val="right"/>
              <w:textAlignment w:val="bottom"/>
            </w:pPr>
            <w:r>
              <w:rPr>
                <w:rFonts w:ascii="Arial" w:eastAsia="宋体" w:hAnsi="Arial" w:cs="Arial"/>
                <w:color w:val="000000"/>
                <w:sz w:val="17"/>
                <w:szCs w:val="17"/>
              </w:rPr>
              <w:t>1,302 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B05"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B06" w14:textId="77777777" w:rsidR="00066C63" w:rsidRDefault="009656F6">
            <w:pPr>
              <w:jc w:val="right"/>
              <w:textAlignment w:val="bottom"/>
            </w:pPr>
            <w:r>
              <w:rPr>
                <w:rFonts w:ascii="Arial" w:eastAsia="宋体" w:hAnsi="Arial" w:cs="Arial"/>
                <w:color w:val="000000"/>
                <w:sz w:val="17"/>
                <w:szCs w:val="17"/>
              </w:rPr>
              <w:t>8 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B07" w14:textId="77777777" w:rsidR="00066C63" w:rsidRDefault="009656F6">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B08" w14:textId="77777777" w:rsidR="00066C63" w:rsidRDefault="009656F6">
            <w:pPr>
              <w:jc w:val="right"/>
              <w:textAlignment w:val="bottom"/>
            </w:pPr>
            <w:r>
              <w:rPr>
                <w:rFonts w:ascii="Arial" w:eastAsia="宋体" w:hAnsi="Arial" w:cs="Arial"/>
                <w:color w:val="000000"/>
                <w:sz w:val="17"/>
                <w:szCs w:val="17"/>
              </w:rPr>
              <w:t>11 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B09" w14:textId="77777777" w:rsidR="00066C63" w:rsidRDefault="009656F6">
            <w:pPr>
              <w:jc w:val="right"/>
              <w:textAlignment w:val="bottom"/>
            </w:pPr>
            <w:r>
              <w:rPr>
                <w:rFonts w:ascii="Arial" w:eastAsia="宋体" w:hAnsi="Arial" w:cs="Arial"/>
                <w:color w:val="000000"/>
                <w:sz w:val="17"/>
                <w:szCs w:val="17"/>
              </w:rPr>
              <w:t>%</w:t>
            </w:r>
          </w:p>
        </w:tc>
      </w:tr>
      <w:tr w:rsidR="00066C63" w14:paraId="669C7B21"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B0B" w14:textId="77777777" w:rsidR="00066C63" w:rsidRDefault="009656F6">
            <w:pPr>
              <w:textAlignment w:val="bottom"/>
            </w:pPr>
            <w:r>
              <w:rPr>
                <w:rFonts w:ascii="Arial" w:eastAsia="宋体" w:hAnsi="Arial" w:cs="Arial"/>
                <w:b/>
                <w:bCs/>
                <w:color w:val="000000"/>
                <w:sz w:val="17"/>
                <w:szCs w:val="17"/>
              </w:rPr>
              <w:t>TOTAL 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669C7B0C"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669C7B0D" w14:textId="77777777" w:rsidR="00066C63" w:rsidRDefault="009656F6">
            <w:pPr>
              <w:jc w:val="right"/>
              <w:textAlignment w:val="bottom"/>
            </w:pPr>
            <w:r>
              <w:rPr>
                <w:rFonts w:ascii="Arial" w:eastAsia="宋体" w:hAnsi="Arial" w:cs="Arial"/>
                <w:b/>
                <w:bCs/>
                <w:color w:val="000000"/>
                <w:sz w:val="17"/>
                <w:szCs w:val="17"/>
              </w:rPr>
              <w:t>1,315</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7B0E" w14:textId="77777777" w:rsidR="00066C63" w:rsidRDefault="00066C63">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69C7B0F"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69C7B10" w14:textId="77777777" w:rsidR="00066C63" w:rsidRDefault="009656F6">
            <w:pPr>
              <w:jc w:val="right"/>
              <w:textAlignment w:val="bottom"/>
            </w:pPr>
            <w:r>
              <w:rPr>
                <w:rFonts w:ascii="Arial" w:eastAsia="宋体" w:hAnsi="Arial" w:cs="Arial"/>
                <w:b/>
                <w:bCs/>
                <w:color w:val="000000"/>
                <w:sz w:val="17"/>
                <w:szCs w:val="17"/>
              </w:rPr>
              <w:t>1,414</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7B11" w14:textId="77777777" w:rsidR="00066C63" w:rsidRDefault="00066C63">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7B12" w14:textId="77777777" w:rsidR="00066C63" w:rsidRDefault="009656F6">
            <w:pPr>
              <w:jc w:val="right"/>
              <w:textAlignment w:val="bottom"/>
            </w:pPr>
            <w:r>
              <w:rPr>
                <w:rFonts w:ascii="Arial" w:eastAsia="宋体" w:hAnsi="Arial" w:cs="Arial"/>
                <w:b/>
                <w:bCs/>
                <w:color w:val="000000"/>
                <w:sz w:val="17"/>
                <w:szCs w:val="17"/>
              </w:rPr>
              <w:t>-7</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7B13" w14:textId="77777777" w:rsidR="00066C63" w:rsidRDefault="009656F6">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7B14" w14:textId="77777777" w:rsidR="00066C63" w:rsidRDefault="009656F6">
            <w:pPr>
              <w:jc w:val="right"/>
              <w:textAlignment w:val="bottom"/>
            </w:pPr>
            <w:r>
              <w:rPr>
                <w:rFonts w:ascii="Arial" w:eastAsia="宋体" w:hAnsi="Arial" w:cs="Arial"/>
                <w:b/>
                <w:bCs/>
                <w:color w:val="000000"/>
                <w:sz w:val="17"/>
                <w:szCs w:val="17"/>
              </w:rPr>
              <w:t>-8</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7B15" w14:textId="77777777" w:rsidR="00066C63" w:rsidRDefault="009656F6">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tcPr>
          <w:p w14:paraId="669C7B16" w14:textId="77777777" w:rsidR="00066C63" w:rsidRDefault="00066C63">
            <w:pPr>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669C7B17"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669C7B18" w14:textId="77777777" w:rsidR="00066C63" w:rsidRDefault="009656F6">
            <w:pPr>
              <w:jc w:val="right"/>
              <w:textAlignment w:val="bottom"/>
            </w:pPr>
            <w:r>
              <w:rPr>
                <w:rFonts w:ascii="Arial" w:eastAsia="宋体" w:hAnsi="Arial" w:cs="Arial"/>
                <w:b/>
                <w:bCs/>
                <w:color w:val="000000"/>
                <w:sz w:val="17"/>
                <w:szCs w:val="17"/>
              </w:rPr>
              <w:t>3,885</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7B19" w14:textId="77777777" w:rsidR="00066C63" w:rsidRDefault="00066C63">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69C7B1A"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69C7B1B" w14:textId="77777777" w:rsidR="00066C63" w:rsidRDefault="009656F6">
            <w:pPr>
              <w:jc w:val="right"/>
              <w:textAlignment w:val="bottom"/>
            </w:pPr>
            <w:r>
              <w:rPr>
                <w:rFonts w:ascii="Arial" w:eastAsia="宋体" w:hAnsi="Arial" w:cs="Arial"/>
                <w:b/>
                <w:bCs/>
                <w:color w:val="000000"/>
                <w:sz w:val="17"/>
                <w:szCs w:val="17"/>
              </w:rPr>
              <w:t>4,227</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7B1C" w14:textId="77777777" w:rsidR="00066C63" w:rsidRDefault="00066C63">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7B1D" w14:textId="77777777" w:rsidR="00066C63" w:rsidRDefault="009656F6">
            <w:pPr>
              <w:jc w:val="right"/>
              <w:textAlignment w:val="bottom"/>
            </w:pPr>
            <w:r>
              <w:rPr>
                <w:rFonts w:ascii="Arial" w:eastAsia="宋体" w:hAnsi="Arial" w:cs="Arial"/>
                <w:b/>
                <w:bCs/>
                <w:color w:val="000000"/>
                <w:sz w:val="17"/>
                <w:szCs w:val="17"/>
              </w:rPr>
              <w:t>-8</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7B1E" w14:textId="77777777" w:rsidR="00066C63" w:rsidRDefault="009656F6">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7B1F" w14:textId="77777777" w:rsidR="00066C63" w:rsidRDefault="009656F6">
            <w:pPr>
              <w:jc w:val="right"/>
              <w:textAlignment w:val="bottom"/>
            </w:pPr>
            <w:r>
              <w:rPr>
                <w:rFonts w:ascii="Arial" w:eastAsia="宋体" w:hAnsi="Arial" w:cs="Arial"/>
                <w:b/>
                <w:bCs/>
                <w:color w:val="000000"/>
                <w:sz w:val="17"/>
                <w:szCs w:val="17"/>
              </w:rPr>
              <w:t>-5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7B20" w14:textId="77777777" w:rsidR="00066C63" w:rsidRDefault="009656F6">
            <w:pPr>
              <w:jc w:val="right"/>
              <w:textAlignment w:val="bottom"/>
            </w:pPr>
            <w:r>
              <w:rPr>
                <w:rFonts w:ascii="Arial" w:eastAsia="宋体" w:hAnsi="Arial" w:cs="Arial"/>
                <w:b/>
                <w:bCs/>
                <w:color w:val="000000"/>
                <w:sz w:val="17"/>
                <w:szCs w:val="17"/>
              </w:rPr>
              <w:t>%</w:t>
            </w:r>
          </w:p>
        </w:tc>
      </w:tr>
      <w:tr w:rsidR="00066C63" w14:paraId="669C7B36"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669C7B22" w14:textId="77777777" w:rsidR="00066C63" w:rsidRDefault="009656F6">
            <w:pPr>
              <w:textAlignment w:val="bottom"/>
            </w:pPr>
            <w:r>
              <w:rPr>
                <w:rFonts w:ascii="Arial" w:eastAsia="宋体" w:hAnsi="Arial" w:cs="Arial"/>
                <w:b/>
                <w:bCs/>
                <w:color w:val="000000"/>
                <w:sz w:val="17"/>
                <w:szCs w:val="17"/>
              </w:rPr>
              <w:t>EARNINGS BEFORE</w:t>
            </w:r>
            <w:r>
              <w:rPr>
                <w:rFonts w:ascii="Arial" w:eastAsia="宋体" w:hAnsi="Arial" w:cs="Arial"/>
                <w:b/>
                <w:bCs/>
                <w:color w:val="000000"/>
                <w:sz w:val="17"/>
                <w:szCs w:val="17"/>
              </w:rPr>
              <w:br/>
              <w:t>INT</w:t>
            </w:r>
            <w:r>
              <w:rPr>
                <w:rFonts w:ascii="Arial" w:eastAsia="宋体" w:hAnsi="Arial" w:cs="Arial"/>
                <w:b/>
                <w:bCs/>
                <w:color w:val="000000"/>
                <w:sz w:val="17"/>
                <w:szCs w:val="17"/>
              </w:rPr>
              <w:t>EREST AND TAXES</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69C7B23"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669C7B24" w14:textId="77777777" w:rsidR="00066C63" w:rsidRDefault="009656F6">
            <w:pPr>
              <w:jc w:val="right"/>
              <w:textAlignment w:val="bottom"/>
            </w:pPr>
            <w:r>
              <w:rPr>
                <w:rFonts w:ascii="Arial" w:eastAsia="宋体" w:hAnsi="Arial" w:cs="Arial"/>
                <w:b/>
                <w:bCs/>
                <w:color w:val="000000"/>
                <w:sz w:val="17"/>
                <w:szCs w:val="17"/>
              </w:rPr>
              <w:t>408</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69C7B25" w14:textId="77777777" w:rsidR="00066C63" w:rsidRDefault="00066C63">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69C7B26"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69C7B27" w14:textId="77777777" w:rsidR="00066C63" w:rsidRDefault="009656F6">
            <w:pPr>
              <w:jc w:val="right"/>
              <w:textAlignment w:val="bottom"/>
            </w:pPr>
            <w:r>
              <w:rPr>
                <w:rFonts w:ascii="Arial" w:eastAsia="宋体" w:hAnsi="Arial" w:cs="Arial"/>
                <w:b/>
                <w:bCs/>
                <w:color w:val="000000"/>
                <w:sz w:val="17"/>
                <w:szCs w:val="17"/>
              </w:rPr>
              <w:t>387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69C7B28" w14:textId="77777777" w:rsidR="00066C63" w:rsidRDefault="00066C63">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669C7B29" w14:textId="77777777" w:rsidR="00066C63" w:rsidRDefault="009656F6">
            <w:pPr>
              <w:jc w:val="right"/>
              <w:textAlignment w:val="bottom"/>
            </w:pPr>
            <w:r>
              <w:rPr>
                <w:rFonts w:ascii="Arial" w:eastAsia="宋体" w:hAnsi="Arial" w:cs="Arial"/>
                <w:b/>
                <w:bCs/>
                <w:color w:val="000000"/>
                <w:sz w:val="17"/>
                <w:szCs w:val="17"/>
              </w:rPr>
              <w:t>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69C7B2A" w14:textId="77777777" w:rsidR="00066C63" w:rsidRDefault="009656F6">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tcPr>
          <w:p w14:paraId="669C7B2B" w14:textId="77777777" w:rsidR="00066C63" w:rsidRDefault="00066C63">
            <w:pPr>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tcPr>
          <w:p w14:paraId="669C7B2C" w14:textId="77777777" w:rsidR="00066C63" w:rsidRDefault="00066C63">
            <w:pPr>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69C7B2D"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669C7B2E" w14:textId="77777777" w:rsidR="00066C63" w:rsidRDefault="009656F6">
            <w:pPr>
              <w:jc w:val="right"/>
              <w:textAlignment w:val="bottom"/>
            </w:pPr>
            <w:r>
              <w:rPr>
                <w:rFonts w:ascii="Arial" w:eastAsia="宋体" w:hAnsi="Arial" w:cs="Arial"/>
                <w:b/>
                <w:bCs/>
                <w:color w:val="000000"/>
                <w:sz w:val="17"/>
                <w:szCs w:val="17"/>
              </w:rPr>
              <w:t>1,112</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69C7B2F" w14:textId="77777777" w:rsidR="00066C63" w:rsidRDefault="00066C63">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69C7B30"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69C7B31" w14:textId="77777777" w:rsidR="00066C63" w:rsidRDefault="009656F6">
            <w:pPr>
              <w:jc w:val="right"/>
              <w:textAlignment w:val="bottom"/>
            </w:pPr>
            <w:r>
              <w:rPr>
                <w:rFonts w:ascii="Arial" w:eastAsia="宋体" w:hAnsi="Arial" w:cs="Arial"/>
                <w:b/>
                <w:bCs/>
                <w:color w:val="000000"/>
                <w:sz w:val="17"/>
                <w:szCs w:val="17"/>
              </w:rPr>
              <w:t>1,105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69C7B32" w14:textId="77777777" w:rsidR="00066C63" w:rsidRDefault="00066C63">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669C7B33" w14:textId="77777777" w:rsidR="00066C63" w:rsidRDefault="009656F6">
            <w:pPr>
              <w:jc w:val="right"/>
              <w:textAlignment w:val="bottom"/>
            </w:pPr>
            <w:r>
              <w:rPr>
                <w:rFonts w:ascii="Arial" w:eastAsia="宋体" w:hAnsi="Arial" w:cs="Arial"/>
                <w:b/>
                <w:bCs/>
                <w:color w:val="000000"/>
                <w:sz w:val="17"/>
                <w:szCs w:val="17"/>
              </w:rPr>
              <w:t>1</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69C7B34" w14:textId="77777777" w:rsidR="00066C63" w:rsidRDefault="009656F6">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tcPr>
          <w:p w14:paraId="669C7B35" w14:textId="77777777" w:rsidR="00066C63" w:rsidRDefault="00066C63">
            <w:pPr>
              <w:rPr>
                <w:rFonts w:ascii="宋体"/>
              </w:rPr>
            </w:pPr>
          </w:p>
        </w:tc>
      </w:tr>
    </w:tbl>
    <w:p w14:paraId="669C7B37" w14:textId="77777777" w:rsidR="00066C63" w:rsidRDefault="009656F6">
      <w:pPr>
        <w:spacing w:before="120" w:after="120"/>
      </w:pPr>
      <w:r>
        <w:rPr>
          <w:rFonts w:ascii="Arial" w:eastAsia="宋体" w:hAnsi="Arial" w:cs="Arial"/>
          <w:color w:val="000000"/>
          <w:sz w:val="17"/>
          <w:szCs w:val="17"/>
        </w:rPr>
        <w:t>As discussed previously, our NIKE Brand business in Brazil transitioned to a dis</w:t>
      </w:r>
      <w:r>
        <w:rPr>
          <w:rFonts w:ascii="Arial" w:eastAsia="宋体" w:hAnsi="Arial" w:cs="Arial"/>
          <w:color w:val="000000"/>
          <w:sz w:val="17"/>
          <w:szCs w:val="17"/>
        </w:rPr>
        <w:t>tributor operating model during the third quarter of fiscal 2021 and our NIKE Brand businesses in Argentina, Chile and Uruguay have remained classified as held-for-sale. The impacts of closing the Brazil transaction as well as entering into agreements to t</w:t>
      </w:r>
      <w:r>
        <w:rPr>
          <w:rFonts w:ascii="Arial" w:eastAsia="宋体" w:hAnsi="Arial" w:cs="Arial"/>
          <w:color w:val="000000"/>
          <w:sz w:val="17"/>
          <w:szCs w:val="17"/>
        </w:rPr>
        <w:t xml:space="preserve">ransition these entities in the prior year are included within Corporate and are not reflected in the APLA operating segment results. For more information see Note 13 — Acquisitions and Divestitures within the accompanying Notes to the Unaudited Condensed </w:t>
      </w:r>
      <w:r>
        <w:rPr>
          <w:rFonts w:ascii="Arial" w:eastAsia="宋体" w:hAnsi="Arial" w:cs="Arial"/>
          <w:color w:val="000000"/>
          <w:sz w:val="17"/>
          <w:szCs w:val="17"/>
        </w:rPr>
        <w:t xml:space="preserve">Consolidated Financial Statements. </w:t>
      </w:r>
    </w:p>
    <w:p w14:paraId="669C7B38" w14:textId="77777777" w:rsidR="00066C63" w:rsidRDefault="009656F6">
      <w:pPr>
        <w:spacing w:before="120"/>
      </w:pPr>
      <w:r>
        <w:rPr>
          <w:rFonts w:ascii="sans-serif" w:eastAsia="sans-serif" w:hAnsi="sans-serif" w:cs="sans-serif"/>
          <w:b/>
          <w:bCs/>
          <w:color w:val="808080"/>
          <w:sz w:val="22"/>
          <w:szCs w:val="22"/>
        </w:rPr>
        <w:t>THIRD QUARTER OF FISCAL 2021 COMPARED TO THIRD QUARTER OF FISCAL 2020</w:t>
      </w:r>
    </w:p>
    <w:p w14:paraId="669C7B39" w14:textId="77777777" w:rsidR="00066C63" w:rsidRDefault="009656F6">
      <w:pPr>
        <w:spacing w:after="120"/>
      </w:pPr>
      <w:r>
        <w:rPr>
          <w:rFonts w:ascii="Arial" w:eastAsia="宋体" w:hAnsi="Arial" w:cs="Arial"/>
          <w:color w:val="000000"/>
          <w:sz w:val="17"/>
          <w:szCs w:val="17"/>
        </w:rPr>
        <w:t xml:space="preserve">On a currency-neutral basis, APLA revenues decreased 8% for the third quarter of fiscal 2021. The decrease was primarily due to the transition of our </w:t>
      </w:r>
      <w:r>
        <w:rPr>
          <w:rFonts w:ascii="Arial" w:eastAsia="宋体" w:hAnsi="Arial" w:cs="Arial"/>
          <w:color w:val="000000"/>
          <w:sz w:val="17"/>
          <w:szCs w:val="17"/>
        </w:rPr>
        <w:t xml:space="preserve">NIKE Brand business in Brazil to a third-party distributor operating model during the third quarter, which reduced APLA revenues by approximately 6 percentage points. Additionally, revenues decreased due to declines in nearly all key categories, primarily </w:t>
      </w:r>
      <w:r>
        <w:rPr>
          <w:rFonts w:ascii="Arial" w:eastAsia="宋体" w:hAnsi="Arial" w:cs="Arial"/>
          <w:color w:val="000000"/>
          <w:sz w:val="17"/>
          <w:szCs w:val="17"/>
        </w:rPr>
        <w:t xml:space="preserve">Running, Football (Soccer) and Sportswear. NIKE Direct revenues were flat, as strong digital sales growth of 66%, was offset by comparable store sales declines of 23% primarily due to </w:t>
      </w:r>
      <w:r>
        <w:rPr>
          <w:rFonts w:ascii="Arial" w:eastAsia="宋体" w:hAnsi="Arial" w:cs="Arial"/>
          <w:color w:val="212529"/>
          <w:sz w:val="17"/>
          <w:szCs w:val="17"/>
        </w:rPr>
        <w:t>reduced physical retail traffic, in part resulting from safety-related m</w:t>
      </w:r>
      <w:r>
        <w:rPr>
          <w:rFonts w:ascii="Arial" w:eastAsia="宋体" w:hAnsi="Arial" w:cs="Arial"/>
          <w:color w:val="212529"/>
          <w:sz w:val="17"/>
          <w:szCs w:val="17"/>
        </w:rPr>
        <w:t>easures in response to COVID-19</w:t>
      </w:r>
      <w:r>
        <w:rPr>
          <w:rFonts w:ascii="Arial" w:eastAsia="宋体" w:hAnsi="Arial" w:cs="Arial"/>
          <w:color w:val="000000"/>
          <w:sz w:val="17"/>
          <w:szCs w:val="17"/>
        </w:rPr>
        <w:t>.</w:t>
      </w:r>
    </w:p>
    <w:p w14:paraId="669C7B3A" w14:textId="77777777" w:rsidR="00066C63" w:rsidRDefault="009656F6">
      <w:pPr>
        <w:spacing w:before="120" w:after="120"/>
      </w:pPr>
      <w:r>
        <w:rPr>
          <w:rFonts w:ascii="Arial" w:eastAsia="宋体" w:hAnsi="Arial" w:cs="Arial"/>
          <w:color w:val="000000"/>
          <w:sz w:val="17"/>
          <w:szCs w:val="17"/>
        </w:rPr>
        <w:t xml:space="preserve">Currency-neutral footwear revenues decreased 7% for the third quarter of fiscal 2021 due to lower revenues in nearly all key categories, primarily Running, Football (Soccer) and Sportswear. Unit sales of footwear decreased </w:t>
      </w:r>
      <w:r>
        <w:rPr>
          <w:rFonts w:ascii="Arial" w:eastAsia="宋体" w:hAnsi="Arial" w:cs="Arial"/>
          <w:color w:val="000000"/>
          <w:sz w:val="17"/>
          <w:szCs w:val="17"/>
        </w:rPr>
        <w:t>23%, while higher ASP per pair contributed approximately 16 percentage points. Higher ASP per pair was driven by higher full-price and NIKE Direct ASPs, in part reflecting inflationary conditions in our SOCO territory.</w:t>
      </w:r>
    </w:p>
    <w:p w14:paraId="669C7B3B" w14:textId="77777777" w:rsidR="00066C63" w:rsidRDefault="009656F6">
      <w:pPr>
        <w:spacing w:before="120" w:after="120"/>
      </w:pPr>
      <w:r>
        <w:rPr>
          <w:rFonts w:ascii="Arial" w:eastAsia="宋体" w:hAnsi="Arial" w:cs="Arial"/>
          <w:color w:val="000000"/>
          <w:sz w:val="17"/>
          <w:szCs w:val="17"/>
        </w:rPr>
        <w:t xml:space="preserve">Currency-neutral apparel </w:t>
      </w:r>
      <w:r>
        <w:rPr>
          <w:rFonts w:ascii="Arial" w:eastAsia="宋体" w:hAnsi="Arial" w:cs="Arial"/>
          <w:color w:val="000000"/>
          <w:sz w:val="17"/>
          <w:szCs w:val="17"/>
        </w:rPr>
        <w:t>revenues decreased 8% for the third quarter of fiscal 2021 due to lower revenues in nearly all key categories, primarily Running and Training. Unit sales of apparel decreased 22%, and higher ASP per unit contributed approximately 14 percentage points, driv</w:t>
      </w:r>
      <w:r>
        <w:rPr>
          <w:rFonts w:ascii="Arial" w:eastAsia="宋体" w:hAnsi="Arial" w:cs="Arial"/>
          <w:color w:val="000000"/>
          <w:sz w:val="17"/>
          <w:szCs w:val="17"/>
        </w:rPr>
        <w:t>en by higher full-price ASP, in part reflecting inflationary conditions in our SOCO territory.</w:t>
      </w:r>
    </w:p>
    <w:p w14:paraId="669C7B3C" w14:textId="77777777" w:rsidR="00066C63" w:rsidRDefault="009656F6">
      <w:pPr>
        <w:spacing w:before="120" w:after="120"/>
      </w:pPr>
      <w:r>
        <w:rPr>
          <w:rFonts w:ascii="Arial" w:eastAsia="宋体" w:hAnsi="Arial" w:cs="Arial"/>
          <w:color w:val="000000"/>
          <w:sz w:val="17"/>
          <w:szCs w:val="17"/>
        </w:rPr>
        <w:t>Reported EBIT increased 5% for the third quarter of fiscal 2021 as lower selling and administrative expense and gross margin expansion more than offset lower rev</w:t>
      </w:r>
      <w:r>
        <w:rPr>
          <w:rFonts w:ascii="Arial" w:eastAsia="宋体" w:hAnsi="Arial" w:cs="Arial"/>
          <w:color w:val="000000"/>
          <w:sz w:val="17"/>
          <w:szCs w:val="17"/>
        </w:rPr>
        <w:t>enues. Gross margin increased approximately 180 basis points as higher full-price ASP, in part reflecting inflationary conditions in our SOCO territory, and higher off-price margin were partially offset by higher product costs and unfavorable changes in st</w:t>
      </w:r>
      <w:r>
        <w:rPr>
          <w:rFonts w:ascii="Arial" w:eastAsia="宋体" w:hAnsi="Arial" w:cs="Arial"/>
          <w:color w:val="000000"/>
          <w:sz w:val="17"/>
          <w:szCs w:val="17"/>
        </w:rPr>
        <w:t>andard foreign currency exchange rates. Selling and administrative expense decreased due to lower operating overhead expense and demand creation expense. Lower operating overhead expense was primarily due to lower wage-related expense, as well as lower tra</w:t>
      </w:r>
      <w:r>
        <w:rPr>
          <w:rFonts w:ascii="Arial" w:eastAsia="宋体" w:hAnsi="Arial" w:cs="Arial"/>
          <w:color w:val="000000"/>
          <w:sz w:val="17"/>
          <w:szCs w:val="17"/>
        </w:rPr>
        <w:t xml:space="preserve">vel and related costs. The decrease in demand creation expense was primarily due to lower advertising and marketing expense for brand events and our retail operations. </w:t>
      </w:r>
    </w:p>
    <w:p w14:paraId="669C7B3D" w14:textId="77777777" w:rsidR="00066C63" w:rsidRDefault="009656F6">
      <w:pPr>
        <w:spacing w:before="120" w:after="120"/>
        <w:jc w:val="right"/>
      </w:pPr>
      <w:r>
        <w:rPr>
          <w:rFonts w:ascii="Arial" w:eastAsia="宋体" w:hAnsi="Arial" w:cs="Arial"/>
          <w:color w:val="E87722"/>
          <w:sz w:val="17"/>
          <w:szCs w:val="17"/>
        </w:rPr>
        <w:t>37</w:t>
      </w:r>
    </w:p>
    <w:p w14:paraId="669C7B3E" w14:textId="77777777" w:rsidR="00066C63" w:rsidRDefault="009656F6">
      <w:r>
        <w:pict w14:anchorId="669C7E55">
          <v:rect id="_x0000_i1063" style="width:415.3pt;height:1.5pt" o:hralign="center" o:hrstd="t" o:hr="t" fillcolor="#a0a0a0" stroked="f"/>
        </w:pict>
      </w:r>
    </w:p>
    <w:p w14:paraId="669C7B3F" w14:textId="77777777" w:rsidR="00066C63" w:rsidRDefault="00066C63"/>
    <w:p w14:paraId="669C7B40" w14:textId="77777777" w:rsidR="00066C63" w:rsidRDefault="009656F6">
      <w:hyperlink r:id="rId108" w:anchor="i1e99cb26debe49fe8b698d0f0eb1273a_7" w:history="1">
        <w:r>
          <w:rPr>
            <w:rStyle w:val="a5"/>
            <w:rFonts w:ascii="sans-serif" w:eastAsia="sans-serif" w:hAnsi="sans-serif" w:cs="sans-serif"/>
            <w:sz w:val="17"/>
            <w:szCs w:val="17"/>
          </w:rPr>
          <w:t>Table of Contents</w:t>
        </w:r>
      </w:hyperlink>
    </w:p>
    <w:p w14:paraId="669C7B41" w14:textId="77777777" w:rsidR="00066C63" w:rsidRDefault="00066C63"/>
    <w:p w14:paraId="669C7B42" w14:textId="77777777" w:rsidR="00066C63" w:rsidRDefault="009656F6">
      <w:pPr>
        <w:spacing w:before="120"/>
      </w:pPr>
      <w:r>
        <w:rPr>
          <w:rFonts w:ascii="sans-serif" w:eastAsia="sans-serif" w:hAnsi="sans-serif" w:cs="sans-serif"/>
          <w:b/>
          <w:bCs/>
          <w:color w:val="808080"/>
          <w:sz w:val="22"/>
          <w:szCs w:val="22"/>
        </w:rPr>
        <w:t>FIRST NINE MONTHS OF FISCAL 2021 COMPARED TO FIRST NINE MONTHS OF FISCAL 2020</w:t>
      </w:r>
    </w:p>
    <w:p w14:paraId="669C7B43" w14:textId="77777777" w:rsidR="00066C63" w:rsidRDefault="009656F6">
      <w:pPr>
        <w:spacing w:after="120"/>
      </w:pPr>
      <w:r>
        <w:rPr>
          <w:rFonts w:ascii="Arial" w:eastAsia="宋体" w:hAnsi="Arial" w:cs="Arial"/>
          <w:color w:val="000000"/>
          <w:sz w:val="17"/>
          <w:szCs w:val="17"/>
        </w:rPr>
        <w:t>On a cu</w:t>
      </w:r>
      <w:r>
        <w:rPr>
          <w:rFonts w:ascii="Arial" w:eastAsia="宋体" w:hAnsi="Arial" w:cs="Arial"/>
          <w:color w:val="000000"/>
          <w:sz w:val="17"/>
          <w:szCs w:val="17"/>
        </w:rPr>
        <w:t>rrency-neutral basis, APLA revenues decreased 5% for the first nine months of fiscal 2021. The decline was due to lower revenues across most territories, led by a 56% decline in our Latin America third-party distributor business and a 15% decline in Mexico</w:t>
      </w:r>
      <w:r>
        <w:rPr>
          <w:rFonts w:ascii="Arial" w:eastAsia="宋体" w:hAnsi="Arial" w:cs="Arial"/>
          <w:color w:val="000000"/>
          <w:sz w:val="17"/>
          <w:szCs w:val="17"/>
        </w:rPr>
        <w:t>, partially offset by higher revenues in Korea, which increased 9%. The decrease was also due to the transition of our NIKE Brand business in Brazil to a third-party distributor operating model during the third quarter, which reduced APLA revenues by appro</w:t>
      </w:r>
      <w:r>
        <w:rPr>
          <w:rFonts w:ascii="Arial" w:eastAsia="宋体" w:hAnsi="Arial" w:cs="Arial"/>
          <w:color w:val="000000"/>
          <w:sz w:val="17"/>
          <w:szCs w:val="17"/>
        </w:rPr>
        <w:t>ximately 2 percentage points. Revenues decreased in nearly all key categories, led by Running and Football (Soccer). NIKE Direct revenues increased 11%, primarily fueled by strong digital sales growth of 82%, partially offset by comparable store sales decl</w:t>
      </w:r>
      <w:r>
        <w:rPr>
          <w:rFonts w:ascii="Arial" w:eastAsia="宋体" w:hAnsi="Arial" w:cs="Arial"/>
          <w:color w:val="000000"/>
          <w:sz w:val="17"/>
          <w:szCs w:val="17"/>
        </w:rPr>
        <w:t xml:space="preserve">ines of 18% largely due to </w:t>
      </w:r>
      <w:r>
        <w:rPr>
          <w:rFonts w:ascii="Arial" w:eastAsia="宋体" w:hAnsi="Arial" w:cs="Arial"/>
          <w:color w:val="212529"/>
          <w:sz w:val="17"/>
          <w:szCs w:val="17"/>
        </w:rPr>
        <w:t>reduced physical retail traffic, in part resulting from safety-related measures in response to COVID-19</w:t>
      </w:r>
      <w:r>
        <w:rPr>
          <w:rFonts w:ascii="Arial" w:eastAsia="宋体" w:hAnsi="Arial" w:cs="Arial"/>
          <w:color w:val="000000"/>
          <w:sz w:val="17"/>
          <w:szCs w:val="17"/>
        </w:rPr>
        <w:t>.</w:t>
      </w:r>
    </w:p>
    <w:p w14:paraId="669C7B44" w14:textId="77777777" w:rsidR="00066C63" w:rsidRDefault="009656F6">
      <w:pPr>
        <w:spacing w:before="120" w:after="120"/>
      </w:pPr>
      <w:r>
        <w:rPr>
          <w:rFonts w:ascii="Arial" w:eastAsia="宋体" w:hAnsi="Arial" w:cs="Arial"/>
          <w:color w:val="000000"/>
          <w:sz w:val="17"/>
          <w:szCs w:val="17"/>
        </w:rPr>
        <w:t>Currency-neutral footwear revenues decreased 5% for the first nine months of fiscal 2021 due to lower revenues in nearly all</w:t>
      </w:r>
      <w:r>
        <w:rPr>
          <w:rFonts w:ascii="Arial" w:eastAsia="宋体" w:hAnsi="Arial" w:cs="Arial"/>
          <w:color w:val="000000"/>
          <w:sz w:val="17"/>
          <w:szCs w:val="17"/>
        </w:rPr>
        <w:t xml:space="preserve"> key categories, primarily Running and Football (Soccer), partially offset by growth in the Jordan Brand. Unit sales of footwear decreased 17%, while higher ASP per pair contributed approximately 12 percentage points, driven by higher full-price ASP, in pa</w:t>
      </w:r>
      <w:r>
        <w:rPr>
          <w:rFonts w:ascii="Arial" w:eastAsia="宋体" w:hAnsi="Arial" w:cs="Arial"/>
          <w:color w:val="000000"/>
          <w:sz w:val="17"/>
          <w:szCs w:val="17"/>
        </w:rPr>
        <w:t>rt reflecting inflationary conditions in our SOCO territory, as well as the favorable impact of growth in our NIKE Direct business.</w:t>
      </w:r>
    </w:p>
    <w:p w14:paraId="669C7B45" w14:textId="77777777" w:rsidR="00066C63" w:rsidRDefault="009656F6">
      <w:pPr>
        <w:spacing w:before="120" w:after="120"/>
      </w:pPr>
      <w:r>
        <w:rPr>
          <w:rFonts w:ascii="Arial" w:eastAsia="宋体" w:hAnsi="Arial" w:cs="Arial"/>
          <w:color w:val="000000"/>
          <w:sz w:val="17"/>
          <w:szCs w:val="17"/>
        </w:rPr>
        <w:t>Currency-neutral apparel revenues decreased 2% for the first nine months of fiscal 2021 due to lower revenues in most key ca</w:t>
      </w:r>
      <w:r>
        <w:rPr>
          <w:rFonts w:ascii="Arial" w:eastAsia="宋体" w:hAnsi="Arial" w:cs="Arial"/>
          <w:color w:val="000000"/>
          <w:sz w:val="17"/>
          <w:szCs w:val="17"/>
        </w:rPr>
        <w:t>tegories, led by Running, which was partially offset by growth in Sportswear. Unit sales of apparel decreased 9%, while higher ASP per unit contributed approximately 7 percentage points. Higher ASP per unit was primarily driven by higher full-price ASP, in</w:t>
      </w:r>
      <w:r>
        <w:rPr>
          <w:rFonts w:ascii="Arial" w:eastAsia="宋体" w:hAnsi="Arial" w:cs="Arial"/>
          <w:color w:val="000000"/>
          <w:sz w:val="17"/>
          <w:szCs w:val="17"/>
        </w:rPr>
        <w:t xml:space="preserve"> part reflecting inflationary conditions in our SOCO territory.</w:t>
      </w:r>
    </w:p>
    <w:p w14:paraId="669C7B46" w14:textId="77777777" w:rsidR="00066C63" w:rsidRDefault="009656F6">
      <w:pPr>
        <w:spacing w:before="120" w:after="120"/>
      </w:pPr>
      <w:r>
        <w:rPr>
          <w:rFonts w:ascii="Arial" w:eastAsia="宋体" w:hAnsi="Arial" w:cs="Arial"/>
          <w:color w:val="000000"/>
          <w:sz w:val="17"/>
          <w:szCs w:val="17"/>
        </w:rPr>
        <w:t>Reported EBIT increased 1% for the first nine months of fiscal 2021 as lower selling and administrative expense and gross margin expansion more than offset lower revenues. Gross margin increas</w:t>
      </w:r>
      <w:r>
        <w:rPr>
          <w:rFonts w:ascii="Arial" w:eastAsia="宋体" w:hAnsi="Arial" w:cs="Arial"/>
          <w:color w:val="000000"/>
          <w:sz w:val="17"/>
          <w:szCs w:val="17"/>
        </w:rPr>
        <w:t>ed approximately 20 basis points as higher full-price ASP, net of discounts, in part reflecting inflationary conditions in our SOCO territory, was partially offset by higher product costs, unfavorable standard foreign currency exchange rates and lower marg</w:t>
      </w:r>
      <w:r>
        <w:rPr>
          <w:rFonts w:ascii="Arial" w:eastAsia="宋体" w:hAnsi="Arial" w:cs="Arial"/>
          <w:color w:val="000000"/>
          <w:sz w:val="17"/>
          <w:szCs w:val="17"/>
        </w:rPr>
        <w:t>in in our NIKE Direct business. Selling and administrative expense decreased due to lower demand creation and operating overhead expense. The decrease in demand creation expense was primarily due to lower advertising and marketing expense, as well as a dec</w:t>
      </w:r>
      <w:r>
        <w:rPr>
          <w:rFonts w:ascii="Arial" w:eastAsia="宋体" w:hAnsi="Arial" w:cs="Arial"/>
          <w:color w:val="000000"/>
          <w:sz w:val="17"/>
          <w:szCs w:val="17"/>
        </w:rPr>
        <w:t>line in sports marketing costs. Lower operating overhead expense was primarily due to lower travel and related costs, as well as lower wage-related expenses.</w:t>
      </w:r>
    </w:p>
    <w:p w14:paraId="669C7B47" w14:textId="77777777" w:rsidR="00066C63" w:rsidRDefault="009656F6">
      <w:pPr>
        <w:spacing w:before="240" w:after="120"/>
      </w:pPr>
      <w:r>
        <w:rPr>
          <w:rFonts w:ascii="sans-serif" w:eastAsia="sans-serif" w:hAnsi="sans-serif" w:cs="sans-serif"/>
          <w:b/>
          <w:bCs/>
          <w:color w:val="000000"/>
          <w:sz w:val="28"/>
          <w:szCs w:val="28"/>
        </w:rPr>
        <w:t>GLOBAL BRAND DIVISIONS</w:t>
      </w:r>
    </w:p>
    <w:tbl>
      <w:tblPr>
        <w:tblW w:w="5000" w:type="pct"/>
        <w:tblCellMar>
          <w:top w:w="15" w:type="dxa"/>
          <w:left w:w="15" w:type="dxa"/>
          <w:bottom w:w="15" w:type="dxa"/>
          <w:right w:w="15" w:type="dxa"/>
        </w:tblCellMar>
        <w:tblLook w:val="04A0" w:firstRow="1" w:lastRow="0" w:firstColumn="1" w:lastColumn="0" w:noHBand="0" w:noVBand="1"/>
      </w:tblPr>
      <w:tblGrid>
        <w:gridCol w:w="45"/>
        <w:gridCol w:w="1150"/>
        <w:gridCol w:w="35"/>
        <w:gridCol w:w="115"/>
        <w:gridCol w:w="694"/>
        <w:gridCol w:w="36"/>
        <w:gridCol w:w="115"/>
        <w:gridCol w:w="694"/>
        <w:gridCol w:w="36"/>
        <w:gridCol w:w="87"/>
        <w:gridCol w:w="540"/>
        <w:gridCol w:w="170"/>
        <w:gridCol w:w="98"/>
        <w:gridCol w:w="744"/>
        <w:gridCol w:w="170"/>
        <w:gridCol w:w="36"/>
        <w:gridCol w:w="36"/>
        <w:gridCol w:w="36"/>
        <w:gridCol w:w="115"/>
        <w:gridCol w:w="694"/>
        <w:gridCol w:w="36"/>
        <w:gridCol w:w="115"/>
        <w:gridCol w:w="694"/>
        <w:gridCol w:w="36"/>
        <w:gridCol w:w="87"/>
        <w:gridCol w:w="540"/>
        <w:gridCol w:w="170"/>
        <w:gridCol w:w="98"/>
        <w:gridCol w:w="744"/>
        <w:gridCol w:w="170"/>
      </w:tblGrid>
      <w:tr w:rsidR="00066C63" w14:paraId="669C7B66" w14:textId="77777777">
        <w:tc>
          <w:tcPr>
            <w:tcW w:w="50" w:type="pct"/>
            <w:shd w:val="clear" w:color="auto" w:fill="auto"/>
          </w:tcPr>
          <w:p w14:paraId="669C7B48" w14:textId="77777777" w:rsidR="00066C63" w:rsidRDefault="00066C63">
            <w:pPr>
              <w:rPr>
                <w:rFonts w:ascii="宋体"/>
              </w:rPr>
            </w:pPr>
          </w:p>
        </w:tc>
        <w:tc>
          <w:tcPr>
            <w:tcW w:w="1279" w:type="pct"/>
            <w:shd w:val="clear" w:color="auto" w:fill="auto"/>
          </w:tcPr>
          <w:p w14:paraId="669C7B49" w14:textId="77777777" w:rsidR="00066C63" w:rsidRDefault="00066C63">
            <w:pPr>
              <w:rPr>
                <w:rFonts w:ascii="宋体"/>
              </w:rPr>
            </w:pPr>
          </w:p>
        </w:tc>
        <w:tc>
          <w:tcPr>
            <w:tcW w:w="5" w:type="pct"/>
            <w:shd w:val="clear" w:color="auto" w:fill="auto"/>
          </w:tcPr>
          <w:p w14:paraId="669C7B4A" w14:textId="77777777" w:rsidR="00066C63" w:rsidRDefault="00066C63">
            <w:pPr>
              <w:rPr>
                <w:rFonts w:ascii="宋体"/>
              </w:rPr>
            </w:pPr>
          </w:p>
        </w:tc>
        <w:tc>
          <w:tcPr>
            <w:tcW w:w="50" w:type="pct"/>
            <w:shd w:val="clear" w:color="auto" w:fill="auto"/>
          </w:tcPr>
          <w:p w14:paraId="669C7B4B" w14:textId="77777777" w:rsidR="00066C63" w:rsidRDefault="00066C63">
            <w:pPr>
              <w:rPr>
                <w:rFonts w:ascii="宋体"/>
              </w:rPr>
            </w:pPr>
          </w:p>
        </w:tc>
        <w:tc>
          <w:tcPr>
            <w:tcW w:w="446" w:type="pct"/>
            <w:shd w:val="clear" w:color="auto" w:fill="auto"/>
          </w:tcPr>
          <w:p w14:paraId="669C7B4C" w14:textId="77777777" w:rsidR="00066C63" w:rsidRDefault="00066C63">
            <w:pPr>
              <w:rPr>
                <w:rFonts w:ascii="宋体"/>
              </w:rPr>
            </w:pPr>
          </w:p>
        </w:tc>
        <w:tc>
          <w:tcPr>
            <w:tcW w:w="5" w:type="pct"/>
            <w:shd w:val="clear" w:color="auto" w:fill="auto"/>
          </w:tcPr>
          <w:p w14:paraId="669C7B4D" w14:textId="77777777" w:rsidR="00066C63" w:rsidRDefault="00066C63">
            <w:pPr>
              <w:rPr>
                <w:rFonts w:ascii="宋体"/>
              </w:rPr>
            </w:pPr>
          </w:p>
        </w:tc>
        <w:tc>
          <w:tcPr>
            <w:tcW w:w="50" w:type="pct"/>
            <w:shd w:val="clear" w:color="auto" w:fill="auto"/>
          </w:tcPr>
          <w:p w14:paraId="669C7B4E" w14:textId="77777777" w:rsidR="00066C63" w:rsidRDefault="00066C63">
            <w:pPr>
              <w:rPr>
                <w:rFonts w:ascii="宋体"/>
              </w:rPr>
            </w:pPr>
          </w:p>
        </w:tc>
        <w:tc>
          <w:tcPr>
            <w:tcW w:w="446" w:type="pct"/>
            <w:shd w:val="clear" w:color="auto" w:fill="auto"/>
          </w:tcPr>
          <w:p w14:paraId="669C7B4F" w14:textId="77777777" w:rsidR="00066C63" w:rsidRDefault="00066C63">
            <w:pPr>
              <w:rPr>
                <w:rFonts w:ascii="宋体"/>
              </w:rPr>
            </w:pPr>
          </w:p>
        </w:tc>
        <w:tc>
          <w:tcPr>
            <w:tcW w:w="5" w:type="pct"/>
            <w:shd w:val="clear" w:color="auto" w:fill="auto"/>
          </w:tcPr>
          <w:p w14:paraId="669C7B50" w14:textId="77777777" w:rsidR="00066C63" w:rsidRDefault="00066C63">
            <w:pPr>
              <w:rPr>
                <w:rFonts w:ascii="宋体"/>
              </w:rPr>
            </w:pPr>
          </w:p>
        </w:tc>
        <w:tc>
          <w:tcPr>
            <w:tcW w:w="50" w:type="pct"/>
            <w:shd w:val="clear" w:color="auto" w:fill="auto"/>
          </w:tcPr>
          <w:p w14:paraId="669C7B51" w14:textId="77777777" w:rsidR="00066C63" w:rsidRDefault="00066C63">
            <w:pPr>
              <w:rPr>
                <w:rFonts w:ascii="宋体"/>
              </w:rPr>
            </w:pPr>
          </w:p>
        </w:tc>
        <w:tc>
          <w:tcPr>
            <w:tcW w:w="315" w:type="pct"/>
            <w:shd w:val="clear" w:color="auto" w:fill="auto"/>
          </w:tcPr>
          <w:p w14:paraId="669C7B52" w14:textId="77777777" w:rsidR="00066C63" w:rsidRDefault="00066C63">
            <w:pPr>
              <w:rPr>
                <w:rFonts w:ascii="宋体"/>
              </w:rPr>
            </w:pPr>
          </w:p>
        </w:tc>
        <w:tc>
          <w:tcPr>
            <w:tcW w:w="5" w:type="pct"/>
            <w:shd w:val="clear" w:color="auto" w:fill="auto"/>
          </w:tcPr>
          <w:p w14:paraId="669C7B53" w14:textId="77777777" w:rsidR="00066C63" w:rsidRDefault="00066C63">
            <w:pPr>
              <w:rPr>
                <w:rFonts w:ascii="宋体"/>
              </w:rPr>
            </w:pPr>
          </w:p>
        </w:tc>
        <w:tc>
          <w:tcPr>
            <w:tcW w:w="50" w:type="pct"/>
            <w:shd w:val="clear" w:color="auto" w:fill="auto"/>
          </w:tcPr>
          <w:p w14:paraId="669C7B54" w14:textId="77777777" w:rsidR="00066C63" w:rsidRDefault="00066C63">
            <w:pPr>
              <w:rPr>
                <w:rFonts w:ascii="宋体"/>
              </w:rPr>
            </w:pPr>
          </w:p>
        </w:tc>
        <w:tc>
          <w:tcPr>
            <w:tcW w:w="384" w:type="pct"/>
            <w:shd w:val="clear" w:color="auto" w:fill="auto"/>
          </w:tcPr>
          <w:p w14:paraId="669C7B55" w14:textId="77777777" w:rsidR="00066C63" w:rsidRDefault="00066C63">
            <w:pPr>
              <w:rPr>
                <w:rFonts w:ascii="宋体"/>
              </w:rPr>
            </w:pPr>
          </w:p>
        </w:tc>
        <w:tc>
          <w:tcPr>
            <w:tcW w:w="5" w:type="pct"/>
            <w:shd w:val="clear" w:color="auto" w:fill="auto"/>
          </w:tcPr>
          <w:p w14:paraId="669C7B56" w14:textId="77777777" w:rsidR="00066C63" w:rsidRDefault="00066C63">
            <w:pPr>
              <w:rPr>
                <w:rFonts w:ascii="宋体"/>
              </w:rPr>
            </w:pPr>
          </w:p>
        </w:tc>
        <w:tc>
          <w:tcPr>
            <w:tcW w:w="5" w:type="pct"/>
            <w:shd w:val="clear" w:color="auto" w:fill="auto"/>
          </w:tcPr>
          <w:p w14:paraId="669C7B57" w14:textId="77777777" w:rsidR="00066C63" w:rsidRDefault="00066C63">
            <w:pPr>
              <w:rPr>
                <w:rFonts w:ascii="宋体"/>
              </w:rPr>
            </w:pPr>
          </w:p>
        </w:tc>
        <w:tc>
          <w:tcPr>
            <w:tcW w:w="28" w:type="pct"/>
            <w:shd w:val="clear" w:color="auto" w:fill="auto"/>
          </w:tcPr>
          <w:p w14:paraId="669C7B58" w14:textId="77777777" w:rsidR="00066C63" w:rsidRDefault="00066C63">
            <w:pPr>
              <w:rPr>
                <w:rFonts w:ascii="宋体"/>
              </w:rPr>
            </w:pPr>
          </w:p>
        </w:tc>
        <w:tc>
          <w:tcPr>
            <w:tcW w:w="5" w:type="pct"/>
            <w:shd w:val="clear" w:color="auto" w:fill="auto"/>
          </w:tcPr>
          <w:p w14:paraId="669C7B59" w14:textId="77777777" w:rsidR="00066C63" w:rsidRDefault="00066C63">
            <w:pPr>
              <w:rPr>
                <w:rFonts w:ascii="宋体"/>
              </w:rPr>
            </w:pPr>
          </w:p>
        </w:tc>
        <w:tc>
          <w:tcPr>
            <w:tcW w:w="50" w:type="pct"/>
            <w:shd w:val="clear" w:color="auto" w:fill="auto"/>
          </w:tcPr>
          <w:p w14:paraId="669C7B5A" w14:textId="77777777" w:rsidR="00066C63" w:rsidRDefault="00066C63">
            <w:pPr>
              <w:rPr>
                <w:rFonts w:ascii="宋体"/>
              </w:rPr>
            </w:pPr>
          </w:p>
        </w:tc>
        <w:tc>
          <w:tcPr>
            <w:tcW w:w="446" w:type="pct"/>
            <w:shd w:val="clear" w:color="auto" w:fill="auto"/>
          </w:tcPr>
          <w:p w14:paraId="669C7B5B" w14:textId="77777777" w:rsidR="00066C63" w:rsidRDefault="00066C63">
            <w:pPr>
              <w:rPr>
                <w:rFonts w:ascii="宋体"/>
              </w:rPr>
            </w:pPr>
          </w:p>
        </w:tc>
        <w:tc>
          <w:tcPr>
            <w:tcW w:w="5" w:type="pct"/>
            <w:shd w:val="clear" w:color="auto" w:fill="auto"/>
          </w:tcPr>
          <w:p w14:paraId="669C7B5C" w14:textId="77777777" w:rsidR="00066C63" w:rsidRDefault="00066C63">
            <w:pPr>
              <w:rPr>
                <w:rFonts w:ascii="宋体"/>
              </w:rPr>
            </w:pPr>
          </w:p>
        </w:tc>
        <w:tc>
          <w:tcPr>
            <w:tcW w:w="50" w:type="pct"/>
            <w:shd w:val="clear" w:color="auto" w:fill="auto"/>
          </w:tcPr>
          <w:p w14:paraId="669C7B5D" w14:textId="77777777" w:rsidR="00066C63" w:rsidRDefault="00066C63">
            <w:pPr>
              <w:rPr>
                <w:rFonts w:ascii="宋体"/>
              </w:rPr>
            </w:pPr>
          </w:p>
        </w:tc>
        <w:tc>
          <w:tcPr>
            <w:tcW w:w="446" w:type="pct"/>
            <w:shd w:val="clear" w:color="auto" w:fill="auto"/>
          </w:tcPr>
          <w:p w14:paraId="669C7B5E" w14:textId="77777777" w:rsidR="00066C63" w:rsidRDefault="00066C63">
            <w:pPr>
              <w:rPr>
                <w:rFonts w:ascii="宋体"/>
              </w:rPr>
            </w:pPr>
          </w:p>
        </w:tc>
        <w:tc>
          <w:tcPr>
            <w:tcW w:w="5" w:type="pct"/>
            <w:shd w:val="clear" w:color="auto" w:fill="auto"/>
          </w:tcPr>
          <w:p w14:paraId="669C7B5F" w14:textId="77777777" w:rsidR="00066C63" w:rsidRDefault="00066C63">
            <w:pPr>
              <w:rPr>
                <w:rFonts w:ascii="宋体"/>
              </w:rPr>
            </w:pPr>
          </w:p>
        </w:tc>
        <w:tc>
          <w:tcPr>
            <w:tcW w:w="50" w:type="pct"/>
            <w:shd w:val="clear" w:color="auto" w:fill="auto"/>
          </w:tcPr>
          <w:p w14:paraId="669C7B60" w14:textId="77777777" w:rsidR="00066C63" w:rsidRDefault="00066C63">
            <w:pPr>
              <w:rPr>
                <w:rFonts w:ascii="宋体"/>
              </w:rPr>
            </w:pPr>
          </w:p>
        </w:tc>
        <w:tc>
          <w:tcPr>
            <w:tcW w:w="315" w:type="pct"/>
            <w:shd w:val="clear" w:color="auto" w:fill="auto"/>
          </w:tcPr>
          <w:p w14:paraId="669C7B61" w14:textId="77777777" w:rsidR="00066C63" w:rsidRDefault="00066C63">
            <w:pPr>
              <w:rPr>
                <w:rFonts w:ascii="宋体"/>
              </w:rPr>
            </w:pPr>
          </w:p>
        </w:tc>
        <w:tc>
          <w:tcPr>
            <w:tcW w:w="5" w:type="pct"/>
            <w:shd w:val="clear" w:color="auto" w:fill="auto"/>
          </w:tcPr>
          <w:p w14:paraId="669C7B62" w14:textId="77777777" w:rsidR="00066C63" w:rsidRDefault="00066C63">
            <w:pPr>
              <w:rPr>
                <w:rFonts w:ascii="宋体"/>
              </w:rPr>
            </w:pPr>
          </w:p>
        </w:tc>
        <w:tc>
          <w:tcPr>
            <w:tcW w:w="50" w:type="pct"/>
            <w:shd w:val="clear" w:color="auto" w:fill="auto"/>
          </w:tcPr>
          <w:p w14:paraId="669C7B63" w14:textId="77777777" w:rsidR="00066C63" w:rsidRDefault="00066C63">
            <w:pPr>
              <w:rPr>
                <w:rFonts w:ascii="宋体"/>
              </w:rPr>
            </w:pPr>
          </w:p>
        </w:tc>
        <w:tc>
          <w:tcPr>
            <w:tcW w:w="385" w:type="pct"/>
            <w:shd w:val="clear" w:color="auto" w:fill="auto"/>
          </w:tcPr>
          <w:p w14:paraId="669C7B64" w14:textId="77777777" w:rsidR="00066C63" w:rsidRDefault="00066C63">
            <w:pPr>
              <w:rPr>
                <w:rFonts w:ascii="宋体"/>
              </w:rPr>
            </w:pPr>
          </w:p>
        </w:tc>
        <w:tc>
          <w:tcPr>
            <w:tcW w:w="5" w:type="pct"/>
            <w:shd w:val="clear" w:color="auto" w:fill="auto"/>
          </w:tcPr>
          <w:p w14:paraId="669C7B65" w14:textId="77777777" w:rsidR="00066C63" w:rsidRDefault="00066C63">
            <w:pPr>
              <w:rPr>
                <w:rFonts w:ascii="宋体"/>
              </w:rPr>
            </w:pPr>
          </w:p>
        </w:tc>
      </w:tr>
      <w:tr w:rsidR="00066C63" w14:paraId="669C7B6B" w14:textId="77777777">
        <w:tc>
          <w:tcPr>
            <w:tcW w:w="0" w:type="auto"/>
            <w:gridSpan w:val="3"/>
            <w:shd w:val="clear" w:color="auto" w:fill="auto"/>
            <w:tcMar>
              <w:top w:w="0" w:type="dxa"/>
              <w:left w:w="20" w:type="dxa"/>
              <w:bottom w:w="0" w:type="dxa"/>
              <w:right w:w="20" w:type="dxa"/>
            </w:tcMar>
          </w:tcPr>
          <w:p w14:paraId="669C7B67" w14:textId="77777777" w:rsidR="00066C63" w:rsidRDefault="00066C63">
            <w:pPr>
              <w:rPr>
                <w:rFonts w:ascii="宋体"/>
              </w:rPr>
            </w:pPr>
          </w:p>
        </w:tc>
        <w:tc>
          <w:tcPr>
            <w:tcW w:w="0" w:type="auto"/>
            <w:gridSpan w:val="12"/>
            <w:shd w:val="clear" w:color="auto" w:fill="auto"/>
            <w:tcMar>
              <w:top w:w="40" w:type="dxa"/>
              <w:left w:w="20" w:type="dxa"/>
              <w:bottom w:w="40" w:type="dxa"/>
              <w:right w:w="20" w:type="dxa"/>
            </w:tcMar>
            <w:vAlign w:val="bottom"/>
          </w:tcPr>
          <w:p w14:paraId="669C7B68" w14:textId="77777777" w:rsidR="00066C63" w:rsidRDefault="009656F6">
            <w:pPr>
              <w:jc w:val="center"/>
              <w:textAlignment w:val="bottom"/>
            </w:pPr>
            <w:r>
              <w:rPr>
                <w:rFonts w:ascii="sans-serif" w:eastAsia="sans-serif" w:hAnsi="sans-serif" w:cs="sans-serif"/>
                <w:b/>
                <w:bCs/>
                <w:color w:val="000000"/>
                <w:sz w:val="17"/>
                <w:szCs w:val="17"/>
              </w:rPr>
              <w:t xml:space="preserve">THREE MONTHS ENDED </w:t>
            </w:r>
          </w:p>
        </w:tc>
        <w:tc>
          <w:tcPr>
            <w:tcW w:w="0" w:type="auto"/>
            <w:gridSpan w:val="3"/>
            <w:shd w:val="clear" w:color="auto" w:fill="auto"/>
            <w:tcMar>
              <w:top w:w="0" w:type="dxa"/>
              <w:left w:w="20" w:type="dxa"/>
              <w:bottom w:w="0" w:type="dxa"/>
              <w:right w:w="20" w:type="dxa"/>
            </w:tcMar>
          </w:tcPr>
          <w:p w14:paraId="669C7B69" w14:textId="77777777" w:rsidR="00066C63" w:rsidRDefault="00066C63">
            <w:pPr>
              <w:rPr>
                <w:rFonts w:ascii="宋体"/>
              </w:rPr>
            </w:pPr>
          </w:p>
        </w:tc>
        <w:tc>
          <w:tcPr>
            <w:tcW w:w="0" w:type="auto"/>
            <w:gridSpan w:val="12"/>
            <w:shd w:val="clear" w:color="auto" w:fill="auto"/>
            <w:tcMar>
              <w:top w:w="40" w:type="dxa"/>
              <w:left w:w="20" w:type="dxa"/>
              <w:bottom w:w="40" w:type="dxa"/>
              <w:right w:w="20" w:type="dxa"/>
            </w:tcMar>
            <w:vAlign w:val="bottom"/>
          </w:tcPr>
          <w:p w14:paraId="669C7B6A" w14:textId="77777777" w:rsidR="00066C63" w:rsidRDefault="009656F6">
            <w:pPr>
              <w:jc w:val="center"/>
              <w:textAlignment w:val="bottom"/>
            </w:pPr>
            <w:r>
              <w:rPr>
                <w:rFonts w:ascii="sans-serif" w:eastAsia="sans-serif" w:hAnsi="sans-serif" w:cs="sans-serif"/>
                <w:b/>
                <w:bCs/>
                <w:color w:val="000000"/>
                <w:sz w:val="17"/>
                <w:szCs w:val="17"/>
              </w:rPr>
              <w:t xml:space="preserve">NINE MONTHS ENDED </w:t>
            </w:r>
          </w:p>
        </w:tc>
      </w:tr>
      <w:tr w:rsidR="00066C63" w14:paraId="669C7B76" w14:textId="77777777">
        <w:tc>
          <w:tcPr>
            <w:tcW w:w="0" w:type="auto"/>
            <w:gridSpan w:val="3"/>
            <w:shd w:val="clear" w:color="auto" w:fill="auto"/>
            <w:tcMar>
              <w:top w:w="40" w:type="dxa"/>
              <w:left w:w="20" w:type="dxa"/>
              <w:bottom w:w="40" w:type="dxa"/>
              <w:right w:w="20" w:type="dxa"/>
            </w:tcMar>
            <w:vAlign w:val="bottom"/>
          </w:tcPr>
          <w:p w14:paraId="669C7B6C" w14:textId="77777777" w:rsidR="00066C63" w:rsidRDefault="009656F6">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B6D" w14:textId="77777777" w:rsidR="00066C63" w:rsidRDefault="009656F6">
            <w:pPr>
              <w:jc w:val="center"/>
              <w:textAlignment w:val="bottom"/>
            </w:pPr>
            <w:r>
              <w:rPr>
                <w:rFonts w:ascii="sans-serif" w:eastAsia="sans-serif" w:hAnsi="sans-serif" w:cs="sans-serif"/>
                <w:b/>
                <w:bCs/>
                <w:color w:val="000000"/>
                <w:sz w:val="17"/>
                <w:szCs w:val="17"/>
              </w:rPr>
              <w:t>FEBRUARY 28, 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B6E" w14:textId="77777777" w:rsidR="00066C63" w:rsidRDefault="009656F6">
            <w:pPr>
              <w:jc w:val="center"/>
              <w:textAlignment w:val="bottom"/>
            </w:pPr>
            <w:r>
              <w:rPr>
                <w:rFonts w:ascii="sans-serif" w:eastAsia="sans-serif" w:hAnsi="sans-serif" w:cs="sans-serif"/>
                <w:b/>
                <w:bCs/>
                <w:color w:val="000000"/>
                <w:sz w:val="17"/>
                <w:szCs w:val="17"/>
              </w:rPr>
              <w:t>FEBRUARY 29, 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B6F" w14:textId="77777777" w:rsidR="00066C63" w:rsidRDefault="009656F6">
            <w:pPr>
              <w:jc w:val="right"/>
              <w:textAlignment w:val="bottom"/>
            </w:pPr>
            <w:r>
              <w:rPr>
                <w:rFonts w:ascii="sans-serif" w:eastAsia="sans-serif" w:hAnsi="sans-serif" w:cs="sans-serif"/>
                <w:b/>
                <w:bCs/>
                <w:color w:val="000000"/>
                <w:sz w:val="17"/>
                <w:szCs w:val="17"/>
              </w:rPr>
              <w:t>% CHANGE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B70" w14:textId="77777777" w:rsidR="00066C63" w:rsidRDefault="009656F6">
            <w:pPr>
              <w:jc w:val="right"/>
              <w:textAlignment w:val="bottom"/>
            </w:pPr>
            <w:r>
              <w:rPr>
                <w:rFonts w:ascii="sans-serif" w:eastAsia="sans-serif" w:hAnsi="sans-serif" w:cs="sans-serif"/>
                <w:b/>
                <w:bCs/>
                <w:color w:val="000000"/>
                <w:sz w:val="17"/>
                <w:szCs w:val="17"/>
              </w:rPr>
              <w:t xml:space="preserve">% CHANGE </w:t>
            </w:r>
            <w:r>
              <w:rPr>
                <w:rFonts w:ascii="sans-serif" w:eastAsia="sans-serif" w:hAnsi="sans-serif" w:cs="sans-serif"/>
                <w:b/>
                <w:bCs/>
                <w:color w:val="000000"/>
                <w:sz w:val="17"/>
                <w:szCs w:val="17"/>
              </w:rPr>
              <w:t>EXCLUDING CURRENCY CHANGES</w:t>
            </w:r>
          </w:p>
        </w:tc>
        <w:tc>
          <w:tcPr>
            <w:tcW w:w="0" w:type="auto"/>
            <w:gridSpan w:val="3"/>
            <w:shd w:val="clear" w:color="auto" w:fill="auto"/>
            <w:tcMar>
              <w:top w:w="0" w:type="dxa"/>
              <w:left w:w="20" w:type="dxa"/>
              <w:bottom w:w="0" w:type="dxa"/>
              <w:right w:w="20" w:type="dxa"/>
            </w:tcMar>
          </w:tcPr>
          <w:p w14:paraId="669C7B71" w14:textId="77777777" w:rsidR="00066C63" w:rsidRDefault="00066C63">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B72" w14:textId="77777777" w:rsidR="00066C63" w:rsidRDefault="009656F6">
            <w:pPr>
              <w:jc w:val="center"/>
              <w:textAlignment w:val="bottom"/>
            </w:pPr>
            <w:r>
              <w:rPr>
                <w:rFonts w:ascii="sans-serif" w:eastAsia="sans-serif" w:hAnsi="sans-serif" w:cs="sans-serif"/>
                <w:b/>
                <w:bCs/>
                <w:color w:val="000000"/>
                <w:sz w:val="17"/>
                <w:szCs w:val="17"/>
              </w:rPr>
              <w:t>FEBRUARY 28, 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B73" w14:textId="77777777" w:rsidR="00066C63" w:rsidRDefault="009656F6">
            <w:pPr>
              <w:jc w:val="center"/>
              <w:textAlignment w:val="bottom"/>
            </w:pPr>
            <w:r>
              <w:rPr>
                <w:rFonts w:ascii="sans-serif" w:eastAsia="sans-serif" w:hAnsi="sans-serif" w:cs="sans-serif"/>
                <w:b/>
                <w:bCs/>
                <w:color w:val="000000"/>
                <w:sz w:val="17"/>
                <w:szCs w:val="17"/>
              </w:rPr>
              <w:t>FEBRUARY 29, 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B74" w14:textId="77777777" w:rsidR="00066C63" w:rsidRDefault="009656F6">
            <w:pPr>
              <w:jc w:val="right"/>
              <w:textAlignment w:val="bottom"/>
            </w:pPr>
            <w:r>
              <w:rPr>
                <w:rFonts w:ascii="sans-serif" w:eastAsia="sans-serif" w:hAnsi="sans-serif" w:cs="sans-serif"/>
                <w:b/>
                <w:bCs/>
                <w:color w:val="000000"/>
                <w:sz w:val="17"/>
                <w:szCs w:val="17"/>
              </w:rPr>
              <w:t>% CHANGE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B75" w14:textId="77777777" w:rsidR="00066C63" w:rsidRDefault="009656F6">
            <w:pPr>
              <w:jc w:val="right"/>
              <w:textAlignment w:val="bottom"/>
            </w:pPr>
            <w:r>
              <w:rPr>
                <w:rFonts w:ascii="sans-serif" w:eastAsia="sans-serif" w:hAnsi="sans-serif" w:cs="sans-serif"/>
                <w:b/>
                <w:bCs/>
                <w:color w:val="000000"/>
                <w:sz w:val="17"/>
                <w:szCs w:val="17"/>
              </w:rPr>
              <w:t>% CHANGE EXCLUDING CURRENCY CHANGES</w:t>
            </w:r>
          </w:p>
        </w:tc>
      </w:tr>
      <w:tr w:rsidR="00066C63" w14:paraId="669C7B8D"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B77" w14:textId="77777777" w:rsidR="00066C63" w:rsidRDefault="009656F6">
            <w:pPr>
              <w:textAlignment w:val="bottom"/>
            </w:pPr>
            <w:r>
              <w:rPr>
                <w:rFonts w:ascii="Arial" w:eastAsia="宋体" w:hAnsi="Arial" w:cs="Arial"/>
                <w:color w:val="000000"/>
                <w:sz w:val="17"/>
                <w:szCs w:val="17"/>
              </w:rPr>
              <w:t>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669C7B78"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669C7B79" w14:textId="77777777" w:rsidR="00066C63" w:rsidRDefault="009656F6">
            <w:pPr>
              <w:jc w:val="right"/>
              <w:textAlignment w:val="bottom"/>
            </w:pPr>
            <w:r>
              <w:rPr>
                <w:rFonts w:ascii="Arial" w:eastAsia="宋体" w:hAnsi="Arial" w:cs="Arial"/>
                <w:color w:val="000000"/>
                <w:sz w:val="17"/>
                <w:szCs w:val="17"/>
              </w:rPr>
              <w:t>6 </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7B7A" w14:textId="77777777" w:rsidR="00066C63" w:rsidRDefault="00066C63">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69C7B7B"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69C7B7C" w14:textId="77777777" w:rsidR="00066C63" w:rsidRDefault="009656F6">
            <w:pPr>
              <w:jc w:val="right"/>
              <w:textAlignment w:val="bottom"/>
            </w:pPr>
            <w:r>
              <w:rPr>
                <w:rFonts w:ascii="Arial" w:eastAsia="宋体" w:hAnsi="Arial" w:cs="Arial"/>
                <w:color w:val="000000"/>
                <w:sz w:val="17"/>
                <w:szCs w:val="17"/>
              </w:rPr>
              <w:t>8 </w:t>
            </w:r>
          </w:p>
        </w:tc>
        <w:tc>
          <w:tcPr>
            <w:tcW w:w="0" w:type="auto"/>
            <w:tcBorders>
              <w:top w:val="single" w:sz="8" w:space="0" w:color="E87722"/>
            </w:tcBorders>
            <w:shd w:val="clear" w:color="auto" w:fill="auto"/>
            <w:tcMar>
              <w:top w:w="40" w:type="dxa"/>
              <w:left w:w="0" w:type="dxa"/>
              <w:bottom w:w="40" w:type="dxa"/>
              <w:right w:w="20" w:type="dxa"/>
            </w:tcMar>
            <w:vAlign w:val="bottom"/>
          </w:tcPr>
          <w:p w14:paraId="669C7B7D" w14:textId="77777777" w:rsidR="00066C63" w:rsidRDefault="00066C63">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7B7E" w14:textId="77777777" w:rsidR="00066C63" w:rsidRDefault="009656F6">
            <w:pPr>
              <w:jc w:val="right"/>
              <w:textAlignment w:val="bottom"/>
            </w:pPr>
            <w:r>
              <w:rPr>
                <w:rFonts w:ascii="Arial" w:eastAsia="宋体" w:hAnsi="Arial" w:cs="Arial"/>
                <w:color w:val="000000"/>
                <w:sz w:val="17"/>
                <w:szCs w:val="17"/>
              </w:rPr>
              <w:t>-25 </w:t>
            </w:r>
          </w:p>
        </w:tc>
        <w:tc>
          <w:tcPr>
            <w:tcW w:w="0" w:type="auto"/>
            <w:tcBorders>
              <w:top w:val="single" w:sz="8" w:space="0" w:color="E87722"/>
            </w:tcBorders>
            <w:shd w:val="clear" w:color="auto" w:fill="auto"/>
            <w:tcMar>
              <w:top w:w="40" w:type="dxa"/>
              <w:left w:w="0" w:type="dxa"/>
              <w:bottom w:w="40" w:type="dxa"/>
              <w:right w:w="20" w:type="dxa"/>
            </w:tcMar>
            <w:vAlign w:val="bottom"/>
          </w:tcPr>
          <w:p w14:paraId="669C7B7F" w14:textId="77777777" w:rsidR="00066C63" w:rsidRDefault="009656F6">
            <w:pPr>
              <w:jc w:val="right"/>
              <w:textAlignment w:val="bottom"/>
            </w:pPr>
            <w:r>
              <w:rPr>
                <w:rFonts w:ascii="Arial" w:eastAsia="宋体" w:hAnsi="Arial" w:cs="Arial"/>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7B80" w14:textId="77777777" w:rsidR="00066C63" w:rsidRDefault="009656F6">
            <w:pPr>
              <w:jc w:val="right"/>
              <w:textAlignment w:val="bottom"/>
            </w:pPr>
            <w:r>
              <w:rPr>
                <w:rFonts w:ascii="Arial" w:eastAsia="宋体" w:hAnsi="Arial" w:cs="Arial"/>
                <w:color w:val="000000"/>
                <w:sz w:val="17"/>
                <w:szCs w:val="17"/>
              </w:rPr>
              <w:t>-32 </w:t>
            </w:r>
          </w:p>
        </w:tc>
        <w:tc>
          <w:tcPr>
            <w:tcW w:w="0" w:type="auto"/>
            <w:tcBorders>
              <w:top w:val="single" w:sz="8" w:space="0" w:color="E87722"/>
            </w:tcBorders>
            <w:shd w:val="clear" w:color="auto" w:fill="auto"/>
            <w:tcMar>
              <w:top w:w="40" w:type="dxa"/>
              <w:left w:w="0" w:type="dxa"/>
              <w:bottom w:w="40" w:type="dxa"/>
              <w:right w:w="20" w:type="dxa"/>
            </w:tcMar>
            <w:vAlign w:val="bottom"/>
          </w:tcPr>
          <w:p w14:paraId="669C7B81" w14:textId="77777777" w:rsidR="00066C63" w:rsidRDefault="009656F6">
            <w:pPr>
              <w:jc w:val="right"/>
              <w:textAlignment w:val="bottom"/>
            </w:pPr>
            <w:r>
              <w:rPr>
                <w:rFonts w:ascii="Arial" w:eastAsia="宋体" w:hAnsi="Arial" w:cs="Arial"/>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tcPr>
          <w:p w14:paraId="669C7B82" w14:textId="77777777" w:rsidR="00066C63" w:rsidRDefault="00066C63">
            <w:pPr>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669C7B83"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669C7B84" w14:textId="77777777" w:rsidR="00066C63" w:rsidRDefault="009656F6">
            <w:pPr>
              <w:jc w:val="right"/>
              <w:textAlignment w:val="bottom"/>
            </w:pPr>
            <w:r>
              <w:rPr>
                <w:rFonts w:ascii="Arial" w:eastAsia="宋体" w:hAnsi="Arial" w:cs="Arial"/>
                <w:color w:val="000000"/>
                <w:sz w:val="17"/>
                <w:szCs w:val="17"/>
              </w:rPr>
              <w:t>18 </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7B85" w14:textId="77777777" w:rsidR="00066C63" w:rsidRDefault="00066C63">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69C7B86"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69C7B87" w14:textId="77777777" w:rsidR="00066C63" w:rsidRDefault="009656F6">
            <w:pPr>
              <w:jc w:val="right"/>
              <w:textAlignment w:val="bottom"/>
            </w:pPr>
            <w:r>
              <w:rPr>
                <w:rFonts w:ascii="Arial" w:eastAsia="宋体" w:hAnsi="Arial" w:cs="Arial"/>
                <w:color w:val="000000"/>
                <w:sz w:val="17"/>
                <w:szCs w:val="17"/>
              </w:rPr>
              <w:t>24 </w:t>
            </w:r>
          </w:p>
        </w:tc>
        <w:tc>
          <w:tcPr>
            <w:tcW w:w="0" w:type="auto"/>
            <w:tcBorders>
              <w:top w:val="single" w:sz="8" w:space="0" w:color="E87722"/>
            </w:tcBorders>
            <w:shd w:val="clear" w:color="auto" w:fill="auto"/>
            <w:tcMar>
              <w:top w:w="40" w:type="dxa"/>
              <w:left w:w="0" w:type="dxa"/>
              <w:bottom w:w="40" w:type="dxa"/>
              <w:right w:w="20" w:type="dxa"/>
            </w:tcMar>
            <w:vAlign w:val="bottom"/>
          </w:tcPr>
          <w:p w14:paraId="669C7B88" w14:textId="77777777" w:rsidR="00066C63" w:rsidRDefault="00066C63">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7B89" w14:textId="77777777" w:rsidR="00066C63" w:rsidRDefault="009656F6">
            <w:pPr>
              <w:jc w:val="right"/>
              <w:textAlignment w:val="bottom"/>
            </w:pPr>
            <w:r>
              <w:rPr>
                <w:rFonts w:ascii="Arial" w:eastAsia="宋体" w:hAnsi="Arial" w:cs="Arial"/>
                <w:color w:val="000000"/>
                <w:sz w:val="17"/>
                <w:szCs w:val="17"/>
              </w:rPr>
              <w:t>-25 </w:t>
            </w:r>
          </w:p>
        </w:tc>
        <w:tc>
          <w:tcPr>
            <w:tcW w:w="0" w:type="auto"/>
            <w:tcBorders>
              <w:top w:val="single" w:sz="8" w:space="0" w:color="E87722"/>
            </w:tcBorders>
            <w:shd w:val="clear" w:color="auto" w:fill="auto"/>
            <w:tcMar>
              <w:top w:w="40" w:type="dxa"/>
              <w:left w:w="0" w:type="dxa"/>
              <w:bottom w:w="40" w:type="dxa"/>
              <w:right w:w="20" w:type="dxa"/>
            </w:tcMar>
            <w:vAlign w:val="bottom"/>
          </w:tcPr>
          <w:p w14:paraId="669C7B8A" w14:textId="77777777" w:rsidR="00066C63" w:rsidRDefault="009656F6">
            <w:pPr>
              <w:jc w:val="right"/>
              <w:textAlignment w:val="bottom"/>
            </w:pPr>
            <w:r>
              <w:rPr>
                <w:rFonts w:ascii="Arial" w:eastAsia="宋体" w:hAnsi="Arial" w:cs="Arial"/>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7B8B" w14:textId="77777777" w:rsidR="00066C63" w:rsidRDefault="009656F6">
            <w:pPr>
              <w:jc w:val="right"/>
              <w:textAlignment w:val="bottom"/>
            </w:pPr>
            <w:r>
              <w:rPr>
                <w:rFonts w:ascii="Arial" w:eastAsia="宋体" w:hAnsi="Arial" w:cs="Arial"/>
                <w:color w:val="000000"/>
                <w:sz w:val="17"/>
                <w:szCs w:val="17"/>
              </w:rPr>
              <w:t>-27 </w:t>
            </w:r>
          </w:p>
        </w:tc>
        <w:tc>
          <w:tcPr>
            <w:tcW w:w="0" w:type="auto"/>
            <w:tcBorders>
              <w:top w:val="single" w:sz="8" w:space="0" w:color="E87722"/>
            </w:tcBorders>
            <w:shd w:val="clear" w:color="auto" w:fill="auto"/>
            <w:tcMar>
              <w:top w:w="40" w:type="dxa"/>
              <w:left w:w="0" w:type="dxa"/>
              <w:bottom w:w="40" w:type="dxa"/>
              <w:right w:w="20" w:type="dxa"/>
            </w:tcMar>
            <w:vAlign w:val="bottom"/>
          </w:tcPr>
          <w:p w14:paraId="669C7B8C" w14:textId="77777777" w:rsidR="00066C63" w:rsidRDefault="009656F6">
            <w:pPr>
              <w:jc w:val="right"/>
              <w:textAlignment w:val="bottom"/>
            </w:pPr>
            <w:r>
              <w:rPr>
                <w:rFonts w:ascii="Arial" w:eastAsia="宋体" w:hAnsi="Arial" w:cs="Arial"/>
                <w:color w:val="000000"/>
                <w:sz w:val="17"/>
                <w:szCs w:val="17"/>
              </w:rPr>
              <w:t>%</w:t>
            </w:r>
          </w:p>
        </w:tc>
      </w:tr>
      <w:tr w:rsidR="00066C63" w14:paraId="669C7BA2" w14:textId="77777777">
        <w:tc>
          <w:tcPr>
            <w:tcW w:w="0" w:type="auto"/>
            <w:gridSpan w:val="3"/>
            <w:tcBorders>
              <w:top w:val="single" w:sz="8" w:space="0" w:color="808080"/>
              <w:bottom w:val="single" w:sz="8" w:space="0" w:color="E87722"/>
            </w:tcBorders>
            <w:shd w:val="clear" w:color="auto" w:fill="auto"/>
            <w:tcMar>
              <w:top w:w="40" w:type="dxa"/>
              <w:left w:w="20" w:type="dxa"/>
              <w:bottom w:w="40" w:type="dxa"/>
              <w:right w:w="20" w:type="dxa"/>
            </w:tcMar>
            <w:vAlign w:val="bottom"/>
          </w:tcPr>
          <w:p w14:paraId="669C7B8E" w14:textId="77777777" w:rsidR="00066C63" w:rsidRDefault="009656F6">
            <w:pPr>
              <w:textAlignment w:val="bottom"/>
            </w:pPr>
            <w:r>
              <w:rPr>
                <w:rFonts w:ascii="Arial" w:eastAsia="宋体" w:hAnsi="Arial" w:cs="Arial"/>
                <w:color w:val="000000"/>
                <w:sz w:val="17"/>
                <w:szCs w:val="17"/>
              </w:rPr>
              <w:t>Earnings (Loss) Bef</w:t>
            </w:r>
            <w:r>
              <w:rPr>
                <w:rFonts w:ascii="Arial" w:eastAsia="宋体" w:hAnsi="Arial" w:cs="Arial"/>
                <w:color w:val="000000"/>
                <w:sz w:val="17"/>
                <w:szCs w:val="17"/>
              </w:rPr>
              <w:t>ore Interest and Taxes</w:t>
            </w:r>
          </w:p>
        </w:tc>
        <w:tc>
          <w:tcPr>
            <w:tcW w:w="0" w:type="auto"/>
            <w:tcBorders>
              <w:top w:val="single" w:sz="8" w:space="0" w:color="808080"/>
              <w:bottom w:val="single" w:sz="8" w:space="0" w:color="E87722"/>
            </w:tcBorders>
            <w:shd w:val="clear" w:color="auto" w:fill="FFF1E7"/>
            <w:tcMar>
              <w:top w:w="40" w:type="dxa"/>
              <w:left w:w="20" w:type="dxa"/>
              <w:bottom w:w="40" w:type="dxa"/>
              <w:right w:w="0" w:type="dxa"/>
            </w:tcMar>
            <w:vAlign w:val="bottom"/>
          </w:tcPr>
          <w:p w14:paraId="669C7B8F"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bottom w:val="single" w:sz="8" w:space="0" w:color="E87722"/>
            </w:tcBorders>
            <w:shd w:val="clear" w:color="auto" w:fill="FFF1E7"/>
            <w:tcMar>
              <w:top w:w="40" w:type="dxa"/>
              <w:left w:w="0" w:type="dxa"/>
              <w:bottom w:w="40" w:type="dxa"/>
              <w:right w:w="0" w:type="dxa"/>
            </w:tcMar>
            <w:vAlign w:val="bottom"/>
          </w:tcPr>
          <w:p w14:paraId="669C7B90" w14:textId="77777777" w:rsidR="00066C63" w:rsidRDefault="009656F6">
            <w:pPr>
              <w:jc w:val="right"/>
              <w:textAlignment w:val="bottom"/>
            </w:pPr>
            <w:r>
              <w:rPr>
                <w:rFonts w:ascii="Arial" w:eastAsia="宋体" w:hAnsi="Arial" w:cs="Arial"/>
                <w:color w:val="000000"/>
                <w:sz w:val="17"/>
                <w:szCs w:val="17"/>
              </w:rPr>
              <w:t>(852)</w:t>
            </w:r>
          </w:p>
        </w:tc>
        <w:tc>
          <w:tcPr>
            <w:tcW w:w="0" w:type="auto"/>
            <w:tcBorders>
              <w:top w:val="single" w:sz="8" w:space="0" w:color="808080"/>
              <w:bottom w:val="single" w:sz="8" w:space="0" w:color="E87722"/>
            </w:tcBorders>
            <w:shd w:val="clear" w:color="auto" w:fill="FFF1E7"/>
            <w:tcMar>
              <w:top w:w="40" w:type="dxa"/>
              <w:left w:w="0" w:type="dxa"/>
              <w:bottom w:w="40" w:type="dxa"/>
              <w:right w:w="20" w:type="dxa"/>
            </w:tcMar>
            <w:vAlign w:val="bottom"/>
          </w:tcPr>
          <w:p w14:paraId="669C7B91" w14:textId="77777777" w:rsidR="00066C63" w:rsidRDefault="00066C63">
            <w:pPr>
              <w:jc w:val="right"/>
              <w:rPr>
                <w:rFonts w:ascii="宋体"/>
              </w:rPr>
            </w:pPr>
          </w:p>
        </w:tc>
        <w:tc>
          <w:tcPr>
            <w:tcW w:w="0" w:type="auto"/>
            <w:tcBorders>
              <w:top w:val="single" w:sz="8" w:space="0" w:color="808080"/>
              <w:bottom w:val="single" w:sz="8" w:space="0" w:color="E87722"/>
            </w:tcBorders>
            <w:shd w:val="clear" w:color="auto" w:fill="auto"/>
            <w:tcMar>
              <w:top w:w="40" w:type="dxa"/>
              <w:left w:w="20" w:type="dxa"/>
              <w:bottom w:w="40" w:type="dxa"/>
              <w:right w:w="0" w:type="dxa"/>
            </w:tcMar>
            <w:vAlign w:val="bottom"/>
          </w:tcPr>
          <w:p w14:paraId="669C7B92"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bottom w:val="single" w:sz="8" w:space="0" w:color="E87722"/>
            </w:tcBorders>
            <w:shd w:val="clear" w:color="auto" w:fill="auto"/>
            <w:tcMar>
              <w:top w:w="40" w:type="dxa"/>
              <w:left w:w="0" w:type="dxa"/>
              <w:bottom w:w="40" w:type="dxa"/>
              <w:right w:w="0" w:type="dxa"/>
            </w:tcMar>
            <w:vAlign w:val="bottom"/>
          </w:tcPr>
          <w:p w14:paraId="669C7B93" w14:textId="77777777" w:rsidR="00066C63" w:rsidRDefault="009656F6">
            <w:pPr>
              <w:jc w:val="right"/>
              <w:textAlignment w:val="bottom"/>
            </w:pPr>
            <w:r>
              <w:rPr>
                <w:rFonts w:ascii="Arial" w:eastAsia="宋体" w:hAnsi="Arial" w:cs="Arial"/>
                <w:color w:val="000000"/>
                <w:sz w:val="17"/>
                <w:szCs w:val="17"/>
              </w:rPr>
              <w:t>(895)</w:t>
            </w:r>
          </w:p>
        </w:tc>
        <w:tc>
          <w:tcPr>
            <w:tcW w:w="0" w:type="auto"/>
            <w:tcBorders>
              <w:top w:val="single" w:sz="8" w:space="0" w:color="808080"/>
              <w:bottom w:val="single" w:sz="8" w:space="0" w:color="E87722"/>
            </w:tcBorders>
            <w:shd w:val="clear" w:color="auto" w:fill="auto"/>
            <w:tcMar>
              <w:top w:w="40" w:type="dxa"/>
              <w:left w:w="0" w:type="dxa"/>
              <w:bottom w:w="40" w:type="dxa"/>
              <w:right w:w="20" w:type="dxa"/>
            </w:tcMar>
            <w:vAlign w:val="bottom"/>
          </w:tcPr>
          <w:p w14:paraId="669C7B94" w14:textId="77777777" w:rsidR="00066C63" w:rsidRDefault="00066C63">
            <w:pPr>
              <w:jc w:val="right"/>
              <w:rPr>
                <w:rFonts w:ascii="宋体"/>
              </w:rPr>
            </w:pPr>
          </w:p>
        </w:tc>
        <w:tc>
          <w:tcPr>
            <w:tcW w:w="0" w:type="auto"/>
            <w:gridSpan w:val="2"/>
            <w:tcBorders>
              <w:top w:val="single" w:sz="8" w:space="0" w:color="808080"/>
              <w:bottom w:val="single" w:sz="8" w:space="0" w:color="E87722"/>
            </w:tcBorders>
            <w:shd w:val="clear" w:color="auto" w:fill="auto"/>
            <w:tcMar>
              <w:top w:w="40" w:type="dxa"/>
              <w:left w:w="20" w:type="dxa"/>
              <w:bottom w:w="40" w:type="dxa"/>
              <w:right w:w="0" w:type="dxa"/>
            </w:tcMar>
            <w:vAlign w:val="bottom"/>
          </w:tcPr>
          <w:p w14:paraId="669C7B95" w14:textId="77777777" w:rsidR="00066C63" w:rsidRDefault="009656F6">
            <w:pPr>
              <w:jc w:val="right"/>
              <w:textAlignment w:val="bottom"/>
            </w:pPr>
            <w:r>
              <w:rPr>
                <w:rFonts w:ascii="Arial" w:eastAsia="宋体" w:hAnsi="Arial" w:cs="Arial"/>
                <w:color w:val="000000"/>
                <w:sz w:val="17"/>
                <w:szCs w:val="17"/>
              </w:rPr>
              <w:t>5 </w:t>
            </w:r>
          </w:p>
        </w:tc>
        <w:tc>
          <w:tcPr>
            <w:tcW w:w="0" w:type="auto"/>
            <w:tcBorders>
              <w:top w:val="single" w:sz="8" w:space="0" w:color="808080"/>
              <w:bottom w:val="single" w:sz="8" w:space="0" w:color="E87722"/>
            </w:tcBorders>
            <w:shd w:val="clear" w:color="auto" w:fill="auto"/>
            <w:tcMar>
              <w:top w:w="40" w:type="dxa"/>
              <w:left w:w="0" w:type="dxa"/>
              <w:bottom w:w="40" w:type="dxa"/>
              <w:right w:w="20" w:type="dxa"/>
            </w:tcMar>
            <w:vAlign w:val="bottom"/>
          </w:tcPr>
          <w:p w14:paraId="669C7B96" w14:textId="77777777" w:rsidR="00066C63" w:rsidRDefault="009656F6">
            <w:pPr>
              <w:jc w:val="right"/>
              <w:textAlignment w:val="bottom"/>
            </w:pPr>
            <w:r>
              <w:rPr>
                <w:rFonts w:ascii="Arial" w:eastAsia="宋体" w:hAnsi="Arial" w:cs="Arial"/>
                <w:color w:val="000000"/>
                <w:sz w:val="17"/>
                <w:szCs w:val="17"/>
              </w:rPr>
              <w:t>%</w:t>
            </w:r>
          </w:p>
        </w:tc>
        <w:tc>
          <w:tcPr>
            <w:tcW w:w="0" w:type="auto"/>
            <w:gridSpan w:val="3"/>
            <w:tcBorders>
              <w:top w:val="single" w:sz="8" w:space="0" w:color="808080"/>
              <w:bottom w:val="single" w:sz="8" w:space="0" w:color="E87722"/>
            </w:tcBorders>
            <w:shd w:val="clear" w:color="auto" w:fill="auto"/>
            <w:tcMar>
              <w:top w:w="0" w:type="dxa"/>
              <w:left w:w="20" w:type="dxa"/>
              <w:bottom w:w="0" w:type="dxa"/>
              <w:right w:w="20" w:type="dxa"/>
            </w:tcMar>
          </w:tcPr>
          <w:p w14:paraId="669C7B97" w14:textId="77777777" w:rsidR="00066C63" w:rsidRDefault="00066C63">
            <w:pPr>
              <w:rPr>
                <w:rFonts w:ascii="宋体"/>
              </w:rPr>
            </w:pPr>
          </w:p>
        </w:tc>
        <w:tc>
          <w:tcPr>
            <w:tcW w:w="0" w:type="auto"/>
            <w:gridSpan w:val="3"/>
            <w:tcBorders>
              <w:top w:val="single" w:sz="8" w:space="0" w:color="808080"/>
              <w:bottom w:val="single" w:sz="8" w:space="0" w:color="E87722"/>
            </w:tcBorders>
            <w:shd w:val="clear" w:color="auto" w:fill="auto"/>
            <w:tcMar>
              <w:top w:w="0" w:type="dxa"/>
              <w:left w:w="20" w:type="dxa"/>
              <w:bottom w:w="0" w:type="dxa"/>
              <w:right w:w="20" w:type="dxa"/>
            </w:tcMar>
          </w:tcPr>
          <w:p w14:paraId="669C7B98" w14:textId="77777777" w:rsidR="00066C63" w:rsidRDefault="00066C63">
            <w:pPr>
              <w:rPr>
                <w:rFonts w:ascii="宋体"/>
              </w:rPr>
            </w:pPr>
          </w:p>
        </w:tc>
        <w:tc>
          <w:tcPr>
            <w:tcW w:w="0" w:type="auto"/>
            <w:tcBorders>
              <w:top w:val="single" w:sz="8" w:space="0" w:color="808080"/>
              <w:bottom w:val="single" w:sz="8" w:space="0" w:color="E87722"/>
            </w:tcBorders>
            <w:shd w:val="clear" w:color="auto" w:fill="FFF1E7"/>
            <w:tcMar>
              <w:top w:w="40" w:type="dxa"/>
              <w:left w:w="20" w:type="dxa"/>
              <w:bottom w:w="40" w:type="dxa"/>
              <w:right w:w="0" w:type="dxa"/>
            </w:tcMar>
            <w:vAlign w:val="bottom"/>
          </w:tcPr>
          <w:p w14:paraId="669C7B99"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bottom w:val="single" w:sz="8" w:space="0" w:color="E87722"/>
            </w:tcBorders>
            <w:shd w:val="clear" w:color="auto" w:fill="FFF1E7"/>
            <w:tcMar>
              <w:top w:w="40" w:type="dxa"/>
              <w:left w:w="0" w:type="dxa"/>
              <w:bottom w:w="40" w:type="dxa"/>
              <w:right w:w="0" w:type="dxa"/>
            </w:tcMar>
            <w:vAlign w:val="bottom"/>
          </w:tcPr>
          <w:p w14:paraId="669C7B9A" w14:textId="77777777" w:rsidR="00066C63" w:rsidRDefault="009656F6">
            <w:pPr>
              <w:jc w:val="right"/>
              <w:textAlignment w:val="bottom"/>
            </w:pPr>
            <w:r>
              <w:rPr>
                <w:rFonts w:ascii="Arial" w:eastAsia="宋体" w:hAnsi="Arial" w:cs="Arial"/>
                <w:color w:val="000000"/>
                <w:sz w:val="17"/>
                <w:szCs w:val="17"/>
              </w:rPr>
              <w:t>(2,546)</w:t>
            </w:r>
          </w:p>
        </w:tc>
        <w:tc>
          <w:tcPr>
            <w:tcW w:w="0" w:type="auto"/>
            <w:tcBorders>
              <w:top w:val="single" w:sz="8" w:space="0" w:color="808080"/>
              <w:bottom w:val="single" w:sz="8" w:space="0" w:color="E87722"/>
            </w:tcBorders>
            <w:shd w:val="clear" w:color="auto" w:fill="FFF1E7"/>
            <w:tcMar>
              <w:top w:w="40" w:type="dxa"/>
              <w:left w:w="0" w:type="dxa"/>
              <w:bottom w:w="40" w:type="dxa"/>
              <w:right w:w="20" w:type="dxa"/>
            </w:tcMar>
            <w:vAlign w:val="bottom"/>
          </w:tcPr>
          <w:p w14:paraId="669C7B9B" w14:textId="77777777" w:rsidR="00066C63" w:rsidRDefault="00066C63">
            <w:pPr>
              <w:jc w:val="right"/>
              <w:rPr>
                <w:rFonts w:ascii="宋体"/>
              </w:rPr>
            </w:pPr>
          </w:p>
        </w:tc>
        <w:tc>
          <w:tcPr>
            <w:tcW w:w="0" w:type="auto"/>
            <w:tcBorders>
              <w:top w:val="single" w:sz="8" w:space="0" w:color="808080"/>
              <w:bottom w:val="single" w:sz="8" w:space="0" w:color="E87722"/>
            </w:tcBorders>
            <w:shd w:val="clear" w:color="auto" w:fill="auto"/>
            <w:tcMar>
              <w:top w:w="40" w:type="dxa"/>
              <w:left w:w="20" w:type="dxa"/>
              <w:bottom w:w="40" w:type="dxa"/>
              <w:right w:w="0" w:type="dxa"/>
            </w:tcMar>
            <w:vAlign w:val="bottom"/>
          </w:tcPr>
          <w:p w14:paraId="669C7B9C"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bottom w:val="single" w:sz="8" w:space="0" w:color="E87722"/>
            </w:tcBorders>
            <w:shd w:val="clear" w:color="auto" w:fill="auto"/>
            <w:tcMar>
              <w:top w:w="40" w:type="dxa"/>
              <w:left w:w="0" w:type="dxa"/>
              <w:bottom w:w="40" w:type="dxa"/>
              <w:right w:w="0" w:type="dxa"/>
            </w:tcMar>
            <w:vAlign w:val="bottom"/>
          </w:tcPr>
          <w:p w14:paraId="669C7B9D" w14:textId="77777777" w:rsidR="00066C63" w:rsidRDefault="009656F6">
            <w:pPr>
              <w:jc w:val="right"/>
              <w:textAlignment w:val="bottom"/>
            </w:pPr>
            <w:r>
              <w:rPr>
                <w:rFonts w:ascii="Arial" w:eastAsia="宋体" w:hAnsi="Arial" w:cs="Arial"/>
                <w:color w:val="000000"/>
                <w:sz w:val="17"/>
                <w:szCs w:val="17"/>
              </w:rPr>
              <w:t>(2,624)</w:t>
            </w:r>
          </w:p>
        </w:tc>
        <w:tc>
          <w:tcPr>
            <w:tcW w:w="0" w:type="auto"/>
            <w:tcBorders>
              <w:top w:val="single" w:sz="8" w:space="0" w:color="808080"/>
              <w:bottom w:val="single" w:sz="8" w:space="0" w:color="E87722"/>
            </w:tcBorders>
            <w:shd w:val="clear" w:color="auto" w:fill="auto"/>
            <w:tcMar>
              <w:top w:w="40" w:type="dxa"/>
              <w:left w:w="0" w:type="dxa"/>
              <w:bottom w:w="40" w:type="dxa"/>
              <w:right w:w="20" w:type="dxa"/>
            </w:tcMar>
            <w:vAlign w:val="bottom"/>
          </w:tcPr>
          <w:p w14:paraId="669C7B9E" w14:textId="77777777" w:rsidR="00066C63" w:rsidRDefault="00066C63">
            <w:pPr>
              <w:jc w:val="right"/>
              <w:rPr>
                <w:rFonts w:ascii="宋体"/>
              </w:rPr>
            </w:pPr>
          </w:p>
        </w:tc>
        <w:tc>
          <w:tcPr>
            <w:tcW w:w="0" w:type="auto"/>
            <w:gridSpan w:val="2"/>
            <w:tcBorders>
              <w:top w:val="single" w:sz="8" w:space="0" w:color="808080"/>
              <w:bottom w:val="single" w:sz="8" w:space="0" w:color="E87722"/>
            </w:tcBorders>
            <w:shd w:val="clear" w:color="auto" w:fill="auto"/>
            <w:tcMar>
              <w:top w:w="40" w:type="dxa"/>
              <w:left w:w="20" w:type="dxa"/>
              <w:bottom w:w="40" w:type="dxa"/>
              <w:right w:w="0" w:type="dxa"/>
            </w:tcMar>
            <w:vAlign w:val="bottom"/>
          </w:tcPr>
          <w:p w14:paraId="669C7B9F" w14:textId="77777777" w:rsidR="00066C63" w:rsidRDefault="009656F6">
            <w:pPr>
              <w:jc w:val="right"/>
              <w:textAlignment w:val="bottom"/>
            </w:pPr>
            <w:r>
              <w:rPr>
                <w:rFonts w:ascii="Arial" w:eastAsia="宋体" w:hAnsi="Arial" w:cs="Arial"/>
                <w:color w:val="000000"/>
                <w:sz w:val="17"/>
                <w:szCs w:val="17"/>
              </w:rPr>
              <w:t>3 </w:t>
            </w:r>
          </w:p>
        </w:tc>
        <w:tc>
          <w:tcPr>
            <w:tcW w:w="0" w:type="auto"/>
            <w:tcBorders>
              <w:top w:val="single" w:sz="8" w:space="0" w:color="808080"/>
              <w:bottom w:val="single" w:sz="8" w:space="0" w:color="E87722"/>
            </w:tcBorders>
            <w:shd w:val="clear" w:color="auto" w:fill="auto"/>
            <w:tcMar>
              <w:top w:w="40" w:type="dxa"/>
              <w:left w:w="0" w:type="dxa"/>
              <w:bottom w:w="40" w:type="dxa"/>
              <w:right w:w="20" w:type="dxa"/>
            </w:tcMar>
            <w:vAlign w:val="bottom"/>
          </w:tcPr>
          <w:p w14:paraId="669C7BA0" w14:textId="77777777" w:rsidR="00066C63" w:rsidRDefault="009656F6">
            <w:pPr>
              <w:jc w:val="right"/>
              <w:textAlignment w:val="bottom"/>
            </w:pPr>
            <w:r>
              <w:rPr>
                <w:rFonts w:ascii="Arial" w:eastAsia="宋体" w:hAnsi="Arial" w:cs="Arial"/>
                <w:color w:val="000000"/>
                <w:sz w:val="17"/>
                <w:szCs w:val="17"/>
              </w:rPr>
              <w:t>%</w:t>
            </w:r>
          </w:p>
        </w:tc>
        <w:tc>
          <w:tcPr>
            <w:tcW w:w="0" w:type="auto"/>
            <w:gridSpan w:val="3"/>
            <w:tcBorders>
              <w:top w:val="single" w:sz="8" w:space="0" w:color="808080"/>
              <w:bottom w:val="single" w:sz="8" w:space="0" w:color="E87722"/>
            </w:tcBorders>
            <w:shd w:val="clear" w:color="auto" w:fill="auto"/>
            <w:tcMar>
              <w:top w:w="0" w:type="dxa"/>
              <w:left w:w="20" w:type="dxa"/>
              <w:bottom w:w="0" w:type="dxa"/>
              <w:right w:w="20" w:type="dxa"/>
            </w:tcMar>
          </w:tcPr>
          <w:p w14:paraId="669C7BA1" w14:textId="77777777" w:rsidR="00066C63" w:rsidRDefault="00066C63">
            <w:pPr>
              <w:rPr>
                <w:rFonts w:ascii="宋体"/>
              </w:rPr>
            </w:pPr>
          </w:p>
        </w:tc>
      </w:tr>
    </w:tbl>
    <w:p w14:paraId="669C7BA3" w14:textId="77777777" w:rsidR="00066C63" w:rsidRDefault="009656F6">
      <w:pPr>
        <w:spacing w:before="120" w:after="120"/>
      </w:pPr>
      <w:r>
        <w:rPr>
          <w:rFonts w:ascii="Arial" w:eastAsia="宋体" w:hAnsi="Arial" w:cs="Arial"/>
          <w:color w:val="000000"/>
          <w:sz w:val="17"/>
          <w:szCs w:val="17"/>
        </w:rPr>
        <w:t xml:space="preserve">Global Brand Divisions primarily represent demand creation and operating </w:t>
      </w:r>
      <w:r>
        <w:rPr>
          <w:rFonts w:ascii="Arial" w:eastAsia="宋体" w:hAnsi="Arial" w:cs="Arial"/>
          <w:color w:val="000000"/>
          <w:sz w:val="17"/>
          <w:szCs w:val="17"/>
        </w:rPr>
        <w:t>overhead expense, including product creation and design expenses that are centrally managed for the NIKE Brand, as well as costs associated with NIKE Direct global digital operations and enterprise technology. Global Brand Divisions revenues include NIKE B</w:t>
      </w:r>
      <w:r>
        <w:rPr>
          <w:rFonts w:ascii="Arial" w:eastAsia="宋体" w:hAnsi="Arial" w:cs="Arial"/>
          <w:color w:val="000000"/>
          <w:sz w:val="17"/>
          <w:szCs w:val="17"/>
        </w:rPr>
        <w:t>rand licensing and other miscellaneous revenues that are not part of a geographic operating segment.</w:t>
      </w:r>
    </w:p>
    <w:p w14:paraId="669C7BA4" w14:textId="77777777" w:rsidR="00066C63" w:rsidRDefault="009656F6">
      <w:pPr>
        <w:spacing w:before="120"/>
      </w:pPr>
      <w:r>
        <w:rPr>
          <w:rFonts w:ascii="sans-serif" w:eastAsia="sans-serif" w:hAnsi="sans-serif" w:cs="sans-serif"/>
          <w:b/>
          <w:bCs/>
          <w:color w:val="808080"/>
          <w:sz w:val="22"/>
          <w:szCs w:val="22"/>
        </w:rPr>
        <w:t>THIRD QUARTER OF FISCAL 2021 COMPARED TO THIRD QUARTER OF FISCAL 2020</w:t>
      </w:r>
    </w:p>
    <w:p w14:paraId="669C7BA5" w14:textId="77777777" w:rsidR="00066C63" w:rsidRDefault="009656F6">
      <w:pPr>
        <w:spacing w:after="120"/>
      </w:pPr>
      <w:r>
        <w:rPr>
          <w:rFonts w:ascii="Arial" w:eastAsia="宋体" w:hAnsi="Arial" w:cs="Arial"/>
          <w:color w:val="000000"/>
          <w:sz w:val="17"/>
          <w:szCs w:val="17"/>
        </w:rPr>
        <w:t>Global Brand Divisions' loss before interest and taxes decreased 5% for the third qua</w:t>
      </w:r>
      <w:r>
        <w:rPr>
          <w:rFonts w:ascii="Arial" w:eastAsia="宋体" w:hAnsi="Arial" w:cs="Arial"/>
          <w:color w:val="000000"/>
          <w:sz w:val="17"/>
          <w:szCs w:val="17"/>
        </w:rPr>
        <w:t>rter of fiscal 2021 driven by lower total selling and administrative expense as lower demand creation expense was partially offset by higher operating overhead expense. Lower demand creation expense was primarily due to lower advertising and marketing cost</w:t>
      </w:r>
      <w:r>
        <w:rPr>
          <w:rFonts w:ascii="Arial" w:eastAsia="宋体" w:hAnsi="Arial" w:cs="Arial"/>
          <w:color w:val="000000"/>
          <w:sz w:val="17"/>
          <w:szCs w:val="17"/>
        </w:rPr>
        <w:t>s, while operating overhead expense increased primarily due to our continued investment in digital capabilities, partially offset by lower wage-related costs and lower travel and related expenses.</w:t>
      </w:r>
    </w:p>
    <w:p w14:paraId="669C7BA6" w14:textId="77777777" w:rsidR="00066C63" w:rsidRDefault="009656F6">
      <w:pPr>
        <w:spacing w:before="120"/>
      </w:pPr>
      <w:r>
        <w:rPr>
          <w:rFonts w:ascii="sans-serif" w:eastAsia="sans-serif" w:hAnsi="sans-serif" w:cs="sans-serif"/>
          <w:b/>
          <w:bCs/>
          <w:color w:val="808080"/>
          <w:sz w:val="22"/>
          <w:szCs w:val="22"/>
        </w:rPr>
        <w:t xml:space="preserve">FIRST NINE MONTHS OF FISCAL 2021 COMPARED TO FIRST NINE </w:t>
      </w:r>
      <w:r>
        <w:rPr>
          <w:rFonts w:ascii="sans-serif" w:eastAsia="sans-serif" w:hAnsi="sans-serif" w:cs="sans-serif"/>
          <w:b/>
          <w:bCs/>
          <w:color w:val="808080"/>
          <w:sz w:val="22"/>
          <w:szCs w:val="22"/>
        </w:rPr>
        <w:t>MONTHS OF FISCAL 2020</w:t>
      </w:r>
    </w:p>
    <w:p w14:paraId="669C7BA7" w14:textId="77777777" w:rsidR="00066C63" w:rsidRDefault="009656F6">
      <w:pPr>
        <w:spacing w:after="120"/>
      </w:pPr>
      <w:r>
        <w:rPr>
          <w:rFonts w:ascii="Arial" w:eastAsia="宋体" w:hAnsi="Arial" w:cs="Arial"/>
          <w:color w:val="000000"/>
          <w:sz w:val="17"/>
          <w:szCs w:val="17"/>
        </w:rPr>
        <w:t>Global Brand Divisions' loss before interest and taxes decreased 3% for the first nine months of fiscal 2021 driven by lower total selling and administrative expense. Lower demand creation expense was primarily due to lower sports mar</w:t>
      </w:r>
      <w:r>
        <w:rPr>
          <w:rFonts w:ascii="Arial" w:eastAsia="宋体" w:hAnsi="Arial" w:cs="Arial"/>
          <w:color w:val="000000"/>
          <w:sz w:val="17"/>
          <w:szCs w:val="17"/>
        </w:rPr>
        <w:t>keting costs, as well as lower advertising and marketing expense. The decrease in operating overhead expense was primarily due to lower travel and related expenses as well as lower wage-related costs, partially offset by our continued investment in digital</w:t>
      </w:r>
      <w:r>
        <w:rPr>
          <w:rFonts w:ascii="Arial" w:eastAsia="宋体" w:hAnsi="Arial" w:cs="Arial"/>
          <w:color w:val="000000"/>
          <w:sz w:val="17"/>
          <w:szCs w:val="17"/>
        </w:rPr>
        <w:t xml:space="preserve"> capabilities.</w:t>
      </w:r>
    </w:p>
    <w:p w14:paraId="669C7BA8" w14:textId="77777777" w:rsidR="00066C63" w:rsidRDefault="009656F6">
      <w:pPr>
        <w:spacing w:before="120" w:after="120"/>
      </w:pPr>
      <w:r>
        <w:rPr>
          <w:rFonts w:ascii="Arial" w:eastAsia="宋体" w:hAnsi="Arial" w:cs="Arial"/>
          <w:color w:val="E87722"/>
          <w:sz w:val="17"/>
          <w:szCs w:val="17"/>
        </w:rPr>
        <w:t>38</w:t>
      </w:r>
      <w:r>
        <w:rPr>
          <w:rFonts w:ascii="sans-serif" w:eastAsia="sans-serif" w:hAnsi="sans-serif" w:cs="sans-serif"/>
          <w:color w:val="000000"/>
          <w:sz w:val="17"/>
          <w:szCs w:val="17"/>
        </w:rPr>
        <w:t xml:space="preserve"> </w:t>
      </w:r>
    </w:p>
    <w:p w14:paraId="669C7BA9" w14:textId="77777777" w:rsidR="00066C63" w:rsidRDefault="009656F6">
      <w:r>
        <w:pict w14:anchorId="669C7E56">
          <v:rect id="_x0000_i1064" style="width:415.3pt;height:1.5pt" o:hralign="center" o:hrstd="t" o:hr="t" fillcolor="#a0a0a0" stroked="f"/>
        </w:pict>
      </w:r>
    </w:p>
    <w:p w14:paraId="669C7BAA" w14:textId="77777777" w:rsidR="00066C63" w:rsidRDefault="00066C63">
      <w:pPr>
        <w:spacing w:before="120" w:after="120"/>
      </w:pPr>
    </w:p>
    <w:p w14:paraId="669C7BAB" w14:textId="77777777" w:rsidR="00066C63" w:rsidRDefault="009656F6">
      <w:pPr>
        <w:spacing w:before="240" w:after="120"/>
      </w:pPr>
      <w:r>
        <w:rPr>
          <w:rFonts w:ascii="sans-serif" w:eastAsia="sans-serif" w:hAnsi="sans-serif" w:cs="sans-serif"/>
          <w:b/>
          <w:bCs/>
          <w:color w:val="000000"/>
          <w:sz w:val="28"/>
          <w:szCs w:val="28"/>
        </w:rPr>
        <w:t>CONVERSE</w:t>
      </w:r>
    </w:p>
    <w:tbl>
      <w:tblPr>
        <w:tblW w:w="5000" w:type="pct"/>
        <w:tblCellMar>
          <w:top w:w="15" w:type="dxa"/>
          <w:left w:w="15" w:type="dxa"/>
          <w:bottom w:w="15" w:type="dxa"/>
          <w:right w:w="15" w:type="dxa"/>
        </w:tblCellMar>
        <w:tblLook w:val="04A0" w:firstRow="1" w:lastRow="0" w:firstColumn="1" w:lastColumn="0" w:noHBand="0" w:noVBand="1"/>
      </w:tblPr>
      <w:tblGrid>
        <w:gridCol w:w="175"/>
        <w:gridCol w:w="1401"/>
        <w:gridCol w:w="36"/>
        <w:gridCol w:w="110"/>
        <w:gridCol w:w="653"/>
        <w:gridCol w:w="36"/>
        <w:gridCol w:w="110"/>
        <w:gridCol w:w="653"/>
        <w:gridCol w:w="36"/>
        <w:gridCol w:w="79"/>
        <w:gridCol w:w="514"/>
        <w:gridCol w:w="161"/>
        <w:gridCol w:w="95"/>
        <w:gridCol w:w="700"/>
        <w:gridCol w:w="161"/>
        <w:gridCol w:w="40"/>
        <w:gridCol w:w="32"/>
        <w:gridCol w:w="36"/>
        <w:gridCol w:w="110"/>
        <w:gridCol w:w="653"/>
        <w:gridCol w:w="36"/>
        <w:gridCol w:w="110"/>
        <w:gridCol w:w="653"/>
        <w:gridCol w:w="36"/>
        <w:gridCol w:w="79"/>
        <w:gridCol w:w="514"/>
        <w:gridCol w:w="161"/>
        <w:gridCol w:w="95"/>
        <w:gridCol w:w="700"/>
        <w:gridCol w:w="161"/>
      </w:tblGrid>
      <w:tr w:rsidR="00066C63" w14:paraId="669C7BCA" w14:textId="77777777">
        <w:tc>
          <w:tcPr>
            <w:tcW w:w="50" w:type="pct"/>
            <w:shd w:val="clear" w:color="auto" w:fill="auto"/>
          </w:tcPr>
          <w:p w14:paraId="669C7BAC" w14:textId="77777777" w:rsidR="00066C63" w:rsidRDefault="00066C63">
            <w:pPr>
              <w:rPr>
                <w:rFonts w:ascii="宋体"/>
              </w:rPr>
            </w:pPr>
          </w:p>
        </w:tc>
        <w:tc>
          <w:tcPr>
            <w:tcW w:w="1233" w:type="pct"/>
            <w:shd w:val="clear" w:color="auto" w:fill="auto"/>
          </w:tcPr>
          <w:p w14:paraId="669C7BAD" w14:textId="77777777" w:rsidR="00066C63" w:rsidRDefault="00066C63">
            <w:pPr>
              <w:rPr>
                <w:rFonts w:ascii="宋体"/>
              </w:rPr>
            </w:pPr>
          </w:p>
        </w:tc>
        <w:tc>
          <w:tcPr>
            <w:tcW w:w="5" w:type="pct"/>
            <w:shd w:val="clear" w:color="auto" w:fill="auto"/>
          </w:tcPr>
          <w:p w14:paraId="669C7BAE" w14:textId="77777777" w:rsidR="00066C63" w:rsidRDefault="00066C63">
            <w:pPr>
              <w:rPr>
                <w:rFonts w:ascii="宋体"/>
              </w:rPr>
            </w:pPr>
          </w:p>
        </w:tc>
        <w:tc>
          <w:tcPr>
            <w:tcW w:w="50" w:type="pct"/>
            <w:shd w:val="clear" w:color="auto" w:fill="auto"/>
          </w:tcPr>
          <w:p w14:paraId="669C7BAF" w14:textId="77777777" w:rsidR="00066C63" w:rsidRDefault="00066C63">
            <w:pPr>
              <w:rPr>
                <w:rFonts w:ascii="宋体"/>
              </w:rPr>
            </w:pPr>
          </w:p>
        </w:tc>
        <w:tc>
          <w:tcPr>
            <w:tcW w:w="446" w:type="pct"/>
            <w:shd w:val="clear" w:color="auto" w:fill="auto"/>
          </w:tcPr>
          <w:p w14:paraId="669C7BB0" w14:textId="77777777" w:rsidR="00066C63" w:rsidRDefault="00066C63">
            <w:pPr>
              <w:rPr>
                <w:rFonts w:ascii="宋体"/>
              </w:rPr>
            </w:pPr>
          </w:p>
        </w:tc>
        <w:tc>
          <w:tcPr>
            <w:tcW w:w="5" w:type="pct"/>
            <w:shd w:val="clear" w:color="auto" w:fill="auto"/>
          </w:tcPr>
          <w:p w14:paraId="669C7BB1" w14:textId="77777777" w:rsidR="00066C63" w:rsidRDefault="00066C63">
            <w:pPr>
              <w:rPr>
                <w:rFonts w:ascii="宋体"/>
              </w:rPr>
            </w:pPr>
          </w:p>
        </w:tc>
        <w:tc>
          <w:tcPr>
            <w:tcW w:w="50" w:type="pct"/>
            <w:shd w:val="clear" w:color="auto" w:fill="auto"/>
          </w:tcPr>
          <w:p w14:paraId="669C7BB2" w14:textId="77777777" w:rsidR="00066C63" w:rsidRDefault="00066C63">
            <w:pPr>
              <w:rPr>
                <w:rFonts w:ascii="宋体"/>
              </w:rPr>
            </w:pPr>
          </w:p>
        </w:tc>
        <w:tc>
          <w:tcPr>
            <w:tcW w:w="446" w:type="pct"/>
            <w:shd w:val="clear" w:color="auto" w:fill="auto"/>
          </w:tcPr>
          <w:p w14:paraId="669C7BB3" w14:textId="77777777" w:rsidR="00066C63" w:rsidRDefault="00066C63">
            <w:pPr>
              <w:rPr>
                <w:rFonts w:ascii="宋体"/>
              </w:rPr>
            </w:pPr>
          </w:p>
        </w:tc>
        <w:tc>
          <w:tcPr>
            <w:tcW w:w="5" w:type="pct"/>
            <w:shd w:val="clear" w:color="auto" w:fill="auto"/>
          </w:tcPr>
          <w:p w14:paraId="669C7BB4" w14:textId="77777777" w:rsidR="00066C63" w:rsidRDefault="00066C63">
            <w:pPr>
              <w:rPr>
                <w:rFonts w:ascii="宋体"/>
              </w:rPr>
            </w:pPr>
          </w:p>
        </w:tc>
        <w:tc>
          <w:tcPr>
            <w:tcW w:w="50" w:type="pct"/>
            <w:shd w:val="clear" w:color="auto" w:fill="auto"/>
          </w:tcPr>
          <w:p w14:paraId="669C7BB5" w14:textId="77777777" w:rsidR="00066C63" w:rsidRDefault="00066C63">
            <w:pPr>
              <w:rPr>
                <w:rFonts w:ascii="宋体"/>
              </w:rPr>
            </w:pPr>
          </w:p>
        </w:tc>
        <w:tc>
          <w:tcPr>
            <w:tcW w:w="338" w:type="pct"/>
            <w:shd w:val="clear" w:color="auto" w:fill="auto"/>
          </w:tcPr>
          <w:p w14:paraId="669C7BB6" w14:textId="77777777" w:rsidR="00066C63" w:rsidRDefault="00066C63">
            <w:pPr>
              <w:rPr>
                <w:rFonts w:ascii="宋体"/>
              </w:rPr>
            </w:pPr>
          </w:p>
        </w:tc>
        <w:tc>
          <w:tcPr>
            <w:tcW w:w="5" w:type="pct"/>
            <w:shd w:val="clear" w:color="auto" w:fill="auto"/>
          </w:tcPr>
          <w:p w14:paraId="669C7BB7" w14:textId="77777777" w:rsidR="00066C63" w:rsidRDefault="00066C63">
            <w:pPr>
              <w:rPr>
                <w:rFonts w:ascii="宋体"/>
              </w:rPr>
            </w:pPr>
          </w:p>
        </w:tc>
        <w:tc>
          <w:tcPr>
            <w:tcW w:w="50" w:type="pct"/>
            <w:shd w:val="clear" w:color="auto" w:fill="auto"/>
          </w:tcPr>
          <w:p w14:paraId="669C7BB8" w14:textId="77777777" w:rsidR="00066C63" w:rsidRDefault="00066C63">
            <w:pPr>
              <w:rPr>
                <w:rFonts w:ascii="宋体"/>
              </w:rPr>
            </w:pPr>
          </w:p>
        </w:tc>
        <w:tc>
          <w:tcPr>
            <w:tcW w:w="384" w:type="pct"/>
            <w:shd w:val="clear" w:color="auto" w:fill="auto"/>
          </w:tcPr>
          <w:p w14:paraId="669C7BB9" w14:textId="77777777" w:rsidR="00066C63" w:rsidRDefault="00066C63">
            <w:pPr>
              <w:rPr>
                <w:rFonts w:ascii="宋体"/>
              </w:rPr>
            </w:pPr>
          </w:p>
        </w:tc>
        <w:tc>
          <w:tcPr>
            <w:tcW w:w="5" w:type="pct"/>
            <w:shd w:val="clear" w:color="auto" w:fill="auto"/>
          </w:tcPr>
          <w:p w14:paraId="669C7BBA" w14:textId="77777777" w:rsidR="00066C63" w:rsidRDefault="00066C63">
            <w:pPr>
              <w:rPr>
                <w:rFonts w:ascii="宋体"/>
              </w:rPr>
            </w:pPr>
          </w:p>
        </w:tc>
        <w:tc>
          <w:tcPr>
            <w:tcW w:w="5" w:type="pct"/>
            <w:shd w:val="clear" w:color="auto" w:fill="auto"/>
          </w:tcPr>
          <w:p w14:paraId="669C7BBB" w14:textId="77777777" w:rsidR="00066C63" w:rsidRDefault="00066C63">
            <w:pPr>
              <w:rPr>
                <w:rFonts w:ascii="宋体"/>
              </w:rPr>
            </w:pPr>
          </w:p>
        </w:tc>
        <w:tc>
          <w:tcPr>
            <w:tcW w:w="28" w:type="pct"/>
            <w:shd w:val="clear" w:color="auto" w:fill="auto"/>
          </w:tcPr>
          <w:p w14:paraId="669C7BBC" w14:textId="77777777" w:rsidR="00066C63" w:rsidRDefault="00066C63">
            <w:pPr>
              <w:rPr>
                <w:rFonts w:ascii="宋体"/>
              </w:rPr>
            </w:pPr>
          </w:p>
        </w:tc>
        <w:tc>
          <w:tcPr>
            <w:tcW w:w="5" w:type="pct"/>
            <w:shd w:val="clear" w:color="auto" w:fill="auto"/>
          </w:tcPr>
          <w:p w14:paraId="669C7BBD" w14:textId="77777777" w:rsidR="00066C63" w:rsidRDefault="00066C63">
            <w:pPr>
              <w:rPr>
                <w:rFonts w:ascii="宋体"/>
              </w:rPr>
            </w:pPr>
          </w:p>
        </w:tc>
        <w:tc>
          <w:tcPr>
            <w:tcW w:w="50" w:type="pct"/>
            <w:shd w:val="clear" w:color="auto" w:fill="auto"/>
          </w:tcPr>
          <w:p w14:paraId="669C7BBE" w14:textId="77777777" w:rsidR="00066C63" w:rsidRDefault="00066C63">
            <w:pPr>
              <w:rPr>
                <w:rFonts w:ascii="宋体"/>
              </w:rPr>
            </w:pPr>
          </w:p>
        </w:tc>
        <w:tc>
          <w:tcPr>
            <w:tcW w:w="446" w:type="pct"/>
            <w:shd w:val="clear" w:color="auto" w:fill="auto"/>
          </w:tcPr>
          <w:p w14:paraId="669C7BBF" w14:textId="77777777" w:rsidR="00066C63" w:rsidRDefault="00066C63">
            <w:pPr>
              <w:rPr>
                <w:rFonts w:ascii="宋体"/>
              </w:rPr>
            </w:pPr>
          </w:p>
        </w:tc>
        <w:tc>
          <w:tcPr>
            <w:tcW w:w="5" w:type="pct"/>
            <w:shd w:val="clear" w:color="auto" w:fill="auto"/>
          </w:tcPr>
          <w:p w14:paraId="669C7BC0" w14:textId="77777777" w:rsidR="00066C63" w:rsidRDefault="00066C63">
            <w:pPr>
              <w:rPr>
                <w:rFonts w:ascii="宋体"/>
              </w:rPr>
            </w:pPr>
          </w:p>
        </w:tc>
        <w:tc>
          <w:tcPr>
            <w:tcW w:w="50" w:type="pct"/>
            <w:shd w:val="clear" w:color="auto" w:fill="auto"/>
          </w:tcPr>
          <w:p w14:paraId="669C7BC1" w14:textId="77777777" w:rsidR="00066C63" w:rsidRDefault="00066C63">
            <w:pPr>
              <w:rPr>
                <w:rFonts w:ascii="宋体"/>
              </w:rPr>
            </w:pPr>
          </w:p>
        </w:tc>
        <w:tc>
          <w:tcPr>
            <w:tcW w:w="446" w:type="pct"/>
            <w:shd w:val="clear" w:color="auto" w:fill="auto"/>
          </w:tcPr>
          <w:p w14:paraId="669C7BC2" w14:textId="77777777" w:rsidR="00066C63" w:rsidRDefault="00066C63">
            <w:pPr>
              <w:rPr>
                <w:rFonts w:ascii="宋体"/>
              </w:rPr>
            </w:pPr>
          </w:p>
        </w:tc>
        <w:tc>
          <w:tcPr>
            <w:tcW w:w="5" w:type="pct"/>
            <w:shd w:val="clear" w:color="auto" w:fill="auto"/>
          </w:tcPr>
          <w:p w14:paraId="669C7BC3" w14:textId="77777777" w:rsidR="00066C63" w:rsidRDefault="00066C63">
            <w:pPr>
              <w:rPr>
                <w:rFonts w:ascii="宋体"/>
              </w:rPr>
            </w:pPr>
          </w:p>
        </w:tc>
        <w:tc>
          <w:tcPr>
            <w:tcW w:w="50" w:type="pct"/>
            <w:shd w:val="clear" w:color="auto" w:fill="auto"/>
          </w:tcPr>
          <w:p w14:paraId="669C7BC4" w14:textId="77777777" w:rsidR="00066C63" w:rsidRDefault="00066C63">
            <w:pPr>
              <w:rPr>
                <w:rFonts w:ascii="宋体"/>
              </w:rPr>
            </w:pPr>
          </w:p>
        </w:tc>
        <w:tc>
          <w:tcPr>
            <w:tcW w:w="338" w:type="pct"/>
            <w:shd w:val="clear" w:color="auto" w:fill="auto"/>
          </w:tcPr>
          <w:p w14:paraId="669C7BC5" w14:textId="77777777" w:rsidR="00066C63" w:rsidRDefault="00066C63">
            <w:pPr>
              <w:rPr>
                <w:rFonts w:ascii="宋体"/>
              </w:rPr>
            </w:pPr>
          </w:p>
        </w:tc>
        <w:tc>
          <w:tcPr>
            <w:tcW w:w="5" w:type="pct"/>
            <w:shd w:val="clear" w:color="auto" w:fill="auto"/>
          </w:tcPr>
          <w:p w14:paraId="669C7BC6" w14:textId="77777777" w:rsidR="00066C63" w:rsidRDefault="00066C63">
            <w:pPr>
              <w:rPr>
                <w:rFonts w:ascii="宋体"/>
              </w:rPr>
            </w:pPr>
          </w:p>
        </w:tc>
        <w:tc>
          <w:tcPr>
            <w:tcW w:w="50" w:type="pct"/>
            <w:shd w:val="clear" w:color="auto" w:fill="auto"/>
          </w:tcPr>
          <w:p w14:paraId="669C7BC7" w14:textId="77777777" w:rsidR="00066C63" w:rsidRDefault="00066C63">
            <w:pPr>
              <w:rPr>
                <w:rFonts w:ascii="宋体"/>
              </w:rPr>
            </w:pPr>
          </w:p>
        </w:tc>
        <w:tc>
          <w:tcPr>
            <w:tcW w:w="385" w:type="pct"/>
            <w:shd w:val="clear" w:color="auto" w:fill="auto"/>
          </w:tcPr>
          <w:p w14:paraId="669C7BC8" w14:textId="77777777" w:rsidR="00066C63" w:rsidRDefault="00066C63">
            <w:pPr>
              <w:rPr>
                <w:rFonts w:ascii="宋体"/>
              </w:rPr>
            </w:pPr>
          </w:p>
        </w:tc>
        <w:tc>
          <w:tcPr>
            <w:tcW w:w="5" w:type="pct"/>
            <w:shd w:val="clear" w:color="auto" w:fill="auto"/>
          </w:tcPr>
          <w:p w14:paraId="669C7BC9" w14:textId="77777777" w:rsidR="00066C63" w:rsidRDefault="00066C63">
            <w:pPr>
              <w:rPr>
                <w:rFonts w:ascii="宋体"/>
              </w:rPr>
            </w:pPr>
          </w:p>
        </w:tc>
      </w:tr>
      <w:tr w:rsidR="00066C63" w14:paraId="669C7BCF" w14:textId="77777777">
        <w:tc>
          <w:tcPr>
            <w:tcW w:w="0" w:type="auto"/>
            <w:gridSpan w:val="3"/>
            <w:shd w:val="clear" w:color="auto" w:fill="auto"/>
            <w:tcMar>
              <w:top w:w="0" w:type="dxa"/>
              <w:left w:w="20" w:type="dxa"/>
              <w:bottom w:w="0" w:type="dxa"/>
              <w:right w:w="20" w:type="dxa"/>
            </w:tcMar>
          </w:tcPr>
          <w:p w14:paraId="669C7BCB" w14:textId="77777777" w:rsidR="00066C63" w:rsidRDefault="00066C63">
            <w:pPr>
              <w:rPr>
                <w:rFonts w:ascii="宋体"/>
              </w:rPr>
            </w:pPr>
          </w:p>
        </w:tc>
        <w:tc>
          <w:tcPr>
            <w:tcW w:w="0" w:type="auto"/>
            <w:gridSpan w:val="12"/>
            <w:shd w:val="clear" w:color="auto" w:fill="auto"/>
            <w:tcMar>
              <w:top w:w="40" w:type="dxa"/>
              <w:left w:w="20" w:type="dxa"/>
              <w:bottom w:w="40" w:type="dxa"/>
              <w:right w:w="20" w:type="dxa"/>
            </w:tcMar>
            <w:vAlign w:val="bottom"/>
          </w:tcPr>
          <w:p w14:paraId="669C7BCC" w14:textId="77777777" w:rsidR="00066C63" w:rsidRDefault="009656F6">
            <w:pPr>
              <w:jc w:val="center"/>
              <w:textAlignment w:val="bottom"/>
            </w:pPr>
            <w:r>
              <w:rPr>
                <w:rFonts w:ascii="sans-serif" w:eastAsia="sans-serif" w:hAnsi="sans-serif" w:cs="sans-serif"/>
                <w:b/>
                <w:bCs/>
                <w:color w:val="000000"/>
                <w:sz w:val="17"/>
                <w:szCs w:val="17"/>
              </w:rPr>
              <w:t xml:space="preserve">THREE MONTHS ENDED </w:t>
            </w:r>
          </w:p>
        </w:tc>
        <w:tc>
          <w:tcPr>
            <w:tcW w:w="0" w:type="auto"/>
            <w:gridSpan w:val="3"/>
            <w:shd w:val="clear" w:color="auto" w:fill="auto"/>
            <w:tcMar>
              <w:top w:w="0" w:type="dxa"/>
              <w:left w:w="20" w:type="dxa"/>
              <w:bottom w:w="0" w:type="dxa"/>
              <w:right w:w="20" w:type="dxa"/>
            </w:tcMar>
          </w:tcPr>
          <w:p w14:paraId="669C7BCD" w14:textId="77777777" w:rsidR="00066C63" w:rsidRDefault="00066C63">
            <w:pPr>
              <w:rPr>
                <w:rFonts w:ascii="宋体"/>
              </w:rPr>
            </w:pPr>
          </w:p>
        </w:tc>
        <w:tc>
          <w:tcPr>
            <w:tcW w:w="0" w:type="auto"/>
            <w:gridSpan w:val="12"/>
            <w:shd w:val="clear" w:color="auto" w:fill="auto"/>
            <w:tcMar>
              <w:top w:w="40" w:type="dxa"/>
              <w:left w:w="20" w:type="dxa"/>
              <w:bottom w:w="40" w:type="dxa"/>
              <w:right w:w="20" w:type="dxa"/>
            </w:tcMar>
            <w:vAlign w:val="bottom"/>
          </w:tcPr>
          <w:p w14:paraId="669C7BCE" w14:textId="77777777" w:rsidR="00066C63" w:rsidRDefault="009656F6">
            <w:pPr>
              <w:jc w:val="center"/>
              <w:textAlignment w:val="bottom"/>
            </w:pPr>
            <w:r>
              <w:rPr>
                <w:rFonts w:ascii="sans-serif" w:eastAsia="sans-serif" w:hAnsi="sans-serif" w:cs="sans-serif"/>
                <w:b/>
                <w:bCs/>
                <w:color w:val="000000"/>
                <w:sz w:val="17"/>
                <w:szCs w:val="17"/>
              </w:rPr>
              <w:t xml:space="preserve">NINE MONTHS ENDED </w:t>
            </w:r>
          </w:p>
        </w:tc>
      </w:tr>
      <w:tr w:rsidR="00066C63" w14:paraId="669C7BDA" w14:textId="77777777">
        <w:tc>
          <w:tcPr>
            <w:tcW w:w="0" w:type="auto"/>
            <w:gridSpan w:val="3"/>
            <w:shd w:val="clear" w:color="auto" w:fill="auto"/>
            <w:tcMar>
              <w:top w:w="40" w:type="dxa"/>
              <w:left w:w="20" w:type="dxa"/>
              <w:bottom w:w="40" w:type="dxa"/>
              <w:right w:w="20" w:type="dxa"/>
            </w:tcMar>
            <w:vAlign w:val="bottom"/>
          </w:tcPr>
          <w:p w14:paraId="669C7BD0" w14:textId="77777777" w:rsidR="00066C63" w:rsidRDefault="009656F6">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BD1" w14:textId="77777777" w:rsidR="00066C63" w:rsidRDefault="009656F6">
            <w:pPr>
              <w:jc w:val="center"/>
              <w:textAlignment w:val="bottom"/>
            </w:pPr>
            <w:r>
              <w:rPr>
                <w:rFonts w:ascii="sans-serif" w:eastAsia="sans-serif" w:hAnsi="sans-serif" w:cs="sans-serif"/>
                <w:b/>
                <w:bCs/>
                <w:color w:val="000000"/>
                <w:sz w:val="17"/>
                <w:szCs w:val="17"/>
              </w:rPr>
              <w:t>FEBRUARY 28, 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BD2" w14:textId="77777777" w:rsidR="00066C63" w:rsidRDefault="009656F6">
            <w:pPr>
              <w:jc w:val="center"/>
              <w:textAlignment w:val="bottom"/>
            </w:pPr>
            <w:r>
              <w:rPr>
                <w:rFonts w:ascii="sans-serif" w:eastAsia="sans-serif" w:hAnsi="sans-serif" w:cs="sans-serif"/>
                <w:b/>
                <w:bCs/>
                <w:color w:val="000000"/>
                <w:sz w:val="17"/>
                <w:szCs w:val="17"/>
              </w:rPr>
              <w:t>FEBRUARY 29, 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BD3" w14:textId="77777777" w:rsidR="00066C63" w:rsidRDefault="009656F6">
            <w:pPr>
              <w:jc w:val="right"/>
              <w:textAlignment w:val="bottom"/>
            </w:pPr>
            <w:r>
              <w:rPr>
                <w:rFonts w:ascii="sans-serif" w:eastAsia="sans-serif" w:hAnsi="sans-serif" w:cs="sans-serif"/>
                <w:b/>
                <w:bCs/>
                <w:color w:val="000000"/>
                <w:sz w:val="17"/>
                <w:szCs w:val="17"/>
              </w:rPr>
              <w:t>% CHANGE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BD4" w14:textId="77777777" w:rsidR="00066C63" w:rsidRDefault="009656F6">
            <w:pPr>
              <w:jc w:val="right"/>
              <w:textAlignment w:val="bottom"/>
            </w:pPr>
            <w:r>
              <w:rPr>
                <w:rFonts w:ascii="sans-serif" w:eastAsia="sans-serif" w:hAnsi="sans-serif" w:cs="sans-serif"/>
                <w:b/>
                <w:bCs/>
                <w:color w:val="000000"/>
                <w:sz w:val="17"/>
                <w:szCs w:val="17"/>
              </w:rPr>
              <w:t xml:space="preserve">% CHANGE </w:t>
            </w:r>
            <w:r>
              <w:rPr>
                <w:rFonts w:ascii="sans-serif" w:eastAsia="sans-serif" w:hAnsi="sans-serif" w:cs="sans-serif"/>
                <w:b/>
                <w:bCs/>
                <w:color w:val="000000"/>
                <w:sz w:val="17"/>
                <w:szCs w:val="17"/>
              </w:rPr>
              <w:t>EXCLUDING CURRENCY CHANGES</w:t>
            </w:r>
          </w:p>
        </w:tc>
        <w:tc>
          <w:tcPr>
            <w:tcW w:w="0" w:type="auto"/>
            <w:gridSpan w:val="3"/>
            <w:shd w:val="clear" w:color="auto" w:fill="auto"/>
            <w:tcMar>
              <w:top w:w="0" w:type="dxa"/>
              <w:left w:w="20" w:type="dxa"/>
              <w:bottom w:w="0" w:type="dxa"/>
              <w:right w:w="20" w:type="dxa"/>
            </w:tcMar>
          </w:tcPr>
          <w:p w14:paraId="669C7BD5" w14:textId="77777777" w:rsidR="00066C63" w:rsidRDefault="00066C63">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BD6" w14:textId="77777777" w:rsidR="00066C63" w:rsidRDefault="009656F6">
            <w:pPr>
              <w:jc w:val="center"/>
              <w:textAlignment w:val="bottom"/>
            </w:pPr>
            <w:r>
              <w:rPr>
                <w:rFonts w:ascii="sans-serif" w:eastAsia="sans-serif" w:hAnsi="sans-serif" w:cs="sans-serif"/>
                <w:b/>
                <w:bCs/>
                <w:color w:val="000000"/>
                <w:sz w:val="17"/>
                <w:szCs w:val="17"/>
              </w:rPr>
              <w:t>FEBRUARY 28, 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BD7" w14:textId="77777777" w:rsidR="00066C63" w:rsidRDefault="009656F6">
            <w:pPr>
              <w:jc w:val="center"/>
              <w:textAlignment w:val="bottom"/>
            </w:pPr>
            <w:r>
              <w:rPr>
                <w:rFonts w:ascii="sans-serif" w:eastAsia="sans-serif" w:hAnsi="sans-serif" w:cs="sans-serif"/>
                <w:b/>
                <w:bCs/>
                <w:color w:val="000000"/>
                <w:sz w:val="17"/>
                <w:szCs w:val="17"/>
              </w:rPr>
              <w:t>FEBRUARY 29, 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BD8" w14:textId="77777777" w:rsidR="00066C63" w:rsidRDefault="009656F6">
            <w:pPr>
              <w:jc w:val="right"/>
              <w:textAlignment w:val="bottom"/>
            </w:pPr>
            <w:r>
              <w:rPr>
                <w:rFonts w:ascii="sans-serif" w:eastAsia="sans-serif" w:hAnsi="sans-serif" w:cs="sans-serif"/>
                <w:b/>
                <w:bCs/>
                <w:color w:val="000000"/>
                <w:sz w:val="17"/>
                <w:szCs w:val="17"/>
              </w:rPr>
              <w:t>% CHANGE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BD9" w14:textId="77777777" w:rsidR="00066C63" w:rsidRDefault="009656F6">
            <w:pPr>
              <w:jc w:val="right"/>
              <w:textAlignment w:val="bottom"/>
            </w:pPr>
            <w:r>
              <w:rPr>
                <w:rFonts w:ascii="sans-serif" w:eastAsia="sans-serif" w:hAnsi="sans-serif" w:cs="sans-serif"/>
                <w:b/>
                <w:bCs/>
                <w:color w:val="000000"/>
                <w:sz w:val="17"/>
                <w:szCs w:val="17"/>
              </w:rPr>
              <w:t>% CHANGE EXCLUDING CURRENCY CHANGES</w:t>
            </w:r>
          </w:p>
        </w:tc>
      </w:tr>
      <w:tr w:rsidR="00066C63" w14:paraId="669C7BE5"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BDB" w14:textId="77777777" w:rsidR="00066C63" w:rsidRDefault="009656F6">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FFF1E7"/>
            <w:tcMar>
              <w:top w:w="0" w:type="dxa"/>
              <w:left w:w="20" w:type="dxa"/>
              <w:bottom w:w="0" w:type="dxa"/>
              <w:right w:w="20" w:type="dxa"/>
            </w:tcMar>
          </w:tcPr>
          <w:p w14:paraId="669C7BDC"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7BDD"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7BDE"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7BDF"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7BE0" w14:textId="77777777" w:rsidR="00066C63" w:rsidRDefault="00066C63">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669C7BE1"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7BE2"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7BE3"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7BE4" w14:textId="77777777" w:rsidR="00066C63" w:rsidRDefault="00066C63">
            <w:pPr>
              <w:rPr>
                <w:rFonts w:ascii="宋体"/>
              </w:rPr>
            </w:pPr>
          </w:p>
        </w:tc>
      </w:tr>
      <w:tr w:rsidR="00066C63" w14:paraId="669C7BFC"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7BE6" w14:textId="77777777" w:rsidR="00066C63" w:rsidRDefault="009656F6">
            <w:pPr>
              <w:textAlignment w:val="bottom"/>
            </w:pPr>
            <w:r>
              <w:rPr>
                <w:rFonts w:ascii="Arial" w:eastAsia="宋体" w:hAnsi="Arial" w:cs="Arial"/>
                <w:color w:val="000000"/>
                <w:sz w:val="17"/>
                <w:szCs w:val="17"/>
              </w:rPr>
              <w:t>Footwear</w:t>
            </w:r>
          </w:p>
        </w:tc>
        <w:tc>
          <w:tcPr>
            <w:tcW w:w="0" w:type="auto"/>
            <w:tcBorders>
              <w:top w:val="single" w:sz="8" w:space="0" w:color="808080"/>
            </w:tcBorders>
            <w:shd w:val="clear" w:color="auto" w:fill="FFF1E7"/>
            <w:tcMar>
              <w:top w:w="40" w:type="dxa"/>
              <w:left w:w="20" w:type="dxa"/>
              <w:bottom w:w="40" w:type="dxa"/>
              <w:right w:w="0" w:type="dxa"/>
            </w:tcMar>
            <w:vAlign w:val="bottom"/>
          </w:tcPr>
          <w:p w14:paraId="669C7BE7"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669C7BE8" w14:textId="77777777" w:rsidR="00066C63" w:rsidRDefault="009656F6">
            <w:pPr>
              <w:jc w:val="right"/>
              <w:textAlignment w:val="bottom"/>
            </w:pPr>
            <w:r>
              <w:rPr>
                <w:rFonts w:ascii="Arial" w:eastAsia="宋体" w:hAnsi="Arial" w:cs="Arial"/>
                <w:color w:val="000000"/>
                <w:sz w:val="17"/>
                <w:szCs w:val="17"/>
              </w:rPr>
              <w:t>513 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7BE9" w14:textId="77777777" w:rsidR="00066C63" w:rsidRDefault="00066C63">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669C7BEA"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669C7BEB" w14:textId="77777777" w:rsidR="00066C63" w:rsidRDefault="009656F6">
            <w:pPr>
              <w:jc w:val="right"/>
              <w:textAlignment w:val="bottom"/>
            </w:pPr>
            <w:r>
              <w:rPr>
                <w:rFonts w:ascii="Arial" w:eastAsia="宋体" w:hAnsi="Arial" w:cs="Arial"/>
                <w:color w:val="000000"/>
                <w:sz w:val="17"/>
                <w:szCs w:val="17"/>
              </w:rPr>
              <w:t>455 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BEC"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BED" w14:textId="77777777" w:rsidR="00066C63" w:rsidRDefault="009656F6">
            <w:pPr>
              <w:jc w:val="right"/>
              <w:textAlignment w:val="bottom"/>
            </w:pPr>
            <w:r>
              <w:rPr>
                <w:rFonts w:ascii="Arial" w:eastAsia="宋体" w:hAnsi="Arial" w:cs="Arial"/>
                <w:color w:val="000000"/>
                <w:sz w:val="17"/>
                <w:szCs w:val="17"/>
              </w:rPr>
              <w:t>13 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BEE" w14:textId="77777777" w:rsidR="00066C63" w:rsidRDefault="009656F6">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BEF" w14:textId="77777777" w:rsidR="00066C63" w:rsidRDefault="009656F6">
            <w:pPr>
              <w:jc w:val="right"/>
              <w:textAlignment w:val="bottom"/>
            </w:pPr>
            <w:r>
              <w:rPr>
                <w:rFonts w:ascii="Arial" w:eastAsia="宋体" w:hAnsi="Arial" w:cs="Arial"/>
                <w:color w:val="000000"/>
                <w:sz w:val="17"/>
                <w:szCs w:val="17"/>
              </w:rPr>
              <w:t>8 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BF0" w14:textId="77777777" w:rsidR="00066C63" w:rsidRDefault="009656F6">
            <w:pPr>
              <w:jc w:val="right"/>
              <w:textAlignment w:val="bottom"/>
            </w:pPr>
            <w:r>
              <w:rPr>
                <w:rFonts w:ascii="Arial" w:eastAsia="宋体" w:hAnsi="Arial" w:cs="Arial"/>
                <w:color w:val="000000"/>
                <w:sz w:val="17"/>
                <w:szCs w:val="17"/>
              </w:rPr>
              <w:t>%</w:t>
            </w:r>
          </w:p>
        </w:tc>
        <w:tc>
          <w:tcPr>
            <w:tcW w:w="0" w:type="auto"/>
            <w:gridSpan w:val="3"/>
            <w:tcBorders>
              <w:top w:val="single" w:sz="8" w:space="0" w:color="808080"/>
            </w:tcBorders>
            <w:shd w:val="clear" w:color="auto" w:fill="auto"/>
            <w:tcMar>
              <w:top w:w="0" w:type="dxa"/>
              <w:left w:w="20" w:type="dxa"/>
              <w:bottom w:w="0" w:type="dxa"/>
              <w:right w:w="20" w:type="dxa"/>
            </w:tcMar>
          </w:tcPr>
          <w:p w14:paraId="669C7BF1" w14:textId="77777777" w:rsidR="00066C63" w:rsidRDefault="00066C63">
            <w:pPr>
              <w:rPr>
                <w:rFonts w:ascii="宋体"/>
              </w:rPr>
            </w:pPr>
          </w:p>
        </w:tc>
        <w:tc>
          <w:tcPr>
            <w:tcW w:w="0" w:type="auto"/>
            <w:tcBorders>
              <w:top w:val="single" w:sz="8" w:space="0" w:color="808080"/>
            </w:tcBorders>
            <w:shd w:val="clear" w:color="auto" w:fill="FFF1E7"/>
            <w:tcMar>
              <w:top w:w="40" w:type="dxa"/>
              <w:left w:w="20" w:type="dxa"/>
              <w:bottom w:w="40" w:type="dxa"/>
              <w:right w:w="0" w:type="dxa"/>
            </w:tcMar>
            <w:vAlign w:val="bottom"/>
          </w:tcPr>
          <w:p w14:paraId="669C7BF2"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669C7BF3" w14:textId="77777777" w:rsidR="00066C63" w:rsidRDefault="009656F6">
            <w:pPr>
              <w:jc w:val="right"/>
              <w:textAlignment w:val="bottom"/>
            </w:pPr>
            <w:r>
              <w:rPr>
                <w:rFonts w:ascii="Arial" w:eastAsia="宋体" w:hAnsi="Arial" w:cs="Arial"/>
                <w:color w:val="000000"/>
                <w:sz w:val="17"/>
                <w:szCs w:val="17"/>
              </w:rPr>
              <w:t>1,442 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7BF4" w14:textId="77777777" w:rsidR="00066C63" w:rsidRDefault="00066C63">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669C7BF5"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669C7BF6" w14:textId="77777777" w:rsidR="00066C63" w:rsidRDefault="009656F6">
            <w:pPr>
              <w:jc w:val="right"/>
              <w:textAlignment w:val="bottom"/>
            </w:pPr>
            <w:r>
              <w:rPr>
                <w:rFonts w:ascii="Arial" w:eastAsia="宋体" w:hAnsi="Arial" w:cs="Arial"/>
                <w:color w:val="000000"/>
                <w:sz w:val="17"/>
                <w:szCs w:val="17"/>
              </w:rPr>
              <w:t>1,367 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BF7"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BF8" w14:textId="77777777" w:rsidR="00066C63" w:rsidRDefault="009656F6">
            <w:pPr>
              <w:jc w:val="right"/>
              <w:textAlignment w:val="bottom"/>
            </w:pPr>
            <w:r>
              <w:rPr>
                <w:rFonts w:ascii="Arial" w:eastAsia="宋体" w:hAnsi="Arial" w:cs="Arial"/>
                <w:color w:val="000000"/>
                <w:sz w:val="17"/>
                <w:szCs w:val="17"/>
              </w:rPr>
              <w:t>5 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BF9" w14:textId="77777777" w:rsidR="00066C63" w:rsidRDefault="009656F6">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BFA" w14:textId="77777777" w:rsidR="00066C63" w:rsidRDefault="009656F6">
            <w:pPr>
              <w:jc w:val="right"/>
              <w:textAlignment w:val="bottom"/>
            </w:pPr>
            <w:r>
              <w:rPr>
                <w:rFonts w:ascii="Arial" w:eastAsia="宋体" w:hAnsi="Arial" w:cs="Arial"/>
                <w:color w:val="000000"/>
                <w:sz w:val="17"/>
                <w:szCs w:val="17"/>
              </w:rPr>
              <w:t>3 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BFB" w14:textId="77777777" w:rsidR="00066C63" w:rsidRDefault="009656F6">
            <w:pPr>
              <w:jc w:val="right"/>
              <w:textAlignment w:val="bottom"/>
            </w:pPr>
            <w:r>
              <w:rPr>
                <w:rFonts w:ascii="Arial" w:eastAsia="宋体" w:hAnsi="Arial" w:cs="Arial"/>
                <w:color w:val="000000"/>
                <w:sz w:val="17"/>
                <w:szCs w:val="17"/>
              </w:rPr>
              <w:t>%</w:t>
            </w:r>
          </w:p>
        </w:tc>
      </w:tr>
      <w:tr w:rsidR="00066C63" w14:paraId="669C7C0F"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7BFD" w14:textId="77777777" w:rsidR="00066C63" w:rsidRDefault="009656F6">
            <w:pPr>
              <w:textAlignment w:val="bottom"/>
            </w:pPr>
            <w:r>
              <w:rPr>
                <w:rFonts w:ascii="Arial" w:eastAsia="宋体" w:hAnsi="Arial" w:cs="Arial"/>
                <w:color w:val="000000"/>
                <w:sz w:val="17"/>
                <w:szCs w:val="17"/>
              </w:rPr>
              <w:t>Apparel</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7BFE" w14:textId="77777777" w:rsidR="00066C63" w:rsidRDefault="009656F6">
            <w:pPr>
              <w:jc w:val="right"/>
              <w:textAlignment w:val="bottom"/>
            </w:pPr>
            <w:r>
              <w:rPr>
                <w:rFonts w:ascii="Arial" w:eastAsia="宋体" w:hAnsi="Arial" w:cs="Arial"/>
                <w:color w:val="000000"/>
                <w:sz w:val="17"/>
                <w:szCs w:val="17"/>
              </w:rPr>
              <w:t>28 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7BFF"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C00" w14:textId="77777777" w:rsidR="00066C63" w:rsidRDefault="009656F6">
            <w:pPr>
              <w:jc w:val="right"/>
              <w:textAlignment w:val="bottom"/>
            </w:pPr>
            <w:r>
              <w:rPr>
                <w:rFonts w:ascii="Arial" w:eastAsia="宋体" w:hAnsi="Arial" w:cs="Arial"/>
                <w:color w:val="000000"/>
                <w:sz w:val="17"/>
                <w:szCs w:val="17"/>
              </w:rPr>
              <w:t>20 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C01"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C02" w14:textId="77777777" w:rsidR="00066C63" w:rsidRDefault="009656F6">
            <w:pPr>
              <w:jc w:val="right"/>
              <w:textAlignment w:val="bottom"/>
            </w:pPr>
            <w:r>
              <w:rPr>
                <w:rFonts w:ascii="Arial" w:eastAsia="宋体" w:hAnsi="Arial" w:cs="Arial"/>
                <w:color w:val="000000"/>
                <w:sz w:val="17"/>
                <w:szCs w:val="17"/>
              </w:rPr>
              <w:t>40 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C03" w14:textId="77777777" w:rsidR="00066C63" w:rsidRDefault="009656F6">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C04" w14:textId="77777777" w:rsidR="00066C63" w:rsidRDefault="009656F6">
            <w:pPr>
              <w:jc w:val="right"/>
              <w:textAlignment w:val="bottom"/>
            </w:pPr>
            <w:r>
              <w:rPr>
                <w:rFonts w:ascii="Arial" w:eastAsia="宋体" w:hAnsi="Arial" w:cs="Arial"/>
                <w:color w:val="000000"/>
                <w:sz w:val="17"/>
                <w:szCs w:val="17"/>
              </w:rPr>
              <w:t>35 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C05" w14:textId="77777777" w:rsidR="00066C63" w:rsidRDefault="009656F6">
            <w:pPr>
              <w:jc w:val="right"/>
              <w:textAlignment w:val="bottom"/>
            </w:pPr>
            <w:r>
              <w:rPr>
                <w:rFonts w:ascii="Arial" w:eastAsia="宋体" w:hAnsi="Arial" w:cs="Arial"/>
                <w:color w:val="000000"/>
                <w:sz w:val="17"/>
                <w:szCs w:val="17"/>
              </w:rPr>
              <w:t>%</w:t>
            </w:r>
          </w:p>
        </w:tc>
        <w:tc>
          <w:tcPr>
            <w:tcW w:w="0" w:type="auto"/>
            <w:gridSpan w:val="3"/>
            <w:tcBorders>
              <w:top w:val="single" w:sz="8" w:space="0" w:color="808080"/>
            </w:tcBorders>
            <w:shd w:val="clear" w:color="auto" w:fill="auto"/>
            <w:tcMar>
              <w:top w:w="0" w:type="dxa"/>
              <w:left w:w="20" w:type="dxa"/>
              <w:bottom w:w="0" w:type="dxa"/>
              <w:right w:w="20" w:type="dxa"/>
            </w:tcMar>
          </w:tcPr>
          <w:p w14:paraId="669C7C06" w14:textId="77777777" w:rsidR="00066C63" w:rsidRDefault="00066C63">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7C07" w14:textId="77777777" w:rsidR="00066C63" w:rsidRDefault="009656F6">
            <w:pPr>
              <w:jc w:val="right"/>
              <w:textAlignment w:val="bottom"/>
            </w:pPr>
            <w:r>
              <w:rPr>
                <w:rFonts w:ascii="Arial" w:eastAsia="宋体" w:hAnsi="Arial" w:cs="Arial"/>
                <w:color w:val="000000"/>
                <w:sz w:val="17"/>
                <w:szCs w:val="17"/>
              </w:rPr>
              <w:t>82 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7C08"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C09" w14:textId="77777777" w:rsidR="00066C63" w:rsidRDefault="009656F6">
            <w:pPr>
              <w:jc w:val="right"/>
              <w:textAlignment w:val="bottom"/>
            </w:pPr>
            <w:r>
              <w:rPr>
                <w:rFonts w:ascii="Arial" w:eastAsia="宋体" w:hAnsi="Arial" w:cs="Arial"/>
                <w:color w:val="000000"/>
                <w:sz w:val="17"/>
                <w:szCs w:val="17"/>
              </w:rPr>
              <w:t>76 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C0A"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C0B" w14:textId="77777777" w:rsidR="00066C63" w:rsidRDefault="009656F6">
            <w:pPr>
              <w:jc w:val="right"/>
              <w:textAlignment w:val="bottom"/>
            </w:pPr>
            <w:r>
              <w:rPr>
                <w:rFonts w:ascii="Arial" w:eastAsia="宋体" w:hAnsi="Arial" w:cs="Arial"/>
                <w:color w:val="000000"/>
                <w:sz w:val="17"/>
                <w:szCs w:val="17"/>
              </w:rPr>
              <w:t>8 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C0C" w14:textId="77777777" w:rsidR="00066C63" w:rsidRDefault="009656F6">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C0D" w14:textId="77777777" w:rsidR="00066C63" w:rsidRDefault="009656F6">
            <w:pPr>
              <w:jc w:val="right"/>
              <w:textAlignment w:val="bottom"/>
            </w:pPr>
            <w:r>
              <w:rPr>
                <w:rFonts w:ascii="Arial" w:eastAsia="宋体" w:hAnsi="Arial" w:cs="Arial"/>
                <w:color w:val="000000"/>
                <w:sz w:val="17"/>
                <w:szCs w:val="17"/>
              </w:rPr>
              <w:t>5 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C0E" w14:textId="77777777" w:rsidR="00066C63" w:rsidRDefault="009656F6">
            <w:pPr>
              <w:jc w:val="right"/>
              <w:textAlignment w:val="bottom"/>
            </w:pPr>
            <w:r>
              <w:rPr>
                <w:rFonts w:ascii="Arial" w:eastAsia="宋体" w:hAnsi="Arial" w:cs="Arial"/>
                <w:color w:val="000000"/>
                <w:sz w:val="17"/>
                <w:szCs w:val="17"/>
              </w:rPr>
              <w:t>%</w:t>
            </w:r>
          </w:p>
        </w:tc>
      </w:tr>
      <w:tr w:rsidR="00066C63" w14:paraId="669C7C22"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7C10" w14:textId="77777777" w:rsidR="00066C63" w:rsidRDefault="009656F6">
            <w:pPr>
              <w:textAlignment w:val="bottom"/>
            </w:pPr>
            <w:r>
              <w:rPr>
                <w:rFonts w:ascii="Arial" w:eastAsia="宋体" w:hAnsi="Arial" w:cs="Arial"/>
                <w:color w:val="000000"/>
                <w:sz w:val="17"/>
                <w:szCs w:val="17"/>
              </w:rPr>
              <w:t>Equipment</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7C11" w14:textId="77777777" w:rsidR="00066C63" w:rsidRDefault="009656F6">
            <w:pPr>
              <w:jc w:val="right"/>
              <w:textAlignment w:val="bottom"/>
            </w:pPr>
            <w:r>
              <w:rPr>
                <w:rFonts w:ascii="Arial" w:eastAsia="宋体" w:hAnsi="Arial" w:cs="Arial"/>
                <w:color w:val="000000"/>
                <w:sz w:val="17"/>
                <w:szCs w:val="17"/>
              </w:rPr>
              <w:t>6 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7C12"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C13" w14:textId="77777777" w:rsidR="00066C63" w:rsidRDefault="009656F6">
            <w:pPr>
              <w:jc w:val="right"/>
              <w:textAlignment w:val="bottom"/>
            </w:pPr>
            <w:r>
              <w:rPr>
                <w:rFonts w:ascii="Arial" w:eastAsia="宋体" w:hAnsi="Arial" w:cs="Arial"/>
                <w:color w:val="000000"/>
                <w:sz w:val="17"/>
                <w:szCs w:val="17"/>
              </w:rPr>
              <w:t>5 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C14"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C15" w14:textId="77777777" w:rsidR="00066C63" w:rsidRDefault="009656F6">
            <w:pPr>
              <w:jc w:val="right"/>
              <w:textAlignment w:val="bottom"/>
            </w:pPr>
            <w:r>
              <w:rPr>
                <w:rFonts w:ascii="Arial" w:eastAsia="宋体" w:hAnsi="Arial" w:cs="Arial"/>
                <w:color w:val="000000"/>
                <w:sz w:val="17"/>
                <w:szCs w:val="17"/>
              </w:rPr>
              <w:t>20 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C16" w14:textId="77777777" w:rsidR="00066C63" w:rsidRDefault="009656F6">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C17" w14:textId="77777777" w:rsidR="00066C63" w:rsidRDefault="009656F6">
            <w:pPr>
              <w:jc w:val="right"/>
              <w:textAlignment w:val="bottom"/>
            </w:pPr>
            <w:r>
              <w:rPr>
                <w:rFonts w:ascii="Arial" w:eastAsia="宋体" w:hAnsi="Arial" w:cs="Arial"/>
                <w:color w:val="000000"/>
                <w:sz w:val="17"/>
                <w:szCs w:val="17"/>
              </w:rPr>
              <w:t>8 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C18" w14:textId="77777777" w:rsidR="00066C63" w:rsidRDefault="009656F6">
            <w:pPr>
              <w:jc w:val="right"/>
              <w:textAlignment w:val="bottom"/>
            </w:pPr>
            <w:r>
              <w:rPr>
                <w:rFonts w:ascii="Arial" w:eastAsia="宋体" w:hAnsi="Arial" w:cs="Arial"/>
                <w:color w:val="000000"/>
                <w:sz w:val="17"/>
                <w:szCs w:val="17"/>
              </w:rPr>
              <w:t>%</w:t>
            </w:r>
          </w:p>
        </w:tc>
        <w:tc>
          <w:tcPr>
            <w:tcW w:w="0" w:type="auto"/>
            <w:gridSpan w:val="3"/>
            <w:tcBorders>
              <w:top w:val="single" w:sz="8" w:space="0" w:color="808080"/>
            </w:tcBorders>
            <w:shd w:val="clear" w:color="auto" w:fill="auto"/>
            <w:tcMar>
              <w:top w:w="0" w:type="dxa"/>
              <w:left w:w="20" w:type="dxa"/>
              <w:bottom w:w="0" w:type="dxa"/>
              <w:right w:w="20" w:type="dxa"/>
            </w:tcMar>
          </w:tcPr>
          <w:p w14:paraId="669C7C19" w14:textId="77777777" w:rsidR="00066C63" w:rsidRDefault="00066C63">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7C1A" w14:textId="77777777" w:rsidR="00066C63" w:rsidRDefault="009656F6">
            <w:pPr>
              <w:jc w:val="right"/>
              <w:textAlignment w:val="bottom"/>
            </w:pPr>
            <w:r>
              <w:rPr>
                <w:rFonts w:ascii="Arial" w:eastAsia="宋体" w:hAnsi="Arial" w:cs="Arial"/>
                <w:color w:val="000000"/>
                <w:sz w:val="17"/>
                <w:szCs w:val="17"/>
              </w:rPr>
              <w:t>22 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7C1B"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C1C" w14:textId="77777777" w:rsidR="00066C63" w:rsidRDefault="009656F6">
            <w:pPr>
              <w:jc w:val="right"/>
              <w:textAlignment w:val="bottom"/>
            </w:pPr>
            <w:r>
              <w:rPr>
                <w:rFonts w:ascii="Arial" w:eastAsia="宋体" w:hAnsi="Arial" w:cs="Arial"/>
                <w:color w:val="000000"/>
                <w:sz w:val="17"/>
                <w:szCs w:val="17"/>
              </w:rPr>
              <w:t>20 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C1D"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C1E" w14:textId="77777777" w:rsidR="00066C63" w:rsidRDefault="009656F6">
            <w:pPr>
              <w:jc w:val="right"/>
              <w:textAlignment w:val="bottom"/>
            </w:pPr>
            <w:r>
              <w:rPr>
                <w:rFonts w:ascii="Arial" w:eastAsia="宋体" w:hAnsi="Arial" w:cs="Arial"/>
                <w:color w:val="000000"/>
                <w:sz w:val="17"/>
                <w:szCs w:val="17"/>
              </w:rPr>
              <w:t>10 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C1F" w14:textId="77777777" w:rsidR="00066C63" w:rsidRDefault="009656F6">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C20" w14:textId="77777777" w:rsidR="00066C63" w:rsidRDefault="009656F6">
            <w:pPr>
              <w:jc w:val="right"/>
              <w:textAlignment w:val="bottom"/>
            </w:pPr>
            <w:r>
              <w:rPr>
                <w:rFonts w:ascii="Arial" w:eastAsia="宋体" w:hAnsi="Arial" w:cs="Arial"/>
                <w:color w:val="000000"/>
                <w:sz w:val="17"/>
                <w:szCs w:val="17"/>
              </w:rPr>
              <w:t>8 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C21" w14:textId="77777777" w:rsidR="00066C63" w:rsidRDefault="009656F6">
            <w:pPr>
              <w:jc w:val="right"/>
              <w:textAlignment w:val="bottom"/>
            </w:pPr>
            <w:r>
              <w:rPr>
                <w:rFonts w:ascii="Arial" w:eastAsia="宋体" w:hAnsi="Arial" w:cs="Arial"/>
                <w:color w:val="000000"/>
                <w:sz w:val="17"/>
                <w:szCs w:val="17"/>
              </w:rPr>
              <w:t>%</w:t>
            </w:r>
          </w:p>
        </w:tc>
      </w:tr>
      <w:tr w:rsidR="00066C63" w14:paraId="669C7C35"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7C23" w14:textId="77777777" w:rsidR="00066C63" w:rsidRDefault="009656F6">
            <w:pPr>
              <w:textAlignment w:val="bottom"/>
            </w:pPr>
            <w:r>
              <w:rPr>
                <w:rFonts w:ascii="Arial" w:eastAsia="宋体" w:hAnsi="Arial" w:cs="Arial"/>
                <w:color w:val="000000"/>
                <w:sz w:val="17"/>
                <w:szCs w:val="17"/>
              </w:rPr>
              <w:t>Other</w:t>
            </w:r>
            <w:r>
              <w:rPr>
                <w:rFonts w:ascii="Arial" w:eastAsia="宋体" w:hAnsi="Arial" w:cs="Arial"/>
                <w:color w:val="000000"/>
                <w:sz w:val="9"/>
                <w:szCs w:val="9"/>
              </w:rPr>
              <w:t>(1)</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7C24" w14:textId="77777777" w:rsidR="00066C63" w:rsidRDefault="009656F6">
            <w:pPr>
              <w:jc w:val="right"/>
              <w:textAlignment w:val="bottom"/>
            </w:pPr>
            <w:r>
              <w:rPr>
                <w:rFonts w:ascii="Arial" w:eastAsia="宋体" w:hAnsi="Arial" w:cs="Arial"/>
                <w:color w:val="000000"/>
                <w:sz w:val="17"/>
                <w:szCs w:val="17"/>
              </w:rPr>
              <w:t>23 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7C25"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C26" w14:textId="77777777" w:rsidR="00066C63" w:rsidRDefault="009656F6">
            <w:pPr>
              <w:jc w:val="right"/>
              <w:textAlignment w:val="bottom"/>
            </w:pPr>
            <w:r>
              <w:rPr>
                <w:rFonts w:ascii="Arial" w:eastAsia="宋体" w:hAnsi="Arial" w:cs="Arial"/>
                <w:color w:val="000000"/>
                <w:sz w:val="17"/>
                <w:szCs w:val="17"/>
              </w:rPr>
              <w:t>26 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C27"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C28" w14:textId="77777777" w:rsidR="00066C63" w:rsidRDefault="009656F6">
            <w:pPr>
              <w:jc w:val="right"/>
              <w:textAlignment w:val="bottom"/>
            </w:pPr>
            <w:r>
              <w:rPr>
                <w:rFonts w:ascii="Arial" w:eastAsia="宋体" w:hAnsi="Arial" w:cs="Arial"/>
                <w:color w:val="000000"/>
                <w:sz w:val="17"/>
                <w:szCs w:val="17"/>
              </w:rPr>
              <w:t>-12 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C29" w14:textId="77777777" w:rsidR="00066C63" w:rsidRDefault="009656F6">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C2A" w14:textId="77777777" w:rsidR="00066C63" w:rsidRDefault="009656F6">
            <w:pPr>
              <w:jc w:val="right"/>
              <w:textAlignment w:val="bottom"/>
            </w:pPr>
            <w:r>
              <w:rPr>
                <w:rFonts w:ascii="Arial" w:eastAsia="宋体" w:hAnsi="Arial" w:cs="Arial"/>
                <w:color w:val="000000"/>
                <w:sz w:val="17"/>
                <w:szCs w:val="17"/>
              </w:rPr>
              <w:t>-13 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C2B" w14:textId="77777777" w:rsidR="00066C63" w:rsidRDefault="009656F6">
            <w:pPr>
              <w:jc w:val="right"/>
              <w:textAlignment w:val="bottom"/>
            </w:pPr>
            <w:r>
              <w:rPr>
                <w:rFonts w:ascii="Arial" w:eastAsia="宋体" w:hAnsi="Arial" w:cs="Arial"/>
                <w:color w:val="000000"/>
                <w:sz w:val="17"/>
                <w:szCs w:val="17"/>
              </w:rPr>
              <w:t>%</w:t>
            </w:r>
          </w:p>
        </w:tc>
        <w:tc>
          <w:tcPr>
            <w:tcW w:w="0" w:type="auto"/>
            <w:gridSpan w:val="3"/>
            <w:tcBorders>
              <w:top w:val="single" w:sz="8" w:space="0" w:color="808080"/>
            </w:tcBorders>
            <w:shd w:val="clear" w:color="auto" w:fill="auto"/>
            <w:tcMar>
              <w:top w:w="0" w:type="dxa"/>
              <w:left w:w="20" w:type="dxa"/>
              <w:bottom w:w="0" w:type="dxa"/>
              <w:right w:w="20" w:type="dxa"/>
            </w:tcMar>
          </w:tcPr>
          <w:p w14:paraId="669C7C2C" w14:textId="77777777" w:rsidR="00066C63" w:rsidRDefault="00066C63">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7C2D" w14:textId="77777777" w:rsidR="00066C63" w:rsidRDefault="009656F6">
            <w:pPr>
              <w:jc w:val="right"/>
              <w:textAlignment w:val="bottom"/>
            </w:pPr>
            <w:r>
              <w:rPr>
                <w:rFonts w:ascii="Arial" w:eastAsia="宋体" w:hAnsi="Arial" w:cs="Arial"/>
                <w:color w:val="000000"/>
                <w:sz w:val="17"/>
                <w:szCs w:val="17"/>
              </w:rPr>
              <w:t>63 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7C2E"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C2F" w14:textId="77777777" w:rsidR="00066C63" w:rsidRDefault="009656F6">
            <w:pPr>
              <w:jc w:val="right"/>
              <w:textAlignment w:val="bottom"/>
            </w:pPr>
            <w:r>
              <w:rPr>
                <w:rFonts w:ascii="Arial" w:eastAsia="宋体" w:hAnsi="Arial" w:cs="Arial"/>
                <w:color w:val="000000"/>
                <w:sz w:val="17"/>
                <w:szCs w:val="17"/>
              </w:rPr>
              <w:t>78 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C30"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C31" w14:textId="77777777" w:rsidR="00066C63" w:rsidRDefault="009656F6">
            <w:pPr>
              <w:jc w:val="right"/>
              <w:textAlignment w:val="bottom"/>
            </w:pPr>
            <w:r>
              <w:rPr>
                <w:rFonts w:ascii="Arial" w:eastAsia="宋体" w:hAnsi="Arial" w:cs="Arial"/>
                <w:color w:val="000000"/>
                <w:sz w:val="17"/>
                <w:szCs w:val="17"/>
              </w:rPr>
              <w:t>-19 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C32" w14:textId="77777777" w:rsidR="00066C63" w:rsidRDefault="009656F6">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C33" w14:textId="77777777" w:rsidR="00066C63" w:rsidRDefault="009656F6">
            <w:pPr>
              <w:jc w:val="right"/>
              <w:textAlignment w:val="bottom"/>
            </w:pPr>
            <w:r>
              <w:rPr>
                <w:rFonts w:ascii="Arial" w:eastAsia="宋体" w:hAnsi="Arial" w:cs="Arial"/>
                <w:color w:val="000000"/>
                <w:sz w:val="17"/>
                <w:szCs w:val="17"/>
              </w:rPr>
              <w:t>-16 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C34" w14:textId="77777777" w:rsidR="00066C63" w:rsidRDefault="009656F6">
            <w:pPr>
              <w:jc w:val="right"/>
              <w:textAlignment w:val="bottom"/>
            </w:pPr>
            <w:r>
              <w:rPr>
                <w:rFonts w:ascii="Arial" w:eastAsia="宋体" w:hAnsi="Arial" w:cs="Arial"/>
                <w:color w:val="000000"/>
                <w:sz w:val="17"/>
                <w:szCs w:val="17"/>
              </w:rPr>
              <w:t>%</w:t>
            </w:r>
          </w:p>
        </w:tc>
      </w:tr>
      <w:tr w:rsidR="00066C63" w14:paraId="669C7C4C"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C36" w14:textId="77777777" w:rsidR="00066C63" w:rsidRDefault="009656F6">
            <w:pPr>
              <w:textAlignment w:val="bottom"/>
            </w:pPr>
            <w:r>
              <w:rPr>
                <w:rFonts w:ascii="Arial" w:eastAsia="宋体" w:hAnsi="Arial" w:cs="Arial"/>
                <w:b/>
                <w:bCs/>
                <w:color w:val="000000"/>
                <w:sz w:val="17"/>
                <w:szCs w:val="17"/>
              </w:rPr>
              <w:t>TOTAL 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669C7C37"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669C7C38" w14:textId="77777777" w:rsidR="00066C63" w:rsidRDefault="009656F6">
            <w:pPr>
              <w:jc w:val="right"/>
              <w:textAlignment w:val="bottom"/>
            </w:pPr>
            <w:r>
              <w:rPr>
                <w:rFonts w:ascii="Arial" w:eastAsia="宋体" w:hAnsi="Arial" w:cs="Arial"/>
                <w:b/>
                <w:bCs/>
                <w:color w:val="000000"/>
                <w:sz w:val="17"/>
                <w:szCs w:val="17"/>
              </w:rPr>
              <w:t>570</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7C39" w14:textId="77777777" w:rsidR="00066C63" w:rsidRDefault="00066C63">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69C7C3A"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69C7C3B" w14:textId="77777777" w:rsidR="00066C63" w:rsidRDefault="009656F6">
            <w:pPr>
              <w:jc w:val="right"/>
              <w:textAlignment w:val="bottom"/>
            </w:pPr>
            <w:r>
              <w:rPr>
                <w:rFonts w:ascii="Arial" w:eastAsia="宋体" w:hAnsi="Arial" w:cs="Arial"/>
                <w:b/>
                <w:bCs/>
                <w:color w:val="000000"/>
                <w:sz w:val="17"/>
                <w:szCs w:val="17"/>
              </w:rPr>
              <w:t>506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7C3C" w14:textId="77777777" w:rsidR="00066C63" w:rsidRDefault="00066C63">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7C3D" w14:textId="77777777" w:rsidR="00066C63" w:rsidRDefault="009656F6">
            <w:pPr>
              <w:jc w:val="right"/>
              <w:textAlignment w:val="bottom"/>
            </w:pPr>
            <w:r>
              <w:rPr>
                <w:rFonts w:ascii="Arial" w:eastAsia="宋体" w:hAnsi="Arial" w:cs="Arial"/>
                <w:b/>
                <w:bCs/>
                <w:color w:val="000000"/>
                <w:sz w:val="17"/>
                <w:szCs w:val="17"/>
              </w:rPr>
              <w:t>13</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7C3E" w14:textId="77777777" w:rsidR="00066C63" w:rsidRDefault="009656F6">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7C3F" w14:textId="77777777" w:rsidR="00066C63" w:rsidRDefault="009656F6">
            <w:pPr>
              <w:jc w:val="right"/>
              <w:textAlignment w:val="bottom"/>
            </w:pPr>
            <w:r>
              <w:rPr>
                <w:rFonts w:ascii="Arial" w:eastAsia="宋体" w:hAnsi="Arial" w:cs="Arial"/>
                <w:b/>
                <w:bCs/>
                <w:color w:val="000000"/>
                <w:sz w:val="17"/>
                <w:szCs w:val="17"/>
              </w:rPr>
              <w:t>8</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7C40" w14:textId="77777777" w:rsidR="00066C63" w:rsidRDefault="009656F6">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tcPr>
          <w:p w14:paraId="669C7C41" w14:textId="77777777" w:rsidR="00066C63" w:rsidRDefault="00066C63">
            <w:pPr>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669C7C42"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669C7C43" w14:textId="77777777" w:rsidR="00066C63" w:rsidRDefault="009656F6">
            <w:pPr>
              <w:jc w:val="right"/>
              <w:textAlignment w:val="bottom"/>
            </w:pPr>
            <w:r>
              <w:rPr>
                <w:rFonts w:ascii="Arial" w:eastAsia="宋体" w:hAnsi="Arial" w:cs="Arial"/>
                <w:b/>
                <w:bCs/>
                <w:color w:val="000000"/>
                <w:sz w:val="17"/>
                <w:szCs w:val="17"/>
              </w:rPr>
              <w:t>1,609</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7C44" w14:textId="77777777" w:rsidR="00066C63" w:rsidRDefault="00066C63">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69C7C45"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69C7C46" w14:textId="77777777" w:rsidR="00066C63" w:rsidRDefault="009656F6">
            <w:pPr>
              <w:jc w:val="right"/>
              <w:textAlignment w:val="bottom"/>
            </w:pPr>
            <w:r>
              <w:rPr>
                <w:rFonts w:ascii="Arial" w:eastAsia="宋体" w:hAnsi="Arial" w:cs="Arial"/>
                <w:b/>
                <w:bCs/>
                <w:color w:val="000000"/>
                <w:sz w:val="17"/>
                <w:szCs w:val="17"/>
              </w:rPr>
              <w:t>1,541</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7C47" w14:textId="77777777" w:rsidR="00066C63" w:rsidRDefault="00066C63">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7C48" w14:textId="77777777" w:rsidR="00066C63" w:rsidRDefault="009656F6">
            <w:pPr>
              <w:jc w:val="right"/>
              <w:textAlignment w:val="bottom"/>
            </w:pPr>
            <w:r>
              <w:rPr>
                <w:rFonts w:ascii="Arial" w:eastAsia="宋体" w:hAnsi="Arial" w:cs="Arial"/>
                <w:b/>
                <w:bCs/>
                <w:color w:val="000000"/>
                <w:sz w:val="17"/>
                <w:szCs w:val="17"/>
              </w:rPr>
              <w:t>4</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7C49" w14:textId="77777777" w:rsidR="00066C63" w:rsidRDefault="009656F6">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7C4A" w14:textId="77777777" w:rsidR="00066C63" w:rsidRDefault="009656F6">
            <w:pPr>
              <w:jc w:val="right"/>
              <w:textAlignment w:val="bottom"/>
            </w:pPr>
            <w:r>
              <w:rPr>
                <w:rFonts w:ascii="Arial" w:eastAsia="宋体" w:hAnsi="Arial" w:cs="Arial"/>
                <w:b/>
                <w:bCs/>
                <w:color w:val="000000"/>
                <w:sz w:val="17"/>
                <w:szCs w:val="17"/>
              </w:rPr>
              <w:t>2</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7C4B" w14:textId="77777777" w:rsidR="00066C63" w:rsidRDefault="009656F6">
            <w:pPr>
              <w:jc w:val="right"/>
              <w:textAlignment w:val="bottom"/>
            </w:pPr>
            <w:r>
              <w:rPr>
                <w:rFonts w:ascii="Arial" w:eastAsia="宋体" w:hAnsi="Arial" w:cs="Arial"/>
                <w:b/>
                <w:bCs/>
                <w:color w:val="000000"/>
                <w:sz w:val="17"/>
                <w:szCs w:val="17"/>
              </w:rPr>
              <w:t>%</w:t>
            </w:r>
          </w:p>
        </w:tc>
      </w:tr>
      <w:tr w:rsidR="00066C63" w14:paraId="669C7C57"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C4D" w14:textId="77777777" w:rsidR="00066C63" w:rsidRDefault="009656F6">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FFF1E7"/>
            <w:tcMar>
              <w:top w:w="0" w:type="dxa"/>
              <w:left w:w="20" w:type="dxa"/>
              <w:bottom w:w="0" w:type="dxa"/>
              <w:right w:w="20" w:type="dxa"/>
            </w:tcMar>
          </w:tcPr>
          <w:p w14:paraId="669C7C4E"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7C4F"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7C50"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7C51"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7C52" w14:textId="77777777" w:rsidR="00066C63" w:rsidRDefault="00066C63">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669C7C53"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7C54"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7C55" w14:textId="77777777" w:rsidR="00066C63" w:rsidRDefault="00066C63">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7C56" w14:textId="77777777" w:rsidR="00066C63" w:rsidRDefault="00066C63">
            <w:pPr>
              <w:rPr>
                <w:rFonts w:ascii="宋体"/>
              </w:rPr>
            </w:pPr>
          </w:p>
        </w:tc>
      </w:tr>
      <w:tr w:rsidR="00066C63" w14:paraId="669C7C6E"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7C58" w14:textId="77777777" w:rsidR="00066C63" w:rsidRDefault="009656F6">
            <w:pPr>
              <w:textAlignment w:val="bottom"/>
            </w:pPr>
            <w:r>
              <w:rPr>
                <w:rFonts w:ascii="Arial" w:eastAsia="宋体" w:hAnsi="Arial" w:cs="Arial"/>
                <w:color w:val="000000"/>
                <w:sz w:val="17"/>
                <w:szCs w:val="17"/>
              </w:rPr>
              <w:t>Sales to Wholesale Customers</w:t>
            </w:r>
          </w:p>
        </w:tc>
        <w:tc>
          <w:tcPr>
            <w:tcW w:w="0" w:type="auto"/>
            <w:tcBorders>
              <w:top w:val="single" w:sz="8" w:space="0" w:color="808080"/>
            </w:tcBorders>
            <w:shd w:val="clear" w:color="auto" w:fill="FFF1E7"/>
            <w:tcMar>
              <w:top w:w="40" w:type="dxa"/>
              <w:left w:w="20" w:type="dxa"/>
              <w:bottom w:w="40" w:type="dxa"/>
              <w:right w:w="0" w:type="dxa"/>
            </w:tcMar>
            <w:vAlign w:val="bottom"/>
          </w:tcPr>
          <w:p w14:paraId="669C7C59"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669C7C5A" w14:textId="77777777" w:rsidR="00066C63" w:rsidRDefault="009656F6">
            <w:pPr>
              <w:jc w:val="right"/>
              <w:textAlignment w:val="bottom"/>
            </w:pPr>
            <w:r>
              <w:rPr>
                <w:rFonts w:ascii="Arial" w:eastAsia="宋体" w:hAnsi="Arial" w:cs="Arial"/>
                <w:color w:val="000000"/>
                <w:sz w:val="17"/>
                <w:szCs w:val="17"/>
              </w:rPr>
              <w:t>366 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7C5B" w14:textId="77777777" w:rsidR="00066C63" w:rsidRDefault="00066C63">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669C7C5C"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669C7C5D" w14:textId="77777777" w:rsidR="00066C63" w:rsidRDefault="009656F6">
            <w:pPr>
              <w:jc w:val="right"/>
              <w:textAlignment w:val="bottom"/>
            </w:pPr>
            <w:r>
              <w:rPr>
                <w:rFonts w:ascii="Arial" w:eastAsia="宋体" w:hAnsi="Arial" w:cs="Arial"/>
                <w:color w:val="000000"/>
                <w:sz w:val="17"/>
                <w:szCs w:val="17"/>
              </w:rPr>
              <w:t>330 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C5E"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C5F" w14:textId="77777777" w:rsidR="00066C63" w:rsidRDefault="009656F6">
            <w:pPr>
              <w:jc w:val="right"/>
              <w:textAlignment w:val="bottom"/>
            </w:pPr>
            <w:r>
              <w:rPr>
                <w:rFonts w:ascii="Arial" w:eastAsia="宋体" w:hAnsi="Arial" w:cs="Arial"/>
                <w:color w:val="000000"/>
                <w:sz w:val="17"/>
                <w:szCs w:val="17"/>
              </w:rPr>
              <w:t>11 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C60" w14:textId="77777777" w:rsidR="00066C63" w:rsidRDefault="009656F6">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C61" w14:textId="77777777" w:rsidR="00066C63" w:rsidRDefault="009656F6">
            <w:pPr>
              <w:jc w:val="right"/>
              <w:textAlignment w:val="bottom"/>
            </w:pPr>
            <w:r>
              <w:rPr>
                <w:rFonts w:ascii="Arial" w:eastAsia="宋体" w:hAnsi="Arial" w:cs="Arial"/>
                <w:color w:val="000000"/>
                <w:sz w:val="17"/>
                <w:szCs w:val="17"/>
              </w:rPr>
              <w:t>5 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C62" w14:textId="77777777" w:rsidR="00066C63" w:rsidRDefault="009656F6">
            <w:pPr>
              <w:jc w:val="right"/>
              <w:textAlignment w:val="bottom"/>
            </w:pPr>
            <w:r>
              <w:rPr>
                <w:rFonts w:ascii="Arial" w:eastAsia="宋体" w:hAnsi="Arial" w:cs="Arial"/>
                <w:color w:val="000000"/>
                <w:sz w:val="17"/>
                <w:szCs w:val="17"/>
              </w:rPr>
              <w:t>%</w:t>
            </w:r>
          </w:p>
        </w:tc>
        <w:tc>
          <w:tcPr>
            <w:tcW w:w="0" w:type="auto"/>
            <w:gridSpan w:val="3"/>
            <w:tcBorders>
              <w:top w:val="single" w:sz="8" w:space="0" w:color="808080"/>
            </w:tcBorders>
            <w:shd w:val="clear" w:color="auto" w:fill="auto"/>
            <w:tcMar>
              <w:top w:w="0" w:type="dxa"/>
              <w:left w:w="20" w:type="dxa"/>
              <w:bottom w:w="0" w:type="dxa"/>
              <w:right w:w="20" w:type="dxa"/>
            </w:tcMar>
          </w:tcPr>
          <w:p w14:paraId="669C7C63" w14:textId="77777777" w:rsidR="00066C63" w:rsidRDefault="00066C63">
            <w:pPr>
              <w:rPr>
                <w:rFonts w:ascii="宋体"/>
              </w:rPr>
            </w:pPr>
          </w:p>
        </w:tc>
        <w:tc>
          <w:tcPr>
            <w:tcW w:w="0" w:type="auto"/>
            <w:tcBorders>
              <w:top w:val="single" w:sz="8" w:space="0" w:color="808080"/>
            </w:tcBorders>
            <w:shd w:val="clear" w:color="auto" w:fill="FFF1E7"/>
            <w:tcMar>
              <w:top w:w="40" w:type="dxa"/>
              <w:left w:w="20" w:type="dxa"/>
              <w:bottom w:w="40" w:type="dxa"/>
              <w:right w:w="0" w:type="dxa"/>
            </w:tcMar>
            <w:vAlign w:val="bottom"/>
          </w:tcPr>
          <w:p w14:paraId="669C7C64"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669C7C65" w14:textId="77777777" w:rsidR="00066C63" w:rsidRDefault="009656F6">
            <w:pPr>
              <w:jc w:val="right"/>
              <w:textAlignment w:val="bottom"/>
            </w:pPr>
            <w:r>
              <w:rPr>
                <w:rFonts w:ascii="Arial" w:eastAsia="宋体" w:hAnsi="Arial" w:cs="Arial"/>
                <w:color w:val="000000"/>
                <w:sz w:val="17"/>
                <w:szCs w:val="17"/>
              </w:rPr>
              <w:t>998 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7C66" w14:textId="77777777" w:rsidR="00066C63" w:rsidRDefault="00066C63">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669C7C67"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669C7C68" w14:textId="77777777" w:rsidR="00066C63" w:rsidRDefault="009656F6">
            <w:pPr>
              <w:jc w:val="right"/>
              <w:textAlignment w:val="bottom"/>
            </w:pPr>
            <w:r>
              <w:rPr>
                <w:rFonts w:ascii="Arial" w:eastAsia="宋体" w:hAnsi="Arial" w:cs="Arial"/>
                <w:color w:val="000000"/>
                <w:sz w:val="17"/>
                <w:szCs w:val="17"/>
              </w:rPr>
              <w:t>983 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C69"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C6A" w14:textId="77777777" w:rsidR="00066C63" w:rsidRDefault="009656F6">
            <w:pPr>
              <w:jc w:val="right"/>
              <w:textAlignment w:val="bottom"/>
            </w:pPr>
            <w:r>
              <w:rPr>
                <w:rFonts w:ascii="Arial" w:eastAsia="宋体" w:hAnsi="Arial" w:cs="Arial"/>
                <w:color w:val="000000"/>
                <w:sz w:val="17"/>
                <w:szCs w:val="17"/>
              </w:rPr>
              <w:t>2 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C6B" w14:textId="77777777" w:rsidR="00066C63" w:rsidRDefault="009656F6">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C6C" w14:textId="77777777" w:rsidR="00066C63" w:rsidRDefault="009656F6">
            <w:pPr>
              <w:jc w:val="right"/>
              <w:textAlignment w:val="bottom"/>
            </w:pPr>
            <w:r>
              <w:rPr>
                <w:rFonts w:ascii="Arial" w:eastAsia="宋体" w:hAnsi="Arial" w:cs="Arial"/>
                <w:color w:val="000000"/>
                <w:sz w:val="17"/>
                <w:szCs w:val="17"/>
              </w:rPr>
              <w:t>-1 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C6D" w14:textId="77777777" w:rsidR="00066C63" w:rsidRDefault="009656F6">
            <w:pPr>
              <w:jc w:val="right"/>
              <w:textAlignment w:val="bottom"/>
            </w:pPr>
            <w:r>
              <w:rPr>
                <w:rFonts w:ascii="Arial" w:eastAsia="宋体" w:hAnsi="Arial" w:cs="Arial"/>
                <w:color w:val="000000"/>
                <w:sz w:val="17"/>
                <w:szCs w:val="17"/>
              </w:rPr>
              <w:t>%</w:t>
            </w:r>
          </w:p>
        </w:tc>
      </w:tr>
      <w:tr w:rsidR="00066C63" w14:paraId="669C7C81"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669C7C6F" w14:textId="77777777" w:rsidR="00066C63" w:rsidRDefault="009656F6">
            <w:pPr>
              <w:textAlignment w:val="bottom"/>
            </w:pPr>
            <w:r>
              <w:rPr>
                <w:rFonts w:ascii="Arial" w:eastAsia="宋体" w:hAnsi="Arial" w:cs="Arial"/>
                <w:color w:val="000000"/>
                <w:sz w:val="17"/>
                <w:szCs w:val="17"/>
              </w:rPr>
              <w:t xml:space="preserve">Sales through </w:t>
            </w:r>
            <w:r>
              <w:rPr>
                <w:rFonts w:ascii="Arial" w:eastAsia="宋体" w:hAnsi="Arial" w:cs="Arial"/>
                <w:color w:val="000000"/>
                <w:sz w:val="17"/>
                <w:szCs w:val="17"/>
              </w:rPr>
              <w:t>Direct to Consumer</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7C70" w14:textId="77777777" w:rsidR="00066C63" w:rsidRDefault="009656F6">
            <w:pPr>
              <w:jc w:val="right"/>
              <w:textAlignment w:val="bottom"/>
            </w:pPr>
            <w:r>
              <w:rPr>
                <w:rFonts w:ascii="Arial" w:eastAsia="宋体" w:hAnsi="Arial" w:cs="Arial"/>
                <w:color w:val="000000"/>
                <w:sz w:val="17"/>
                <w:szCs w:val="17"/>
              </w:rPr>
              <w:t>181 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7C71"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C72" w14:textId="77777777" w:rsidR="00066C63" w:rsidRDefault="009656F6">
            <w:pPr>
              <w:jc w:val="right"/>
              <w:textAlignment w:val="bottom"/>
            </w:pPr>
            <w:r>
              <w:rPr>
                <w:rFonts w:ascii="Arial" w:eastAsia="宋体" w:hAnsi="Arial" w:cs="Arial"/>
                <w:color w:val="000000"/>
                <w:sz w:val="17"/>
                <w:szCs w:val="17"/>
              </w:rPr>
              <w:t>150 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C73"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C74" w14:textId="77777777" w:rsidR="00066C63" w:rsidRDefault="009656F6">
            <w:pPr>
              <w:jc w:val="right"/>
              <w:textAlignment w:val="bottom"/>
            </w:pPr>
            <w:r>
              <w:rPr>
                <w:rFonts w:ascii="Arial" w:eastAsia="宋体" w:hAnsi="Arial" w:cs="Arial"/>
                <w:color w:val="000000"/>
                <w:sz w:val="17"/>
                <w:szCs w:val="17"/>
              </w:rPr>
              <w:t>21 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C75" w14:textId="77777777" w:rsidR="00066C63" w:rsidRDefault="009656F6">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C76" w14:textId="77777777" w:rsidR="00066C63" w:rsidRDefault="009656F6">
            <w:pPr>
              <w:jc w:val="right"/>
              <w:textAlignment w:val="bottom"/>
            </w:pPr>
            <w:r>
              <w:rPr>
                <w:rFonts w:ascii="Arial" w:eastAsia="宋体" w:hAnsi="Arial" w:cs="Arial"/>
                <w:color w:val="000000"/>
                <w:sz w:val="17"/>
                <w:szCs w:val="17"/>
              </w:rPr>
              <w:t>16 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C77" w14:textId="77777777" w:rsidR="00066C63" w:rsidRDefault="009656F6">
            <w:pPr>
              <w:jc w:val="right"/>
              <w:textAlignment w:val="bottom"/>
            </w:pPr>
            <w:r>
              <w:rPr>
                <w:rFonts w:ascii="Arial" w:eastAsia="宋体" w:hAnsi="Arial" w:cs="Arial"/>
                <w:color w:val="000000"/>
                <w:sz w:val="17"/>
                <w:szCs w:val="17"/>
              </w:rPr>
              <w:t>%</w:t>
            </w:r>
          </w:p>
        </w:tc>
        <w:tc>
          <w:tcPr>
            <w:tcW w:w="0" w:type="auto"/>
            <w:gridSpan w:val="3"/>
            <w:tcBorders>
              <w:top w:val="single" w:sz="8" w:space="0" w:color="808080"/>
            </w:tcBorders>
            <w:shd w:val="clear" w:color="auto" w:fill="auto"/>
            <w:tcMar>
              <w:top w:w="0" w:type="dxa"/>
              <w:left w:w="20" w:type="dxa"/>
              <w:bottom w:w="0" w:type="dxa"/>
              <w:right w:w="20" w:type="dxa"/>
            </w:tcMar>
          </w:tcPr>
          <w:p w14:paraId="669C7C78" w14:textId="77777777" w:rsidR="00066C63" w:rsidRDefault="00066C63">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7C79" w14:textId="77777777" w:rsidR="00066C63" w:rsidRDefault="009656F6">
            <w:pPr>
              <w:jc w:val="right"/>
              <w:textAlignment w:val="bottom"/>
            </w:pPr>
            <w:r>
              <w:rPr>
                <w:rFonts w:ascii="Arial" w:eastAsia="宋体" w:hAnsi="Arial" w:cs="Arial"/>
                <w:color w:val="000000"/>
                <w:sz w:val="17"/>
                <w:szCs w:val="17"/>
              </w:rPr>
              <w:t>548 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7C7A"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C7B" w14:textId="77777777" w:rsidR="00066C63" w:rsidRDefault="009656F6">
            <w:pPr>
              <w:jc w:val="right"/>
              <w:textAlignment w:val="bottom"/>
            </w:pPr>
            <w:r>
              <w:rPr>
                <w:rFonts w:ascii="Arial" w:eastAsia="宋体" w:hAnsi="Arial" w:cs="Arial"/>
                <w:color w:val="000000"/>
                <w:sz w:val="17"/>
                <w:szCs w:val="17"/>
              </w:rPr>
              <w:t>480 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C7C"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C7D" w14:textId="77777777" w:rsidR="00066C63" w:rsidRDefault="009656F6">
            <w:pPr>
              <w:jc w:val="right"/>
              <w:textAlignment w:val="bottom"/>
            </w:pPr>
            <w:r>
              <w:rPr>
                <w:rFonts w:ascii="Arial" w:eastAsia="宋体" w:hAnsi="Arial" w:cs="Arial"/>
                <w:color w:val="000000"/>
                <w:sz w:val="17"/>
                <w:szCs w:val="17"/>
              </w:rPr>
              <w:t>14 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C7E" w14:textId="77777777" w:rsidR="00066C63" w:rsidRDefault="009656F6">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C7F" w14:textId="77777777" w:rsidR="00066C63" w:rsidRDefault="009656F6">
            <w:pPr>
              <w:jc w:val="right"/>
              <w:textAlignment w:val="bottom"/>
            </w:pPr>
            <w:r>
              <w:rPr>
                <w:rFonts w:ascii="Arial" w:eastAsia="宋体" w:hAnsi="Arial" w:cs="Arial"/>
                <w:color w:val="000000"/>
                <w:sz w:val="17"/>
                <w:szCs w:val="17"/>
              </w:rPr>
              <w:t>12 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C80" w14:textId="77777777" w:rsidR="00066C63" w:rsidRDefault="009656F6">
            <w:pPr>
              <w:jc w:val="right"/>
              <w:textAlignment w:val="bottom"/>
            </w:pPr>
            <w:r>
              <w:rPr>
                <w:rFonts w:ascii="Arial" w:eastAsia="宋体" w:hAnsi="Arial" w:cs="Arial"/>
                <w:color w:val="000000"/>
                <w:sz w:val="17"/>
                <w:szCs w:val="17"/>
              </w:rPr>
              <w:t>%</w:t>
            </w:r>
          </w:p>
        </w:tc>
      </w:tr>
      <w:tr w:rsidR="00066C63" w14:paraId="669C7C94"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7C82" w14:textId="77777777" w:rsidR="00066C63" w:rsidRDefault="009656F6">
            <w:pPr>
              <w:textAlignment w:val="bottom"/>
            </w:pPr>
            <w:r>
              <w:rPr>
                <w:rFonts w:ascii="Arial" w:eastAsia="宋体" w:hAnsi="Arial" w:cs="Arial"/>
                <w:color w:val="000000"/>
                <w:sz w:val="17"/>
                <w:szCs w:val="17"/>
              </w:rPr>
              <w:t>Other</w:t>
            </w:r>
            <w:r>
              <w:rPr>
                <w:rFonts w:ascii="Arial" w:eastAsia="宋体" w:hAnsi="Arial" w:cs="Arial"/>
                <w:color w:val="000000"/>
                <w:sz w:val="11"/>
                <w:szCs w:val="11"/>
              </w:rPr>
              <w:t>(1)</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7C83" w14:textId="77777777" w:rsidR="00066C63" w:rsidRDefault="009656F6">
            <w:pPr>
              <w:jc w:val="right"/>
              <w:textAlignment w:val="bottom"/>
            </w:pPr>
            <w:r>
              <w:rPr>
                <w:rFonts w:ascii="Arial" w:eastAsia="宋体" w:hAnsi="Arial" w:cs="Arial"/>
                <w:color w:val="000000"/>
                <w:sz w:val="17"/>
                <w:szCs w:val="17"/>
              </w:rPr>
              <w:t>23 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7C84"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C85" w14:textId="77777777" w:rsidR="00066C63" w:rsidRDefault="009656F6">
            <w:pPr>
              <w:jc w:val="right"/>
              <w:textAlignment w:val="bottom"/>
            </w:pPr>
            <w:r>
              <w:rPr>
                <w:rFonts w:ascii="Arial" w:eastAsia="宋体" w:hAnsi="Arial" w:cs="Arial"/>
                <w:color w:val="000000"/>
                <w:sz w:val="17"/>
                <w:szCs w:val="17"/>
              </w:rPr>
              <w:t>26 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C86"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C87" w14:textId="77777777" w:rsidR="00066C63" w:rsidRDefault="009656F6">
            <w:pPr>
              <w:jc w:val="right"/>
              <w:textAlignment w:val="bottom"/>
            </w:pPr>
            <w:r>
              <w:rPr>
                <w:rFonts w:ascii="Arial" w:eastAsia="宋体" w:hAnsi="Arial" w:cs="Arial"/>
                <w:color w:val="000000"/>
                <w:sz w:val="17"/>
                <w:szCs w:val="17"/>
              </w:rPr>
              <w:t>-12 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C88" w14:textId="77777777" w:rsidR="00066C63" w:rsidRDefault="009656F6">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C89" w14:textId="77777777" w:rsidR="00066C63" w:rsidRDefault="009656F6">
            <w:pPr>
              <w:jc w:val="right"/>
              <w:textAlignment w:val="bottom"/>
            </w:pPr>
            <w:r>
              <w:rPr>
                <w:rFonts w:ascii="Arial" w:eastAsia="宋体" w:hAnsi="Arial" w:cs="Arial"/>
                <w:color w:val="000000"/>
                <w:sz w:val="17"/>
                <w:szCs w:val="17"/>
              </w:rPr>
              <w:t>-13 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C8A" w14:textId="77777777" w:rsidR="00066C63" w:rsidRDefault="009656F6">
            <w:pPr>
              <w:jc w:val="right"/>
              <w:textAlignment w:val="bottom"/>
            </w:pPr>
            <w:r>
              <w:rPr>
                <w:rFonts w:ascii="Arial" w:eastAsia="宋体" w:hAnsi="Arial" w:cs="Arial"/>
                <w:color w:val="000000"/>
                <w:sz w:val="17"/>
                <w:szCs w:val="17"/>
              </w:rPr>
              <w:t>%</w:t>
            </w:r>
          </w:p>
        </w:tc>
        <w:tc>
          <w:tcPr>
            <w:tcW w:w="0" w:type="auto"/>
            <w:gridSpan w:val="3"/>
            <w:tcBorders>
              <w:top w:val="single" w:sz="8" w:space="0" w:color="808080"/>
            </w:tcBorders>
            <w:shd w:val="clear" w:color="auto" w:fill="auto"/>
            <w:tcMar>
              <w:top w:w="0" w:type="dxa"/>
              <w:left w:w="20" w:type="dxa"/>
              <w:bottom w:w="0" w:type="dxa"/>
              <w:right w:w="20" w:type="dxa"/>
            </w:tcMar>
          </w:tcPr>
          <w:p w14:paraId="669C7C8B" w14:textId="77777777" w:rsidR="00066C63" w:rsidRDefault="00066C63">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669C7C8C" w14:textId="77777777" w:rsidR="00066C63" w:rsidRDefault="009656F6">
            <w:pPr>
              <w:jc w:val="right"/>
              <w:textAlignment w:val="bottom"/>
            </w:pPr>
            <w:r>
              <w:rPr>
                <w:rFonts w:ascii="Arial" w:eastAsia="宋体" w:hAnsi="Arial" w:cs="Arial"/>
                <w:color w:val="000000"/>
                <w:sz w:val="17"/>
                <w:szCs w:val="17"/>
              </w:rPr>
              <w:t>63 </w:t>
            </w:r>
          </w:p>
        </w:tc>
        <w:tc>
          <w:tcPr>
            <w:tcW w:w="0" w:type="auto"/>
            <w:tcBorders>
              <w:top w:val="single" w:sz="8" w:space="0" w:color="808080"/>
            </w:tcBorders>
            <w:shd w:val="clear" w:color="auto" w:fill="FFF1E7"/>
            <w:tcMar>
              <w:top w:w="40" w:type="dxa"/>
              <w:left w:w="0" w:type="dxa"/>
              <w:bottom w:w="40" w:type="dxa"/>
              <w:right w:w="20" w:type="dxa"/>
            </w:tcMar>
            <w:vAlign w:val="bottom"/>
          </w:tcPr>
          <w:p w14:paraId="669C7C8D"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C8E" w14:textId="77777777" w:rsidR="00066C63" w:rsidRDefault="009656F6">
            <w:pPr>
              <w:jc w:val="right"/>
              <w:textAlignment w:val="bottom"/>
            </w:pPr>
            <w:r>
              <w:rPr>
                <w:rFonts w:ascii="Arial" w:eastAsia="宋体" w:hAnsi="Arial" w:cs="Arial"/>
                <w:color w:val="000000"/>
                <w:sz w:val="17"/>
                <w:szCs w:val="17"/>
              </w:rPr>
              <w:t>78 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C8F" w14:textId="77777777" w:rsidR="00066C63" w:rsidRDefault="00066C63">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C90" w14:textId="77777777" w:rsidR="00066C63" w:rsidRDefault="009656F6">
            <w:pPr>
              <w:jc w:val="right"/>
              <w:textAlignment w:val="bottom"/>
            </w:pPr>
            <w:r>
              <w:rPr>
                <w:rFonts w:ascii="Arial" w:eastAsia="宋体" w:hAnsi="Arial" w:cs="Arial"/>
                <w:color w:val="000000"/>
                <w:sz w:val="17"/>
                <w:szCs w:val="17"/>
              </w:rPr>
              <w:t>-19 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C91" w14:textId="77777777" w:rsidR="00066C63" w:rsidRDefault="009656F6">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669C7C92" w14:textId="77777777" w:rsidR="00066C63" w:rsidRDefault="009656F6">
            <w:pPr>
              <w:jc w:val="right"/>
              <w:textAlignment w:val="bottom"/>
            </w:pPr>
            <w:r>
              <w:rPr>
                <w:rFonts w:ascii="Arial" w:eastAsia="宋体" w:hAnsi="Arial" w:cs="Arial"/>
                <w:color w:val="000000"/>
                <w:sz w:val="17"/>
                <w:szCs w:val="17"/>
              </w:rPr>
              <w:t>-16 </w:t>
            </w:r>
          </w:p>
        </w:tc>
        <w:tc>
          <w:tcPr>
            <w:tcW w:w="0" w:type="auto"/>
            <w:tcBorders>
              <w:top w:val="single" w:sz="8" w:space="0" w:color="808080"/>
            </w:tcBorders>
            <w:shd w:val="clear" w:color="auto" w:fill="auto"/>
            <w:tcMar>
              <w:top w:w="40" w:type="dxa"/>
              <w:left w:w="0" w:type="dxa"/>
              <w:bottom w:w="40" w:type="dxa"/>
              <w:right w:w="20" w:type="dxa"/>
            </w:tcMar>
            <w:vAlign w:val="bottom"/>
          </w:tcPr>
          <w:p w14:paraId="669C7C93" w14:textId="77777777" w:rsidR="00066C63" w:rsidRDefault="009656F6">
            <w:pPr>
              <w:jc w:val="right"/>
              <w:textAlignment w:val="bottom"/>
            </w:pPr>
            <w:r>
              <w:rPr>
                <w:rFonts w:ascii="Arial" w:eastAsia="宋体" w:hAnsi="Arial" w:cs="Arial"/>
                <w:color w:val="000000"/>
                <w:sz w:val="17"/>
                <w:szCs w:val="17"/>
              </w:rPr>
              <w:t>%</w:t>
            </w:r>
          </w:p>
        </w:tc>
      </w:tr>
      <w:tr w:rsidR="00066C63" w14:paraId="669C7CAB"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C95" w14:textId="77777777" w:rsidR="00066C63" w:rsidRDefault="009656F6">
            <w:pPr>
              <w:textAlignment w:val="bottom"/>
            </w:pPr>
            <w:r>
              <w:rPr>
                <w:rFonts w:ascii="Arial" w:eastAsia="宋体" w:hAnsi="Arial" w:cs="Arial"/>
                <w:b/>
                <w:bCs/>
                <w:color w:val="000000"/>
                <w:sz w:val="17"/>
                <w:szCs w:val="17"/>
              </w:rPr>
              <w:t>TOTAL 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669C7C96"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669C7C97" w14:textId="77777777" w:rsidR="00066C63" w:rsidRDefault="009656F6">
            <w:pPr>
              <w:jc w:val="right"/>
              <w:textAlignment w:val="bottom"/>
            </w:pPr>
            <w:r>
              <w:rPr>
                <w:rFonts w:ascii="Arial" w:eastAsia="宋体" w:hAnsi="Arial" w:cs="Arial"/>
                <w:b/>
                <w:bCs/>
                <w:color w:val="000000"/>
                <w:sz w:val="17"/>
                <w:szCs w:val="17"/>
              </w:rPr>
              <w:t>570</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7C98" w14:textId="77777777" w:rsidR="00066C63" w:rsidRDefault="00066C63">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69C7C99"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69C7C9A" w14:textId="77777777" w:rsidR="00066C63" w:rsidRDefault="009656F6">
            <w:pPr>
              <w:jc w:val="right"/>
              <w:textAlignment w:val="bottom"/>
            </w:pPr>
            <w:r>
              <w:rPr>
                <w:rFonts w:ascii="Arial" w:eastAsia="宋体" w:hAnsi="Arial" w:cs="Arial"/>
                <w:b/>
                <w:bCs/>
                <w:color w:val="000000"/>
                <w:sz w:val="17"/>
                <w:szCs w:val="17"/>
              </w:rPr>
              <w:t>506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7C9B" w14:textId="77777777" w:rsidR="00066C63" w:rsidRDefault="00066C63">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7C9C" w14:textId="77777777" w:rsidR="00066C63" w:rsidRDefault="009656F6">
            <w:pPr>
              <w:jc w:val="right"/>
              <w:textAlignment w:val="bottom"/>
            </w:pPr>
            <w:r>
              <w:rPr>
                <w:rFonts w:ascii="Arial" w:eastAsia="宋体" w:hAnsi="Arial" w:cs="Arial"/>
                <w:b/>
                <w:bCs/>
                <w:color w:val="000000"/>
                <w:sz w:val="17"/>
                <w:szCs w:val="17"/>
              </w:rPr>
              <w:t>13</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7C9D" w14:textId="77777777" w:rsidR="00066C63" w:rsidRDefault="009656F6">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7C9E" w14:textId="77777777" w:rsidR="00066C63" w:rsidRDefault="009656F6">
            <w:pPr>
              <w:jc w:val="right"/>
              <w:textAlignment w:val="bottom"/>
            </w:pPr>
            <w:r>
              <w:rPr>
                <w:rFonts w:ascii="Arial" w:eastAsia="宋体" w:hAnsi="Arial" w:cs="Arial"/>
                <w:b/>
                <w:bCs/>
                <w:color w:val="000000"/>
                <w:sz w:val="17"/>
                <w:szCs w:val="17"/>
              </w:rPr>
              <w:t>8</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7C9F" w14:textId="77777777" w:rsidR="00066C63" w:rsidRDefault="009656F6">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tcPr>
          <w:p w14:paraId="669C7CA0" w14:textId="77777777" w:rsidR="00066C63" w:rsidRDefault="00066C63">
            <w:pPr>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669C7CA1"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669C7CA2" w14:textId="77777777" w:rsidR="00066C63" w:rsidRDefault="009656F6">
            <w:pPr>
              <w:jc w:val="right"/>
              <w:textAlignment w:val="bottom"/>
            </w:pPr>
            <w:r>
              <w:rPr>
                <w:rFonts w:ascii="Arial" w:eastAsia="宋体" w:hAnsi="Arial" w:cs="Arial"/>
                <w:b/>
                <w:bCs/>
                <w:color w:val="000000"/>
                <w:sz w:val="17"/>
                <w:szCs w:val="17"/>
              </w:rPr>
              <w:t>1,609</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7CA3" w14:textId="77777777" w:rsidR="00066C63" w:rsidRDefault="00066C63">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69C7CA4"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69C7CA5" w14:textId="77777777" w:rsidR="00066C63" w:rsidRDefault="009656F6">
            <w:pPr>
              <w:jc w:val="right"/>
              <w:textAlignment w:val="bottom"/>
            </w:pPr>
            <w:r>
              <w:rPr>
                <w:rFonts w:ascii="Arial" w:eastAsia="宋体" w:hAnsi="Arial" w:cs="Arial"/>
                <w:b/>
                <w:bCs/>
                <w:color w:val="000000"/>
                <w:sz w:val="17"/>
                <w:szCs w:val="17"/>
              </w:rPr>
              <w:t>1,541</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7CA6" w14:textId="77777777" w:rsidR="00066C63" w:rsidRDefault="00066C63">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7CA7" w14:textId="77777777" w:rsidR="00066C63" w:rsidRDefault="009656F6">
            <w:pPr>
              <w:jc w:val="right"/>
              <w:textAlignment w:val="bottom"/>
            </w:pPr>
            <w:r>
              <w:rPr>
                <w:rFonts w:ascii="Arial" w:eastAsia="宋体" w:hAnsi="Arial" w:cs="Arial"/>
                <w:b/>
                <w:bCs/>
                <w:color w:val="000000"/>
                <w:sz w:val="17"/>
                <w:szCs w:val="17"/>
              </w:rPr>
              <w:t>4</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7CA8" w14:textId="77777777" w:rsidR="00066C63" w:rsidRDefault="009656F6">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7CA9" w14:textId="77777777" w:rsidR="00066C63" w:rsidRDefault="009656F6">
            <w:pPr>
              <w:jc w:val="right"/>
              <w:textAlignment w:val="bottom"/>
            </w:pPr>
            <w:r>
              <w:rPr>
                <w:rFonts w:ascii="Arial" w:eastAsia="宋体" w:hAnsi="Arial" w:cs="Arial"/>
                <w:b/>
                <w:bCs/>
                <w:color w:val="000000"/>
                <w:sz w:val="17"/>
                <w:szCs w:val="17"/>
              </w:rPr>
              <w:t>2</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7CAA" w14:textId="77777777" w:rsidR="00066C63" w:rsidRDefault="009656F6">
            <w:pPr>
              <w:jc w:val="right"/>
              <w:textAlignment w:val="bottom"/>
            </w:pPr>
            <w:r>
              <w:rPr>
                <w:rFonts w:ascii="Arial" w:eastAsia="宋体" w:hAnsi="Arial" w:cs="Arial"/>
                <w:b/>
                <w:bCs/>
                <w:color w:val="000000"/>
                <w:sz w:val="17"/>
                <w:szCs w:val="17"/>
              </w:rPr>
              <w:t>%</w:t>
            </w:r>
          </w:p>
        </w:tc>
      </w:tr>
      <w:tr w:rsidR="00066C63" w14:paraId="669C7CC0"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669C7CAC" w14:textId="77777777" w:rsidR="00066C63" w:rsidRDefault="009656F6">
            <w:pPr>
              <w:textAlignment w:val="bottom"/>
            </w:pPr>
            <w:r>
              <w:rPr>
                <w:rFonts w:ascii="Arial" w:eastAsia="宋体" w:hAnsi="Arial" w:cs="Arial"/>
                <w:b/>
                <w:bCs/>
                <w:color w:val="000000"/>
                <w:sz w:val="17"/>
                <w:szCs w:val="17"/>
              </w:rPr>
              <w:t>EARNINGS BEFORE</w:t>
            </w:r>
            <w:r>
              <w:rPr>
                <w:rFonts w:ascii="Arial" w:eastAsia="宋体" w:hAnsi="Arial" w:cs="Arial"/>
                <w:b/>
                <w:bCs/>
                <w:color w:val="000000"/>
                <w:sz w:val="17"/>
                <w:szCs w:val="17"/>
              </w:rPr>
              <w:br/>
              <w:t>INT</w:t>
            </w:r>
            <w:r>
              <w:rPr>
                <w:rFonts w:ascii="Arial" w:eastAsia="宋体" w:hAnsi="Arial" w:cs="Arial"/>
                <w:b/>
                <w:bCs/>
                <w:color w:val="000000"/>
                <w:sz w:val="17"/>
                <w:szCs w:val="17"/>
              </w:rPr>
              <w:t>EREST AND TAXES</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69C7CAD"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669C7CAE" w14:textId="77777777" w:rsidR="00066C63" w:rsidRDefault="009656F6">
            <w:pPr>
              <w:jc w:val="right"/>
              <w:textAlignment w:val="bottom"/>
            </w:pPr>
            <w:r>
              <w:rPr>
                <w:rFonts w:ascii="Arial" w:eastAsia="宋体" w:hAnsi="Arial" w:cs="Arial"/>
                <w:b/>
                <w:bCs/>
                <w:color w:val="000000"/>
                <w:sz w:val="17"/>
                <w:szCs w:val="17"/>
              </w:rPr>
              <w:t>150</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69C7CAF" w14:textId="77777777" w:rsidR="00066C63" w:rsidRDefault="00066C63">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69C7CB0"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69C7CB1" w14:textId="77777777" w:rsidR="00066C63" w:rsidRDefault="009656F6">
            <w:pPr>
              <w:jc w:val="right"/>
              <w:textAlignment w:val="bottom"/>
            </w:pPr>
            <w:r>
              <w:rPr>
                <w:rFonts w:ascii="Arial" w:eastAsia="宋体" w:hAnsi="Arial" w:cs="Arial"/>
                <w:b/>
                <w:bCs/>
                <w:color w:val="000000"/>
                <w:sz w:val="17"/>
                <w:szCs w:val="17"/>
              </w:rPr>
              <w:t>96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69C7CB2" w14:textId="77777777" w:rsidR="00066C63" w:rsidRDefault="00066C63">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669C7CB3" w14:textId="77777777" w:rsidR="00066C63" w:rsidRDefault="009656F6">
            <w:pPr>
              <w:jc w:val="right"/>
              <w:textAlignment w:val="bottom"/>
            </w:pPr>
            <w:r>
              <w:rPr>
                <w:rFonts w:ascii="Arial" w:eastAsia="宋体" w:hAnsi="Arial" w:cs="Arial"/>
                <w:b/>
                <w:bCs/>
                <w:color w:val="000000"/>
                <w:sz w:val="17"/>
                <w:szCs w:val="17"/>
              </w:rPr>
              <w:t>56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69C7CB4" w14:textId="77777777" w:rsidR="00066C63" w:rsidRDefault="009656F6">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tcPr>
          <w:p w14:paraId="669C7CB5" w14:textId="77777777" w:rsidR="00066C63" w:rsidRDefault="00066C63">
            <w:pPr>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tcPr>
          <w:p w14:paraId="669C7CB6" w14:textId="77777777" w:rsidR="00066C63" w:rsidRDefault="00066C63">
            <w:pPr>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69C7CB7"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669C7CB8" w14:textId="77777777" w:rsidR="00066C63" w:rsidRDefault="009656F6">
            <w:pPr>
              <w:jc w:val="right"/>
              <w:textAlignment w:val="bottom"/>
            </w:pPr>
            <w:r>
              <w:rPr>
                <w:rFonts w:ascii="Arial" w:eastAsia="宋体" w:hAnsi="Arial" w:cs="Arial"/>
                <w:b/>
                <w:bCs/>
                <w:color w:val="000000"/>
                <w:sz w:val="17"/>
                <w:szCs w:val="17"/>
              </w:rPr>
              <w:t>405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69C7CB9" w14:textId="77777777" w:rsidR="00066C63" w:rsidRDefault="00066C63">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69C7CBA" w14:textId="77777777" w:rsidR="00066C63" w:rsidRDefault="009656F6">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69C7CBB" w14:textId="77777777" w:rsidR="00066C63" w:rsidRDefault="009656F6">
            <w:pPr>
              <w:jc w:val="right"/>
              <w:textAlignment w:val="bottom"/>
            </w:pPr>
            <w:r>
              <w:rPr>
                <w:rFonts w:ascii="Arial" w:eastAsia="宋体" w:hAnsi="Arial" w:cs="Arial"/>
                <w:b/>
                <w:bCs/>
                <w:color w:val="000000"/>
                <w:sz w:val="17"/>
                <w:szCs w:val="17"/>
              </w:rPr>
              <w:t>324</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69C7CBC" w14:textId="77777777" w:rsidR="00066C63" w:rsidRDefault="00066C63">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669C7CBD" w14:textId="77777777" w:rsidR="00066C63" w:rsidRDefault="009656F6">
            <w:pPr>
              <w:jc w:val="right"/>
              <w:textAlignment w:val="bottom"/>
            </w:pPr>
            <w:r>
              <w:rPr>
                <w:rFonts w:ascii="Arial" w:eastAsia="宋体" w:hAnsi="Arial" w:cs="Arial"/>
                <w:b/>
                <w:bCs/>
                <w:color w:val="000000"/>
                <w:sz w:val="17"/>
                <w:szCs w:val="17"/>
              </w:rPr>
              <w:t>25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69C7CBE" w14:textId="77777777" w:rsidR="00066C63" w:rsidRDefault="009656F6">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tcPr>
          <w:p w14:paraId="669C7CBF" w14:textId="77777777" w:rsidR="00066C63" w:rsidRDefault="00066C63">
            <w:pPr>
              <w:rPr>
                <w:rFonts w:ascii="宋体"/>
              </w:rPr>
            </w:pPr>
          </w:p>
        </w:tc>
      </w:tr>
    </w:tbl>
    <w:p w14:paraId="669C7CC1" w14:textId="77777777" w:rsidR="00066C63" w:rsidRDefault="009656F6">
      <w:pPr>
        <w:spacing w:before="60" w:after="60"/>
        <w:ind w:hanging="360"/>
      </w:pPr>
      <w:r>
        <w:rPr>
          <w:rFonts w:ascii="Arial" w:eastAsia="宋体" w:hAnsi="Arial" w:cs="Arial"/>
          <w:i/>
          <w:iCs/>
          <w:color w:val="000000"/>
          <w:sz w:val="14"/>
          <w:szCs w:val="14"/>
        </w:rPr>
        <w:t>(1)    Other revenues consist of territories serviced by third-party licensees w</w:t>
      </w:r>
      <w:r>
        <w:rPr>
          <w:rFonts w:ascii="Arial" w:eastAsia="宋体" w:hAnsi="Arial" w:cs="Arial"/>
          <w:i/>
          <w:iCs/>
          <w:color w:val="000000"/>
          <w:sz w:val="14"/>
          <w:szCs w:val="14"/>
        </w:rPr>
        <w:t>ho pay royalties to Converse for the use of its registered trademarks and other intellectual property rights. We do not own the Converse trademarks in Japan and accordingly do not earn revenues in Japan.</w:t>
      </w:r>
    </w:p>
    <w:p w14:paraId="669C7CC2" w14:textId="77777777" w:rsidR="00066C63" w:rsidRDefault="009656F6">
      <w:pPr>
        <w:spacing w:before="120"/>
      </w:pPr>
      <w:r>
        <w:rPr>
          <w:rFonts w:ascii="sans-serif" w:eastAsia="sans-serif" w:hAnsi="sans-serif" w:cs="sans-serif"/>
          <w:b/>
          <w:bCs/>
          <w:color w:val="808080"/>
          <w:sz w:val="22"/>
          <w:szCs w:val="22"/>
        </w:rPr>
        <w:t>THIRD QUARTER OF FISCAL 2021 COMPARED TO THIRD QUART</w:t>
      </w:r>
      <w:r>
        <w:rPr>
          <w:rFonts w:ascii="sans-serif" w:eastAsia="sans-serif" w:hAnsi="sans-serif" w:cs="sans-serif"/>
          <w:b/>
          <w:bCs/>
          <w:color w:val="808080"/>
          <w:sz w:val="22"/>
          <w:szCs w:val="22"/>
        </w:rPr>
        <w:t>ER OF FISCAL 2020</w:t>
      </w:r>
    </w:p>
    <w:p w14:paraId="669C7CC3" w14:textId="77777777" w:rsidR="00066C63" w:rsidRDefault="009656F6">
      <w:pPr>
        <w:spacing w:after="120"/>
      </w:pPr>
      <w:r>
        <w:rPr>
          <w:rFonts w:ascii="Arial" w:eastAsia="宋体" w:hAnsi="Arial" w:cs="Arial"/>
          <w:color w:val="000000"/>
          <w:sz w:val="17"/>
          <w:szCs w:val="17"/>
        </w:rPr>
        <w:t>On a currency-neutral basis, Converse revenues increased 8% for the third quarter of fiscal 2021. The increase in revenues was driven by revenue growth across all geographies. Wholesale revenues increased 5%, in part due to the impacts of</w:t>
      </w:r>
      <w:r>
        <w:rPr>
          <w:rFonts w:ascii="Arial" w:eastAsia="宋体" w:hAnsi="Arial" w:cs="Arial"/>
          <w:color w:val="000000"/>
          <w:sz w:val="17"/>
          <w:szCs w:val="17"/>
        </w:rPr>
        <w:t xml:space="preserve"> COVID-19 in the prior year, partially offset by wholesale revenue declines primarily in North America. Direct to consumer revenues increased 16%, as strong digital sales growth across North America and Western Europe more than offset declines from Convers</w:t>
      </w:r>
      <w:r>
        <w:rPr>
          <w:rFonts w:ascii="Arial" w:eastAsia="宋体" w:hAnsi="Arial" w:cs="Arial"/>
          <w:color w:val="000000"/>
          <w:sz w:val="17"/>
          <w:szCs w:val="17"/>
        </w:rPr>
        <w:t>e owned stores, reflecting the ongoing impact of COVID-19. Combined unit sales within the wholesale and direct to consumer channels decreased 5%, while ASP increased 14%, primarily due to growth in digital sales.</w:t>
      </w:r>
    </w:p>
    <w:p w14:paraId="669C7CC4" w14:textId="77777777" w:rsidR="00066C63" w:rsidRDefault="009656F6">
      <w:r>
        <w:rPr>
          <w:rFonts w:ascii="Arial" w:eastAsia="宋体" w:hAnsi="Arial" w:cs="Arial"/>
          <w:color w:val="000000"/>
          <w:sz w:val="17"/>
          <w:szCs w:val="17"/>
        </w:rPr>
        <w:t>Reported EBIT increased 56%, driven by high</w:t>
      </w:r>
      <w:r>
        <w:rPr>
          <w:rFonts w:ascii="Arial" w:eastAsia="宋体" w:hAnsi="Arial" w:cs="Arial"/>
          <w:color w:val="000000"/>
          <w:sz w:val="17"/>
          <w:szCs w:val="17"/>
        </w:rPr>
        <w:t>er revenues and lower selling and administrative expense, partially offset by lower gross margin. Gross margin decreased approximately 50 basis points as higher product costs due to product mix, lower revenues in our licensing business, and unfavorable cha</w:t>
      </w:r>
      <w:r>
        <w:rPr>
          <w:rFonts w:ascii="Arial" w:eastAsia="宋体" w:hAnsi="Arial" w:cs="Arial"/>
          <w:color w:val="000000"/>
          <w:sz w:val="17"/>
          <w:szCs w:val="17"/>
        </w:rPr>
        <w:t>nges in standard foreign currency exchange rates were partially offset by higher full-price ASP, in part reflecting lower discounts. Selling and administrative expense decreased due to lower operating overhead and demand creation expense. Operating overhea</w:t>
      </w:r>
      <w:r>
        <w:rPr>
          <w:rFonts w:ascii="Arial" w:eastAsia="宋体" w:hAnsi="Arial" w:cs="Arial"/>
          <w:color w:val="000000"/>
          <w:sz w:val="17"/>
          <w:szCs w:val="17"/>
        </w:rPr>
        <w:t>d expense decreased primarily due to lower wage-related expenses, as well as lower travel and related costs. Demand creation expense decreased as a result of lower advertising and marketing expense.</w:t>
      </w:r>
    </w:p>
    <w:p w14:paraId="669C7CC5" w14:textId="77777777" w:rsidR="00066C63" w:rsidRDefault="009656F6">
      <w:pPr>
        <w:spacing w:before="120"/>
      </w:pPr>
      <w:r>
        <w:rPr>
          <w:rFonts w:ascii="sans-serif" w:eastAsia="sans-serif" w:hAnsi="sans-serif" w:cs="sans-serif"/>
          <w:b/>
          <w:bCs/>
          <w:color w:val="808080"/>
          <w:sz w:val="22"/>
          <w:szCs w:val="22"/>
        </w:rPr>
        <w:t>FIRST NINE MONTHS OF FISCAL 2021 COMPARED TO FIRST NINE M</w:t>
      </w:r>
      <w:r>
        <w:rPr>
          <w:rFonts w:ascii="sans-serif" w:eastAsia="sans-serif" w:hAnsi="sans-serif" w:cs="sans-serif"/>
          <w:b/>
          <w:bCs/>
          <w:color w:val="808080"/>
          <w:sz w:val="22"/>
          <w:szCs w:val="22"/>
        </w:rPr>
        <w:t>ONTHS OF FISCAL 2020</w:t>
      </w:r>
    </w:p>
    <w:p w14:paraId="669C7CC6" w14:textId="77777777" w:rsidR="00066C63" w:rsidRDefault="009656F6">
      <w:pPr>
        <w:spacing w:after="120"/>
      </w:pPr>
      <w:r>
        <w:rPr>
          <w:rFonts w:ascii="Arial" w:eastAsia="宋体" w:hAnsi="Arial" w:cs="Arial"/>
          <w:color w:val="000000"/>
          <w:sz w:val="17"/>
          <w:szCs w:val="17"/>
        </w:rPr>
        <w:t>On a currency-neutral basis, Converse revenues increased 2% for the first nine months of fiscal 2021, primarily driven by higher revenues in Asia and Western Europe, partially offset by declines in North America. Wholesale revenues dec</w:t>
      </w:r>
      <w:r>
        <w:rPr>
          <w:rFonts w:ascii="Arial" w:eastAsia="宋体" w:hAnsi="Arial" w:cs="Arial"/>
          <w:color w:val="000000"/>
          <w:sz w:val="17"/>
          <w:szCs w:val="17"/>
        </w:rPr>
        <w:t>lined 1%, in part a result of supply chain management and strategic distribution shifts in North America, while direct to consumer revenues increased 12%, as strong digital sales growth across all geographies more than offset declines from Converse owned s</w:t>
      </w:r>
      <w:r>
        <w:rPr>
          <w:rFonts w:ascii="Arial" w:eastAsia="宋体" w:hAnsi="Arial" w:cs="Arial"/>
          <w:color w:val="000000"/>
          <w:sz w:val="17"/>
          <w:szCs w:val="17"/>
        </w:rPr>
        <w:t>tores, reflecting the ongoing impact of COVID-19. Combined unit sales within the wholesale and direct to consumer channels decreased 4%, while ASP increased 7%, primarily due to growth in digital sales.</w:t>
      </w:r>
    </w:p>
    <w:p w14:paraId="669C7CC7" w14:textId="77777777" w:rsidR="00066C63" w:rsidRDefault="009656F6">
      <w:r>
        <w:rPr>
          <w:rFonts w:ascii="Arial" w:eastAsia="宋体" w:hAnsi="Arial" w:cs="Arial"/>
          <w:color w:val="000000"/>
          <w:sz w:val="17"/>
          <w:szCs w:val="17"/>
        </w:rPr>
        <w:t xml:space="preserve">Reported EBIT increased 25%, driven by lower selling </w:t>
      </w:r>
      <w:r>
        <w:rPr>
          <w:rFonts w:ascii="Arial" w:eastAsia="宋体" w:hAnsi="Arial" w:cs="Arial"/>
          <w:color w:val="000000"/>
          <w:sz w:val="17"/>
          <w:szCs w:val="17"/>
        </w:rPr>
        <w:t>and administrative expense and higher revenues, partially offset by lower gross margin. Gross margin decreased approximately 160 basis points as higher product costs due to product mix, lower margin in our direct to consumer channel and our licensing busin</w:t>
      </w:r>
      <w:r>
        <w:rPr>
          <w:rFonts w:ascii="Arial" w:eastAsia="宋体" w:hAnsi="Arial" w:cs="Arial"/>
          <w:color w:val="000000"/>
          <w:sz w:val="17"/>
          <w:szCs w:val="17"/>
        </w:rPr>
        <w:t>ess as well as unfavorable changes in standard foreign currency exchange rates were partially offset by higher full-price ASP, net of discounts. Lower margin in our direct to consumer channel was driven by higher promotions in Asia to reduce excess invento</w:t>
      </w:r>
      <w:r>
        <w:rPr>
          <w:rFonts w:ascii="Arial" w:eastAsia="宋体" w:hAnsi="Arial" w:cs="Arial"/>
          <w:color w:val="000000"/>
          <w:sz w:val="17"/>
          <w:szCs w:val="17"/>
        </w:rPr>
        <w:t>ry due to COVID-19. Selling and administrative expense decreased due to lower operating overhead and demand creation expense. Operating overhead expense decreased primarily due to lower administrative costs and wage-related expenses. Demand creation expens</w:t>
      </w:r>
      <w:r>
        <w:rPr>
          <w:rFonts w:ascii="Arial" w:eastAsia="宋体" w:hAnsi="Arial" w:cs="Arial"/>
          <w:color w:val="000000"/>
          <w:sz w:val="17"/>
          <w:szCs w:val="17"/>
        </w:rPr>
        <w:t>e decreased primarily due to lower advertising and marketing expenses.</w:t>
      </w:r>
    </w:p>
    <w:p w14:paraId="669C7CC8" w14:textId="77777777" w:rsidR="00066C63" w:rsidRDefault="009656F6">
      <w:pPr>
        <w:spacing w:before="120" w:after="120"/>
        <w:jc w:val="right"/>
      </w:pPr>
      <w:r>
        <w:rPr>
          <w:rFonts w:ascii="Arial" w:eastAsia="宋体" w:hAnsi="Arial" w:cs="Arial"/>
          <w:color w:val="E87722"/>
          <w:sz w:val="17"/>
          <w:szCs w:val="17"/>
        </w:rPr>
        <w:t>39</w:t>
      </w:r>
    </w:p>
    <w:p w14:paraId="669C7CC9" w14:textId="77777777" w:rsidR="00066C63" w:rsidRDefault="009656F6">
      <w:r>
        <w:pict w14:anchorId="669C7E57">
          <v:rect id="_x0000_i1065" style="width:415.3pt;height:1.5pt" o:hralign="center" o:hrstd="t" o:hr="t" fillcolor="#a0a0a0" stroked="f"/>
        </w:pict>
      </w:r>
    </w:p>
    <w:p w14:paraId="669C7CCA" w14:textId="77777777" w:rsidR="00066C63" w:rsidRDefault="00066C63"/>
    <w:p w14:paraId="669C7CCB" w14:textId="77777777" w:rsidR="00066C63" w:rsidRDefault="009656F6">
      <w:hyperlink r:id="rId109" w:anchor="i1e99cb26debe49fe8b698d0f0eb1273a_7" w:history="1">
        <w:r>
          <w:rPr>
            <w:rStyle w:val="a5"/>
            <w:rFonts w:ascii="sans-serif" w:eastAsia="sans-serif" w:hAnsi="sans-serif" w:cs="sans-serif"/>
            <w:sz w:val="17"/>
            <w:szCs w:val="17"/>
          </w:rPr>
          <w:t>Table of Contents</w:t>
        </w:r>
      </w:hyperlink>
    </w:p>
    <w:p w14:paraId="669C7CCC" w14:textId="77777777" w:rsidR="00066C63" w:rsidRDefault="00066C63"/>
    <w:p w14:paraId="669C7CCD" w14:textId="77777777" w:rsidR="00066C63" w:rsidRDefault="009656F6">
      <w:pPr>
        <w:spacing w:before="240" w:after="120"/>
      </w:pPr>
      <w:r>
        <w:rPr>
          <w:rFonts w:ascii="sans-serif" w:eastAsia="sans-serif" w:hAnsi="sans-serif" w:cs="sans-serif"/>
          <w:b/>
          <w:bCs/>
          <w:color w:val="000000"/>
          <w:sz w:val="28"/>
          <w:szCs w:val="28"/>
        </w:rPr>
        <w:t>CORPORATE</w:t>
      </w:r>
    </w:p>
    <w:tbl>
      <w:tblPr>
        <w:tblW w:w="5000" w:type="pct"/>
        <w:tblCellMar>
          <w:top w:w="15" w:type="dxa"/>
          <w:left w:w="15" w:type="dxa"/>
          <w:bottom w:w="15" w:type="dxa"/>
          <w:right w:w="15" w:type="dxa"/>
        </w:tblCellMar>
        <w:tblLook w:val="04A0" w:firstRow="1" w:lastRow="0" w:firstColumn="1" w:lastColumn="0" w:noHBand="0" w:noVBand="1"/>
      </w:tblPr>
      <w:tblGrid>
        <w:gridCol w:w="38"/>
        <w:gridCol w:w="3113"/>
        <w:gridCol w:w="37"/>
        <w:gridCol w:w="116"/>
        <w:gridCol w:w="704"/>
        <w:gridCol w:w="36"/>
        <w:gridCol w:w="116"/>
        <w:gridCol w:w="704"/>
        <w:gridCol w:w="36"/>
        <w:gridCol w:w="82"/>
        <w:gridCol w:w="554"/>
        <w:gridCol w:w="172"/>
        <w:gridCol w:w="36"/>
        <w:gridCol w:w="36"/>
        <w:gridCol w:w="36"/>
        <w:gridCol w:w="116"/>
        <w:gridCol w:w="704"/>
        <w:gridCol w:w="36"/>
        <w:gridCol w:w="116"/>
        <w:gridCol w:w="704"/>
        <w:gridCol w:w="36"/>
        <w:gridCol w:w="82"/>
        <w:gridCol w:w="554"/>
        <w:gridCol w:w="172"/>
      </w:tblGrid>
      <w:tr w:rsidR="00066C63" w14:paraId="669C7CE6" w14:textId="77777777">
        <w:tc>
          <w:tcPr>
            <w:tcW w:w="50" w:type="pct"/>
            <w:shd w:val="clear" w:color="auto" w:fill="auto"/>
          </w:tcPr>
          <w:p w14:paraId="669C7CCE" w14:textId="77777777" w:rsidR="00066C63" w:rsidRDefault="00066C63">
            <w:pPr>
              <w:rPr>
                <w:rFonts w:ascii="宋体"/>
              </w:rPr>
            </w:pPr>
          </w:p>
        </w:tc>
        <w:tc>
          <w:tcPr>
            <w:tcW w:w="2113" w:type="pct"/>
            <w:shd w:val="clear" w:color="auto" w:fill="auto"/>
          </w:tcPr>
          <w:p w14:paraId="669C7CCF" w14:textId="77777777" w:rsidR="00066C63" w:rsidRDefault="00066C63">
            <w:pPr>
              <w:rPr>
                <w:rFonts w:ascii="宋体"/>
              </w:rPr>
            </w:pPr>
          </w:p>
        </w:tc>
        <w:tc>
          <w:tcPr>
            <w:tcW w:w="5" w:type="pct"/>
            <w:shd w:val="clear" w:color="auto" w:fill="auto"/>
          </w:tcPr>
          <w:p w14:paraId="669C7CD0" w14:textId="77777777" w:rsidR="00066C63" w:rsidRDefault="00066C63">
            <w:pPr>
              <w:rPr>
                <w:rFonts w:ascii="宋体"/>
              </w:rPr>
            </w:pPr>
          </w:p>
        </w:tc>
        <w:tc>
          <w:tcPr>
            <w:tcW w:w="50" w:type="pct"/>
            <w:shd w:val="clear" w:color="auto" w:fill="auto"/>
          </w:tcPr>
          <w:p w14:paraId="669C7CD1" w14:textId="77777777" w:rsidR="00066C63" w:rsidRDefault="00066C63">
            <w:pPr>
              <w:rPr>
                <w:rFonts w:ascii="宋体"/>
              </w:rPr>
            </w:pPr>
          </w:p>
        </w:tc>
        <w:tc>
          <w:tcPr>
            <w:tcW w:w="446" w:type="pct"/>
            <w:shd w:val="clear" w:color="auto" w:fill="auto"/>
          </w:tcPr>
          <w:p w14:paraId="669C7CD2" w14:textId="77777777" w:rsidR="00066C63" w:rsidRDefault="00066C63">
            <w:pPr>
              <w:rPr>
                <w:rFonts w:ascii="宋体"/>
              </w:rPr>
            </w:pPr>
          </w:p>
        </w:tc>
        <w:tc>
          <w:tcPr>
            <w:tcW w:w="5" w:type="pct"/>
            <w:shd w:val="clear" w:color="auto" w:fill="auto"/>
          </w:tcPr>
          <w:p w14:paraId="669C7CD3" w14:textId="77777777" w:rsidR="00066C63" w:rsidRDefault="00066C63">
            <w:pPr>
              <w:rPr>
                <w:rFonts w:ascii="宋体"/>
              </w:rPr>
            </w:pPr>
          </w:p>
        </w:tc>
        <w:tc>
          <w:tcPr>
            <w:tcW w:w="50" w:type="pct"/>
            <w:shd w:val="clear" w:color="auto" w:fill="auto"/>
          </w:tcPr>
          <w:p w14:paraId="669C7CD4" w14:textId="77777777" w:rsidR="00066C63" w:rsidRDefault="00066C63">
            <w:pPr>
              <w:rPr>
                <w:rFonts w:ascii="宋体"/>
              </w:rPr>
            </w:pPr>
          </w:p>
        </w:tc>
        <w:tc>
          <w:tcPr>
            <w:tcW w:w="446" w:type="pct"/>
            <w:shd w:val="clear" w:color="auto" w:fill="auto"/>
          </w:tcPr>
          <w:p w14:paraId="669C7CD5" w14:textId="77777777" w:rsidR="00066C63" w:rsidRDefault="00066C63">
            <w:pPr>
              <w:rPr>
                <w:rFonts w:ascii="宋体"/>
              </w:rPr>
            </w:pPr>
          </w:p>
        </w:tc>
        <w:tc>
          <w:tcPr>
            <w:tcW w:w="5" w:type="pct"/>
            <w:shd w:val="clear" w:color="auto" w:fill="auto"/>
          </w:tcPr>
          <w:p w14:paraId="669C7CD6" w14:textId="77777777" w:rsidR="00066C63" w:rsidRDefault="00066C63">
            <w:pPr>
              <w:rPr>
                <w:rFonts w:ascii="宋体"/>
              </w:rPr>
            </w:pPr>
          </w:p>
        </w:tc>
        <w:tc>
          <w:tcPr>
            <w:tcW w:w="50" w:type="pct"/>
            <w:shd w:val="clear" w:color="auto" w:fill="auto"/>
          </w:tcPr>
          <w:p w14:paraId="669C7CD7" w14:textId="77777777" w:rsidR="00066C63" w:rsidRDefault="00066C63">
            <w:pPr>
              <w:rPr>
                <w:rFonts w:ascii="宋体"/>
              </w:rPr>
            </w:pPr>
          </w:p>
        </w:tc>
        <w:tc>
          <w:tcPr>
            <w:tcW w:w="338" w:type="pct"/>
            <w:shd w:val="clear" w:color="auto" w:fill="auto"/>
          </w:tcPr>
          <w:p w14:paraId="669C7CD8" w14:textId="77777777" w:rsidR="00066C63" w:rsidRDefault="00066C63">
            <w:pPr>
              <w:rPr>
                <w:rFonts w:ascii="宋体"/>
              </w:rPr>
            </w:pPr>
          </w:p>
        </w:tc>
        <w:tc>
          <w:tcPr>
            <w:tcW w:w="5" w:type="pct"/>
            <w:shd w:val="clear" w:color="auto" w:fill="auto"/>
          </w:tcPr>
          <w:p w14:paraId="669C7CD9" w14:textId="77777777" w:rsidR="00066C63" w:rsidRDefault="00066C63">
            <w:pPr>
              <w:rPr>
                <w:rFonts w:ascii="宋体"/>
              </w:rPr>
            </w:pPr>
          </w:p>
        </w:tc>
        <w:tc>
          <w:tcPr>
            <w:tcW w:w="5" w:type="pct"/>
            <w:shd w:val="clear" w:color="auto" w:fill="auto"/>
          </w:tcPr>
          <w:p w14:paraId="669C7CDA" w14:textId="77777777" w:rsidR="00066C63" w:rsidRDefault="00066C63">
            <w:pPr>
              <w:rPr>
                <w:rFonts w:ascii="宋体"/>
              </w:rPr>
            </w:pPr>
          </w:p>
        </w:tc>
        <w:tc>
          <w:tcPr>
            <w:tcW w:w="28" w:type="pct"/>
            <w:shd w:val="clear" w:color="auto" w:fill="auto"/>
          </w:tcPr>
          <w:p w14:paraId="669C7CDB" w14:textId="77777777" w:rsidR="00066C63" w:rsidRDefault="00066C63">
            <w:pPr>
              <w:rPr>
                <w:rFonts w:ascii="宋体"/>
              </w:rPr>
            </w:pPr>
          </w:p>
        </w:tc>
        <w:tc>
          <w:tcPr>
            <w:tcW w:w="5" w:type="pct"/>
            <w:shd w:val="clear" w:color="auto" w:fill="auto"/>
          </w:tcPr>
          <w:p w14:paraId="669C7CDC" w14:textId="77777777" w:rsidR="00066C63" w:rsidRDefault="00066C63">
            <w:pPr>
              <w:rPr>
                <w:rFonts w:ascii="宋体"/>
              </w:rPr>
            </w:pPr>
          </w:p>
        </w:tc>
        <w:tc>
          <w:tcPr>
            <w:tcW w:w="50" w:type="pct"/>
            <w:shd w:val="clear" w:color="auto" w:fill="auto"/>
          </w:tcPr>
          <w:p w14:paraId="669C7CDD" w14:textId="77777777" w:rsidR="00066C63" w:rsidRDefault="00066C63">
            <w:pPr>
              <w:rPr>
                <w:rFonts w:ascii="宋体"/>
              </w:rPr>
            </w:pPr>
          </w:p>
        </w:tc>
        <w:tc>
          <w:tcPr>
            <w:tcW w:w="446" w:type="pct"/>
            <w:shd w:val="clear" w:color="auto" w:fill="auto"/>
          </w:tcPr>
          <w:p w14:paraId="669C7CDE" w14:textId="77777777" w:rsidR="00066C63" w:rsidRDefault="00066C63">
            <w:pPr>
              <w:rPr>
                <w:rFonts w:ascii="宋体"/>
              </w:rPr>
            </w:pPr>
          </w:p>
        </w:tc>
        <w:tc>
          <w:tcPr>
            <w:tcW w:w="5" w:type="pct"/>
            <w:shd w:val="clear" w:color="auto" w:fill="auto"/>
          </w:tcPr>
          <w:p w14:paraId="669C7CDF" w14:textId="77777777" w:rsidR="00066C63" w:rsidRDefault="00066C63">
            <w:pPr>
              <w:rPr>
                <w:rFonts w:ascii="宋体"/>
              </w:rPr>
            </w:pPr>
          </w:p>
        </w:tc>
        <w:tc>
          <w:tcPr>
            <w:tcW w:w="50" w:type="pct"/>
            <w:shd w:val="clear" w:color="auto" w:fill="auto"/>
          </w:tcPr>
          <w:p w14:paraId="669C7CE0" w14:textId="77777777" w:rsidR="00066C63" w:rsidRDefault="00066C63">
            <w:pPr>
              <w:rPr>
                <w:rFonts w:ascii="宋体"/>
              </w:rPr>
            </w:pPr>
          </w:p>
        </w:tc>
        <w:tc>
          <w:tcPr>
            <w:tcW w:w="446" w:type="pct"/>
            <w:shd w:val="clear" w:color="auto" w:fill="auto"/>
          </w:tcPr>
          <w:p w14:paraId="669C7CE1" w14:textId="77777777" w:rsidR="00066C63" w:rsidRDefault="00066C63">
            <w:pPr>
              <w:rPr>
                <w:rFonts w:ascii="宋体"/>
              </w:rPr>
            </w:pPr>
          </w:p>
        </w:tc>
        <w:tc>
          <w:tcPr>
            <w:tcW w:w="5" w:type="pct"/>
            <w:shd w:val="clear" w:color="auto" w:fill="auto"/>
          </w:tcPr>
          <w:p w14:paraId="669C7CE2" w14:textId="77777777" w:rsidR="00066C63" w:rsidRDefault="00066C63">
            <w:pPr>
              <w:rPr>
                <w:rFonts w:ascii="宋体"/>
              </w:rPr>
            </w:pPr>
          </w:p>
        </w:tc>
        <w:tc>
          <w:tcPr>
            <w:tcW w:w="50" w:type="pct"/>
            <w:shd w:val="clear" w:color="auto" w:fill="auto"/>
          </w:tcPr>
          <w:p w14:paraId="669C7CE3" w14:textId="77777777" w:rsidR="00066C63" w:rsidRDefault="00066C63">
            <w:pPr>
              <w:rPr>
                <w:rFonts w:ascii="宋体"/>
              </w:rPr>
            </w:pPr>
          </w:p>
        </w:tc>
        <w:tc>
          <w:tcPr>
            <w:tcW w:w="338" w:type="pct"/>
            <w:shd w:val="clear" w:color="auto" w:fill="auto"/>
          </w:tcPr>
          <w:p w14:paraId="669C7CE4" w14:textId="77777777" w:rsidR="00066C63" w:rsidRDefault="00066C63">
            <w:pPr>
              <w:rPr>
                <w:rFonts w:ascii="宋体"/>
              </w:rPr>
            </w:pPr>
          </w:p>
        </w:tc>
        <w:tc>
          <w:tcPr>
            <w:tcW w:w="5" w:type="pct"/>
            <w:shd w:val="clear" w:color="auto" w:fill="auto"/>
          </w:tcPr>
          <w:p w14:paraId="669C7CE5" w14:textId="77777777" w:rsidR="00066C63" w:rsidRDefault="00066C63">
            <w:pPr>
              <w:rPr>
                <w:rFonts w:ascii="宋体"/>
              </w:rPr>
            </w:pPr>
          </w:p>
        </w:tc>
      </w:tr>
      <w:tr w:rsidR="00066C63" w14:paraId="669C7CEB" w14:textId="77777777">
        <w:tc>
          <w:tcPr>
            <w:tcW w:w="0" w:type="auto"/>
            <w:gridSpan w:val="3"/>
            <w:shd w:val="clear" w:color="auto" w:fill="auto"/>
            <w:tcMar>
              <w:top w:w="0" w:type="dxa"/>
              <w:left w:w="20" w:type="dxa"/>
              <w:bottom w:w="0" w:type="dxa"/>
              <w:right w:w="20" w:type="dxa"/>
            </w:tcMar>
          </w:tcPr>
          <w:p w14:paraId="669C7CE7" w14:textId="77777777" w:rsidR="00066C63" w:rsidRDefault="00066C63">
            <w:pPr>
              <w:rPr>
                <w:rFonts w:ascii="宋体"/>
              </w:rPr>
            </w:pPr>
          </w:p>
        </w:tc>
        <w:tc>
          <w:tcPr>
            <w:tcW w:w="0" w:type="auto"/>
            <w:gridSpan w:val="9"/>
            <w:shd w:val="clear" w:color="auto" w:fill="auto"/>
            <w:tcMar>
              <w:top w:w="40" w:type="dxa"/>
              <w:left w:w="20" w:type="dxa"/>
              <w:bottom w:w="40" w:type="dxa"/>
              <w:right w:w="20" w:type="dxa"/>
            </w:tcMar>
            <w:vAlign w:val="bottom"/>
          </w:tcPr>
          <w:p w14:paraId="669C7CE8" w14:textId="77777777" w:rsidR="00066C63" w:rsidRDefault="009656F6">
            <w:pPr>
              <w:jc w:val="center"/>
              <w:textAlignment w:val="bottom"/>
            </w:pPr>
            <w:r>
              <w:rPr>
                <w:rFonts w:ascii="sans-serif" w:eastAsia="sans-serif" w:hAnsi="sans-serif" w:cs="sans-serif"/>
                <w:b/>
                <w:bCs/>
                <w:color w:val="000000"/>
                <w:sz w:val="17"/>
                <w:szCs w:val="17"/>
              </w:rPr>
              <w:t xml:space="preserve">THREE MONTHS ENDED </w:t>
            </w:r>
          </w:p>
        </w:tc>
        <w:tc>
          <w:tcPr>
            <w:tcW w:w="0" w:type="auto"/>
            <w:gridSpan w:val="3"/>
            <w:shd w:val="clear" w:color="auto" w:fill="auto"/>
            <w:tcMar>
              <w:top w:w="0" w:type="dxa"/>
              <w:left w:w="20" w:type="dxa"/>
              <w:bottom w:w="0" w:type="dxa"/>
              <w:right w:w="20" w:type="dxa"/>
            </w:tcMar>
          </w:tcPr>
          <w:p w14:paraId="669C7CE9" w14:textId="77777777" w:rsidR="00066C63" w:rsidRDefault="00066C63">
            <w:pPr>
              <w:rPr>
                <w:rFonts w:ascii="宋体"/>
              </w:rPr>
            </w:pPr>
          </w:p>
        </w:tc>
        <w:tc>
          <w:tcPr>
            <w:tcW w:w="0" w:type="auto"/>
            <w:gridSpan w:val="9"/>
            <w:shd w:val="clear" w:color="auto" w:fill="auto"/>
            <w:tcMar>
              <w:top w:w="40" w:type="dxa"/>
              <w:left w:w="20" w:type="dxa"/>
              <w:bottom w:w="40" w:type="dxa"/>
              <w:right w:w="20" w:type="dxa"/>
            </w:tcMar>
            <w:vAlign w:val="bottom"/>
          </w:tcPr>
          <w:p w14:paraId="669C7CEA" w14:textId="77777777" w:rsidR="00066C63" w:rsidRDefault="009656F6">
            <w:pPr>
              <w:jc w:val="center"/>
              <w:textAlignment w:val="bottom"/>
            </w:pPr>
            <w:r>
              <w:rPr>
                <w:rFonts w:ascii="sans-serif" w:eastAsia="sans-serif" w:hAnsi="sans-serif" w:cs="sans-serif"/>
                <w:b/>
                <w:bCs/>
                <w:color w:val="000000"/>
                <w:sz w:val="17"/>
                <w:szCs w:val="17"/>
              </w:rPr>
              <w:t xml:space="preserve">NINE MONTHS ENDED </w:t>
            </w:r>
          </w:p>
        </w:tc>
      </w:tr>
      <w:tr w:rsidR="00066C63" w14:paraId="669C7CF4" w14:textId="77777777">
        <w:tc>
          <w:tcPr>
            <w:tcW w:w="0" w:type="auto"/>
            <w:gridSpan w:val="3"/>
            <w:shd w:val="clear" w:color="auto" w:fill="auto"/>
            <w:tcMar>
              <w:top w:w="40" w:type="dxa"/>
              <w:left w:w="20" w:type="dxa"/>
              <w:bottom w:w="40" w:type="dxa"/>
              <w:right w:w="20" w:type="dxa"/>
            </w:tcMar>
            <w:vAlign w:val="bottom"/>
          </w:tcPr>
          <w:p w14:paraId="669C7CEC" w14:textId="77777777" w:rsidR="00066C63" w:rsidRDefault="009656F6">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CED" w14:textId="77777777" w:rsidR="00066C63" w:rsidRDefault="009656F6">
            <w:pPr>
              <w:jc w:val="center"/>
              <w:textAlignment w:val="bottom"/>
            </w:pPr>
            <w:r>
              <w:rPr>
                <w:rFonts w:ascii="sans-serif" w:eastAsia="sans-serif" w:hAnsi="sans-serif" w:cs="sans-serif"/>
                <w:b/>
                <w:bCs/>
                <w:color w:val="000000"/>
                <w:sz w:val="17"/>
                <w:szCs w:val="17"/>
              </w:rPr>
              <w:t>FEBRUARY 28, 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CEE" w14:textId="77777777" w:rsidR="00066C63" w:rsidRDefault="009656F6">
            <w:pPr>
              <w:jc w:val="center"/>
              <w:textAlignment w:val="bottom"/>
            </w:pPr>
            <w:r>
              <w:rPr>
                <w:rFonts w:ascii="sans-serif" w:eastAsia="sans-serif" w:hAnsi="sans-serif" w:cs="sans-serif"/>
                <w:b/>
                <w:bCs/>
                <w:color w:val="000000"/>
                <w:sz w:val="17"/>
                <w:szCs w:val="17"/>
              </w:rPr>
              <w:t>FEBRUARY 29, 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CEF" w14:textId="77777777" w:rsidR="00066C63" w:rsidRDefault="009656F6">
            <w:pPr>
              <w:jc w:val="right"/>
              <w:textAlignment w:val="bottom"/>
            </w:pPr>
            <w:r>
              <w:rPr>
                <w:rFonts w:ascii="sans-serif" w:eastAsia="sans-serif" w:hAnsi="sans-serif" w:cs="sans-serif"/>
                <w:b/>
                <w:bCs/>
                <w:color w:val="000000"/>
                <w:sz w:val="17"/>
                <w:szCs w:val="17"/>
              </w:rPr>
              <w:t>% CHANGE</w:t>
            </w:r>
          </w:p>
        </w:tc>
        <w:tc>
          <w:tcPr>
            <w:tcW w:w="0" w:type="auto"/>
            <w:gridSpan w:val="3"/>
            <w:shd w:val="clear" w:color="auto" w:fill="auto"/>
            <w:tcMar>
              <w:top w:w="0" w:type="dxa"/>
              <w:left w:w="20" w:type="dxa"/>
              <w:bottom w:w="0" w:type="dxa"/>
              <w:right w:w="20" w:type="dxa"/>
            </w:tcMar>
          </w:tcPr>
          <w:p w14:paraId="669C7CF0" w14:textId="77777777" w:rsidR="00066C63" w:rsidRDefault="00066C63">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CF1" w14:textId="77777777" w:rsidR="00066C63" w:rsidRDefault="009656F6">
            <w:pPr>
              <w:jc w:val="center"/>
              <w:textAlignment w:val="bottom"/>
            </w:pPr>
            <w:r>
              <w:rPr>
                <w:rFonts w:ascii="sans-serif" w:eastAsia="sans-serif" w:hAnsi="sans-serif" w:cs="sans-serif"/>
                <w:b/>
                <w:bCs/>
                <w:color w:val="000000"/>
                <w:sz w:val="17"/>
                <w:szCs w:val="17"/>
              </w:rPr>
              <w:t>FEBRUARY 28, 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CF2" w14:textId="77777777" w:rsidR="00066C63" w:rsidRDefault="009656F6">
            <w:pPr>
              <w:jc w:val="center"/>
              <w:textAlignment w:val="bottom"/>
            </w:pPr>
            <w:r>
              <w:rPr>
                <w:rFonts w:ascii="sans-serif" w:eastAsia="sans-serif" w:hAnsi="sans-serif" w:cs="sans-serif"/>
                <w:b/>
                <w:bCs/>
                <w:color w:val="000000"/>
                <w:sz w:val="17"/>
                <w:szCs w:val="17"/>
              </w:rPr>
              <w:t>FEBRUARY 29, 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CF3" w14:textId="77777777" w:rsidR="00066C63" w:rsidRDefault="009656F6">
            <w:pPr>
              <w:jc w:val="right"/>
              <w:textAlignment w:val="bottom"/>
            </w:pPr>
            <w:r>
              <w:rPr>
                <w:rFonts w:ascii="sans-serif" w:eastAsia="sans-serif" w:hAnsi="sans-serif" w:cs="sans-serif"/>
                <w:b/>
                <w:bCs/>
                <w:color w:val="000000"/>
                <w:sz w:val="17"/>
                <w:szCs w:val="17"/>
              </w:rPr>
              <w:t>% CHANGE</w:t>
            </w:r>
          </w:p>
        </w:tc>
      </w:tr>
      <w:tr w:rsidR="00066C63" w14:paraId="669C7D07"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CF5" w14:textId="77777777" w:rsidR="00066C63" w:rsidRDefault="009656F6">
            <w:pPr>
              <w:textAlignment w:val="bottom"/>
            </w:pPr>
            <w:r>
              <w:rPr>
                <w:rFonts w:ascii="Arial" w:eastAsia="宋体" w:hAnsi="Arial" w:cs="Arial"/>
                <w:color w:val="000000"/>
                <w:sz w:val="17"/>
                <w:szCs w:val="17"/>
              </w:rPr>
              <w:t>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669C7CF6"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669C7CF7" w14:textId="77777777" w:rsidR="00066C63" w:rsidRDefault="009656F6">
            <w:pPr>
              <w:jc w:val="right"/>
              <w:textAlignment w:val="bottom"/>
            </w:pPr>
            <w:r>
              <w:rPr>
                <w:rFonts w:ascii="Arial" w:eastAsia="宋体" w:hAnsi="Arial" w:cs="Arial"/>
                <w:color w:val="000000"/>
                <w:sz w:val="17"/>
                <w:szCs w:val="17"/>
              </w:rPr>
              <w:t>14 </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7CF8" w14:textId="77777777" w:rsidR="00066C63" w:rsidRDefault="00066C63">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69C7CF9"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69C7CFA" w14:textId="77777777" w:rsidR="00066C63" w:rsidRDefault="009656F6">
            <w:pPr>
              <w:jc w:val="right"/>
              <w:textAlignment w:val="bottom"/>
            </w:pPr>
            <w:r>
              <w:rPr>
                <w:rFonts w:ascii="Arial" w:eastAsia="宋体" w:hAnsi="Arial" w:cs="Arial"/>
                <w:color w:val="000000"/>
                <w:sz w:val="17"/>
                <w:szCs w:val="17"/>
              </w:rPr>
              <w:t>(18)</w:t>
            </w:r>
          </w:p>
        </w:tc>
        <w:tc>
          <w:tcPr>
            <w:tcW w:w="0" w:type="auto"/>
            <w:tcBorders>
              <w:top w:val="single" w:sz="8" w:space="0" w:color="E87722"/>
            </w:tcBorders>
            <w:shd w:val="clear" w:color="auto" w:fill="auto"/>
            <w:tcMar>
              <w:top w:w="40" w:type="dxa"/>
              <w:left w:w="0" w:type="dxa"/>
              <w:bottom w:w="40" w:type="dxa"/>
              <w:right w:w="20" w:type="dxa"/>
            </w:tcMar>
            <w:vAlign w:val="bottom"/>
          </w:tcPr>
          <w:p w14:paraId="669C7CFB" w14:textId="77777777" w:rsidR="00066C63" w:rsidRDefault="00066C63">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7CFC" w14:textId="77777777" w:rsidR="00066C63" w:rsidRDefault="009656F6">
            <w:pPr>
              <w:jc w:val="right"/>
              <w:textAlignment w:val="bottom"/>
            </w:pP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7CFD" w14:textId="77777777" w:rsidR="00066C63" w:rsidRDefault="00066C63">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669C7CFE" w14:textId="77777777" w:rsidR="00066C63" w:rsidRDefault="00066C63">
            <w:pPr>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669C7CFF"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669C7D00" w14:textId="77777777" w:rsidR="00066C63" w:rsidRDefault="009656F6">
            <w:pPr>
              <w:jc w:val="right"/>
              <w:textAlignment w:val="bottom"/>
            </w:pPr>
            <w:r>
              <w:rPr>
                <w:rFonts w:ascii="Arial" w:eastAsia="宋体" w:hAnsi="Arial" w:cs="Arial"/>
                <w:color w:val="000000"/>
                <w:sz w:val="17"/>
                <w:szCs w:val="17"/>
              </w:rPr>
              <w:t>53 </w:t>
            </w:r>
          </w:p>
        </w:tc>
        <w:tc>
          <w:tcPr>
            <w:tcW w:w="0" w:type="auto"/>
            <w:tcBorders>
              <w:top w:val="single" w:sz="8" w:space="0" w:color="E87722"/>
            </w:tcBorders>
            <w:shd w:val="clear" w:color="auto" w:fill="FFF1E7"/>
            <w:tcMar>
              <w:top w:w="40" w:type="dxa"/>
              <w:left w:w="0" w:type="dxa"/>
              <w:bottom w:w="40" w:type="dxa"/>
              <w:right w:w="20" w:type="dxa"/>
            </w:tcMar>
            <w:vAlign w:val="bottom"/>
          </w:tcPr>
          <w:p w14:paraId="669C7D01" w14:textId="77777777" w:rsidR="00066C63" w:rsidRDefault="00066C63">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69C7D02"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69C7D03" w14:textId="77777777" w:rsidR="00066C63" w:rsidRDefault="009656F6">
            <w:pPr>
              <w:jc w:val="right"/>
              <w:textAlignment w:val="bottom"/>
            </w:pPr>
            <w:r>
              <w:rPr>
                <w:rFonts w:ascii="Arial" w:eastAsia="宋体" w:hAnsi="Arial" w:cs="Arial"/>
                <w:color w:val="000000"/>
                <w:sz w:val="17"/>
                <w:szCs w:val="17"/>
              </w:rPr>
              <w:t>(7)</w:t>
            </w:r>
          </w:p>
        </w:tc>
        <w:tc>
          <w:tcPr>
            <w:tcW w:w="0" w:type="auto"/>
            <w:tcBorders>
              <w:top w:val="single" w:sz="8" w:space="0" w:color="E87722"/>
            </w:tcBorders>
            <w:shd w:val="clear" w:color="auto" w:fill="auto"/>
            <w:tcMar>
              <w:top w:w="40" w:type="dxa"/>
              <w:left w:w="0" w:type="dxa"/>
              <w:bottom w:w="40" w:type="dxa"/>
              <w:right w:w="20" w:type="dxa"/>
            </w:tcMar>
            <w:vAlign w:val="bottom"/>
          </w:tcPr>
          <w:p w14:paraId="669C7D04" w14:textId="77777777" w:rsidR="00066C63" w:rsidRDefault="00066C63">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69C7D05" w14:textId="77777777" w:rsidR="00066C63" w:rsidRDefault="009656F6">
            <w:pPr>
              <w:jc w:val="right"/>
              <w:textAlignment w:val="bottom"/>
            </w:pP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69C7D06" w14:textId="77777777" w:rsidR="00066C63" w:rsidRDefault="00066C63">
            <w:pPr>
              <w:jc w:val="right"/>
              <w:rPr>
                <w:rFonts w:ascii="宋体"/>
              </w:rPr>
            </w:pPr>
          </w:p>
        </w:tc>
      </w:tr>
      <w:tr w:rsidR="00066C63" w14:paraId="669C7D1A" w14:textId="77777777">
        <w:tc>
          <w:tcPr>
            <w:tcW w:w="0" w:type="auto"/>
            <w:gridSpan w:val="3"/>
            <w:tcBorders>
              <w:top w:val="single" w:sz="8" w:space="0" w:color="808080"/>
              <w:bottom w:val="single" w:sz="8" w:space="0" w:color="E87722"/>
            </w:tcBorders>
            <w:shd w:val="clear" w:color="auto" w:fill="auto"/>
            <w:tcMar>
              <w:top w:w="40" w:type="dxa"/>
              <w:left w:w="20" w:type="dxa"/>
              <w:bottom w:w="40" w:type="dxa"/>
              <w:right w:w="20" w:type="dxa"/>
            </w:tcMar>
            <w:vAlign w:val="bottom"/>
          </w:tcPr>
          <w:p w14:paraId="669C7D08" w14:textId="77777777" w:rsidR="00066C63" w:rsidRDefault="009656F6">
            <w:pPr>
              <w:textAlignment w:val="bottom"/>
            </w:pPr>
            <w:r>
              <w:rPr>
                <w:rFonts w:ascii="Arial" w:eastAsia="宋体" w:hAnsi="Arial" w:cs="Arial"/>
                <w:color w:val="000000"/>
                <w:sz w:val="17"/>
                <w:szCs w:val="17"/>
              </w:rPr>
              <w:t>Earnings (Loss) Before Interest and Taxes</w:t>
            </w:r>
          </w:p>
        </w:tc>
        <w:tc>
          <w:tcPr>
            <w:tcW w:w="0" w:type="auto"/>
            <w:tcBorders>
              <w:top w:val="single" w:sz="8" w:space="0" w:color="808080"/>
              <w:bottom w:val="single" w:sz="8" w:space="0" w:color="E87722"/>
            </w:tcBorders>
            <w:shd w:val="clear" w:color="auto" w:fill="FFF1E7"/>
            <w:tcMar>
              <w:top w:w="40" w:type="dxa"/>
              <w:left w:w="20" w:type="dxa"/>
              <w:bottom w:w="40" w:type="dxa"/>
              <w:right w:w="0" w:type="dxa"/>
            </w:tcMar>
            <w:vAlign w:val="bottom"/>
          </w:tcPr>
          <w:p w14:paraId="669C7D09"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bottom w:val="single" w:sz="8" w:space="0" w:color="E87722"/>
            </w:tcBorders>
            <w:shd w:val="clear" w:color="auto" w:fill="FFF1E7"/>
            <w:tcMar>
              <w:top w:w="40" w:type="dxa"/>
              <w:left w:w="0" w:type="dxa"/>
              <w:bottom w:w="40" w:type="dxa"/>
              <w:right w:w="0" w:type="dxa"/>
            </w:tcMar>
            <w:vAlign w:val="bottom"/>
          </w:tcPr>
          <w:p w14:paraId="669C7D0A" w14:textId="77777777" w:rsidR="00066C63" w:rsidRDefault="009656F6">
            <w:pPr>
              <w:jc w:val="right"/>
              <w:textAlignment w:val="bottom"/>
            </w:pPr>
            <w:r>
              <w:rPr>
                <w:rFonts w:ascii="Arial" w:eastAsia="宋体" w:hAnsi="Arial" w:cs="Arial"/>
                <w:color w:val="000000"/>
                <w:sz w:val="17"/>
                <w:szCs w:val="17"/>
              </w:rPr>
              <w:t>(482)</w:t>
            </w:r>
          </w:p>
        </w:tc>
        <w:tc>
          <w:tcPr>
            <w:tcW w:w="0" w:type="auto"/>
            <w:tcBorders>
              <w:top w:val="single" w:sz="8" w:space="0" w:color="808080"/>
              <w:bottom w:val="single" w:sz="8" w:space="0" w:color="E87722"/>
            </w:tcBorders>
            <w:shd w:val="clear" w:color="auto" w:fill="FFF1E7"/>
            <w:tcMar>
              <w:top w:w="40" w:type="dxa"/>
              <w:left w:w="0" w:type="dxa"/>
              <w:bottom w:w="40" w:type="dxa"/>
              <w:right w:w="20" w:type="dxa"/>
            </w:tcMar>
            <w:vAlign w:val="bottom"/>
          </w:tcPr>
          <w:p w14:paraId="669C7D0B" w14:textId="77777777" w:rsidR="00066C63" w:rsidRDefault="00066C63">
            <w:pPr>
              <w:jc w:val="right"/>
              <w:rPr>
                <w:rFonts w:ascii="宋体"/>
              </w:rPr>
            </w:pPr>
          </w:p>
        </w:tc>
        <w:tc>
          <w:tcPr>
            <w:tcW w:w="0" w:type="auto"/>
            <w:tcBorders>
              <w:top w:val="single" w:sz="8" w:space="0" w:color="808080"/>
              <w:bottom w:val="single" w:sz="8" w:space="0" w:color="E87722"/>
            </w:tcBorders>
            <w:shd w:val="clear" w:color="auto" w:fill="auto"/>
            <w:tcMar>
              <w:top w:w="40" w:type="dxa"/>
              <w:left w:w="20" w:type="dxa"/>
              <w:bottom w:w="40" w:type="dxa"/>
              <w:right w:w="0" w:type="dxa"/>
            </w:tcMar>
            <w:vAlign w:val="bottom"/>
          </w:tcPr>
          <w:p w14:paraId="669C7D0C"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bottom w:val="single" w:sz="8" w:space="0" w:color="E87722"/>
            </w:tcBorders>
            <w:shd w:val="clear" w:color="auto" w:fill="auto"/>
            <w:tcMar>
              <w:top w:w="40" w:type="dxa"/>
              <w:left w:w="0" w:type="dxa"/>
              <w:bottom w:w="40" w:type="dxa"/>
              <w:right w:w="0" w:type="dxa"/>
            </w:tcMar>
            <w:vAlign w:val="bottom"/>
          </w:tcPr>
          <w:p w14:paraId="669C7D0D" w14:textId="77777777" w:rsidR="00066C63" w:rsidRDefault="009656F6">
            <w:pPr>
              <w:jc w:val="right"/>
              <w:textAlignment w:val="bottom"/>
            </w:pPr>
            <w:r>
              <w:rPr>
                <w:rFonts w:ascii="Arial" w:eastAsia="宋体" w:hAnsi="Arial" w:cs="Arial"/>
                <w:color w:val="000000"/>
                <w:sz w:val="17"/>
                <w:szCs w:val="17"/>
              </w:rPr>
              <w:t>(763)</w:t>
            </w:r>
          </w:p>
        </w:tc>
        <w:tc>
          <w:tcPr>
            <w:tcW w:w="0" w:type="auto"/>
            <w:tcBorders>
              <w:top w:val="single" w:sz="8" w:space="0" w:color="808080"/>
              <w:bottom w:val="single" w:sz="8" w:space="0" w:color="E87722"/>
            </w:tcBorders>
            <w:shd w:val="clear" w:color="auto" w:fill="auto"/>
            <w:tcMar>
              <w:top w:w="40" w:type="dxa"/>
              <w:left w:w="0" w:type="dxa"/>
              <w:bottom w:w="40" w:type="dxa"/>
              <w:right w:w="20" w:type="dxa"/>
            </w:tcMar>
            <w:vAlign w:val="bottom"/>
          </w:tcPr>
          <w:p w14:paraId="669C7D0E" w14:textId="77777777" w:rsidR="00066C63" w:rsidRDefault="00066C63">
            <w:pPr>
              <w:jc w:val="right"/>
              <w:rPr>
                <w:rFonts w:ascii="宋体"/>
              </w:rPr>
            </w:pPr>
          </w:p>
        </w:tc>
        <w:tc>
          <w:tcPr>
            <w:tcW w:w="0" w:type="auto"/>
            <w:gridSpan w:val="2"/>
            <w:tcBorders>
              <w:top w:val="single" w:sz="8" w:space="0" w:color="808080"/>
              <w:bottom w:val="single" w:sz="8" w:space="0" w:color="E87722"/>
            </w:tcBorders>
            <w:shd w:val="clear" w:color="auto" w:fill="auto"/>
            <w:tcMar>
              <w:top w:w="40" w:type="dxa"/>
              <w:left w:w="20" w:type="dxa"/>
              <w:bottom w:w="40" w:type="dxa"/>
              <w:right w:w="0" w:type="dxa"/>
            </w:tcMar>
            <w:vAlign w:val="bottom"/>
          </w:tcPr>
          <w:p w14:paraId="669C7D0F" w14:textId="77777777" w:rsidR="00066C63" w:rsidRDefault="009656F6">
            <w:pPr>
              <w:jc w:val="right"/>
              <w:textAlignment w:val="bottom"/>
            </w:pPr>
            <w:r>
              <w:rPr>
                <w:rFonts w:ascii="Arial" w:eastAsia="宋体" w:hAnsi="Arial" w:cs="Arial"/>
                <w:color w:val="000000"/>
                <w:sz w:val="17"/>
                <w:szCs w:val="17"/>
              </w:rPr>
              <w:t>37 </w:t>
            </w:r>
          </w:p>
        </w:tc>
        <w:tc>
          <w:tcPr>
            <w:tcW w:w="0" w:type="auto"/>
            <w:tcBorders>
              <w:top w:val="single" w:sz="8" w:space="0" w:color="808080"/>
              <w:bottom w:val="single" w:sz="8" w:space="0" w:color="E87722"/>
            </w:tcBorders>
            <w:shd w:val="clear" w:color="auto" w:fill="auto"/>
            <w:tcMar>
              <w:top w:w="40" w:type="dxa"/>
              <w:left w:w="0" w:type="dxa"/>
              <w:bottom w:w="40" w:type="dxa"/>
              <w:right w:w="20" w:type="dxa"/>
            </w:tcMar>
            <w:vAlign w:val="bottom"/>
          </w:tcPr>
          <w:p w14:paraId="669C7D10" w14:textId="77777777" w:rsidR="00066C63" w:rsidRDefault="009656F6">
            <w:pPr>
              <w:jc w:val="right"/>
              <w:textAlignment w:val="bottom"/>
            </w:pPr>
            <w:r>
              <w:rPr>
                <w:rFonts w:ascii="Arial" w:eastAsia="宋体" w:hAnsi="Arial" w:cs="Arial"/>
                <w:color w:val="000000"/>
                <w:sz w:val="17"/>
                <w:szCs w:val="17"/>
              </w:rPr>
              <w:t>%</w:t>
            </w:r>
          </w:p>
        </w:tc>
        <w:tc>
          <w:tcPr>
            <w:tcW w:w="0" w:type="auto"/>
            <w:gridSpan w:val="3"/>
            <w:tcBorders>
              <w:top w:val="single" w:sz="8" w:space="0" w:color="808080"/>
              <w:bottom w:val="single" w:sz="8" w:space="0" w:color="E87722"/>
            </w:tcBorders>
            <w:shd w:val="clear" w:color="auto" w:fill="auto"/>
            <w:tcMar>
              <w:top w:w="0" w:type="dxa"/>
              <w:left w:w="20" w:type="dxa"/>
              <w:bottom w:w="0" w:type="dxa"/>
              <w:right w:w="20" w:type="dxa"/>
            </w:tcMar>
          </w:tcPr>
          <w:p w14:paraId="669C7D11" w14:textId="77777777" w:rsidR="00066C63" w:rsidRDefault="00066C63">
            <w:pPr>
              <w:rPr>
                <w:rFonts w:ascii="宋体"/>
              </w:rPr>
            </w:pPr>
          </w:p>
        </w:tc>
        <w:tc>
          <w:tcPr>
            <w:tcW w:w="0" w:type="auto"/>
            <w:tcBorders>
              <w:top w:val="single" w:sz="8" w:space="0" w:color="808080"/>
              <w:bottom w:val="single" w:sz="8" w:space="0" w:color="E87722"/>
            </w:tcBorders>
            <w:shd w:val="clear" w:color="auto" w:fill="FFF1E7"/>
            <w:tcMar>
              <w:top w:w="40" w:type="dxa"/>
              <w:left w:w="20" w:type="dxa"/>
              <w:bottom w:w="40" w:type="dxa"/>
              <w:right w:w="0" w:type="dxa"/>
            </w:tcMar>
            <w:vAlign w:val="bottom"/>
          </w:tcPr>
          <w:p w14:paraId="669C7D12"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bottom w:val="single" w:sz="8" w:space="0" w:color="E87722"/>
            </w:tcBorders>
            <w:shd w:val="clear" w:color="auto" w:fill="FFF1E7"/>
            <w:tcMar>
              <w:top w:w="40" w:type="dxa"/>
              <w:left w:w="0" w:type="dxa"/>
              <w:bottom w:w="40" w:type="dxa"/>
              <w:right w:w="0" w:type="dxa"/>
            </w:tcMar>
            <w:vAlign w:val="bottom"/>
          </w:tcPr>
          <w:p w14:paraId="669C7D13" w14:textId="77777777" w:rsidR="00066C63" w:rsidRDefault="009656F6">
            <w:pPr>
              <w:jc w:val="right"/>
              <w:textAlignment w:val="bottom"/>
            </w:pPr>
            <w:r>
              <w:rPr>
                <w:rFonts w:ascii="Arial" w:eastAsia="宋体" w:hAnsi="Arial" w:cs="Arial"/>
                <w:color w:val="000000"/>
                <w:sz w:val="17"/>
                <w:szCs w:val="17"/>
              </w:rPr>
              <w:t>(1,697)</w:t>
            </w:r>
          </w:p>
        </w:tc>
        <w:tc>
          <w:tcPr>
            <w:tcW w:w="0" w:type="auto"/>
            <w:tcBorders>
              <w:top w:val="single" w:sz="8" w:space="0" w:color="808080"/>
              <w:bottom w:val="single" w:sz="8" w:space="0" w:color="E87722"/>
            </w:tcBorders>
            <w:shd w:val="clear" w:color="auto" w:fill="FFF1E7"/>
            <w:tcMar>
              <w:top w:w="40" w:type="dxa"/>
              <w:left w:w="0" w:type="dxa"/>
              <w:bottom w:w="40" w:type="dxa"/>
              <w:right w:w="20" w:type="dxa"/>
            </w:tcMar>
            <w:vAlign w:val="bottom"/>
          </w:tcPr>
          <w:p w14:paraId="669C7D14" w14:textId="77777777" w:rsidR="00066C63" w:rsidRDefault="00066C63">
            <w:pPr>
              <w:jc w:val="right"/>
              <w:rPr>
                <w:rFonts w:ascii="宋体"/>
              </w:rPr>
            </w:pPr>
          </w:p>
        </w:tc>
        <w:tc>
          <w:tcPr>
            <w:tcW w:w="0" w:type="auto"/>
            <w:tcBorders>
              <w:top w:val="single" w:sz="8" w:space="0" w:color="808080"/>
              <w:bottom w:val="single" w:sz="8" w:space="0" w:color="E87722"/>
            </w:tcBorders>
            <w:shd w:val="clear" w:color="auto" w:fill="auto"/>
            <w:tcMar>
              <w:top w:w="40" w:type="dxa"/>
              <w:left w:w="20" w:type="dxa"/>
              <w:bottom w:w="40" w:type="dxa"/>
              <w:right w:w="0" w:type="dxa"/>
            </w:tcMar>
            <w:vAlign w:val="bottom"/>
          </w:tcPr>
          <w:p w14:paraId="669C7D15" w14:textId="77777777" w:rsidR="00066C63" w:rsidRDefault="009656F6">
            <w:pPr>
              <w:textAlignment w:val="bottom"/>
            </w:pPr>
            <w:r>
              <w:rPr>
                <w:rFonts w:ascii="Arial" w:eastAsia="宋体" w:hAnsi="Arial" w:cs="Arial"/>
                <w:color w:val="000000"/>
                <w:sz w:val="17"/>
                <w:szCs w:val="17"/>
              </w:rPr>
              <w:t>$</w:t>
            </w:r>
          </w:p>
        </w:tc>
        <w:tc>
          <w:tcPr>
            <w:tcW w:w="0" w:type="auto"/>
            <w:tcBorders>
              <w:top w:val="single" w:sz="8" w:space="0" w:color="808080"/>
              <w:bottom w:val="single" w:sz="8" w:space="0" w:color="E87722"/>
            </w:tcBorders>
            <w:shd w:val="clear" w:color="auto" w:fill="auto"/>
            <w:tcMar>
              <w:top w:w="40" w:type="dxa"/>
              <w:left w:w="0" w:type="dxa"/>
              <w:bottom w:w="40" w:type="dxa"/>
              <w:right w:w="0" w:type="dxa"/>
            </w:tcMar>
            <w:vAlign w:val="bottom"/>
          </w:tcPr>
          <w:p w14:paraId="669C7D16" w14:textId="77777777" w:rsidR="00066C63" w:rsidRDefault="009656F6">
            <w:pPr>
              <w:jc w:val="right"/>
              <w:textAlignment w:val="bottom"/>
            </w:pPr>
            <w:r>
              <w:rPr>
                <w:rFonts w:ascii="Arial" w:eastAsia="宋体" w:hAnsi="Arial" w:cs="Arial"/>
                <w:color w:val="000000"/>
                <w:sz w:val="17"/>
                <w:szCs w:val="17"/>
              </w:rPr>
              <w:t>(1,600)</w:t>
            </w:r>
          </w:p>
        </w:tc>
        <w:tc>
          <w:tcPr>
            <w:tcW w:w="0" w:type="auto"/>
            <w:tcBorders>
              <w:top w:val="single" w:sz="8" w:space="0" w:color="808080"/>
              <w:bottom w:val="single" w:sz="8" w:space="0" w:color="E87722"/>
            </w:tcBorders>
            <w:shd w:val="clear" w:color="auto" w:fill="auto"/>
            <w:tcMar>
              <w:top w:w="40" w:type="dxa"/>
              <w:left w:w="0" w:type="dxa"/>
              <w:bottom w:w="40" w:type="dxa"/>
              <w:right w:w="20" w:type="dxa"/>
            </w:tcMar>
            <w:vAlign w:val="bottom"/>
          </w:tcPr>
          <w:p w14:paraId="669C7D17" w14:textId="77777777" w:rsidR="00066C63" w:rsidRDefault="00066C63">
            <w:pPr>
              <w:jc w:val="right"/>
              <w:rPr>
                <w:rFonts w:ascii="宋体"/>
              </w:rPr>
            </w:pPr>
          </w:p>
        </w:tc>
        <w:tc>
          <w:tcPr>
            <w:tcW w:w="0" w:type="auto"/>
            <w:gridSpan w:val="2"/>
            <w:tcBorders>
              <w:top w:val="single" w:sz="8" w:space="0" w:color="808080"/>
              <w:bottom w:val="single" w:sz="8" w:space="0" w:color="E87722"/>
            </w:tcBorders>
            <w:shd w:val="clear" w:color="auto" w:fill="auto"/>
            <w:tcMar>
              <w:top w:w="40" w:type="dxa"/>
              <w:left w:w="20" w:type="dxa"/>
              <w:bottom w:w="40" w:type="dxa"/>
              <w:right w:w="0" w:type="dxa"/>
            </w:tcMar>
            <w:vAlign w:val="bottom"/>
          </w:tcPr>
          <w:p w14:paraId="669C7D18" w14:textId="77777777" w:rsidR="00066C63" w:rsidRDefault="009656F6">
            <w:pPr>
              <w:jc w:val="right"/>
              <w:textAlignment w:val="bottom"/>
            </w:pPr>
            <w:r>
              <w:rPr>
                <w:rFonts w:ascii="Arial" w:eastAsia="宋体" w:hAnsi="Arial" w:cs="Arial"/>
                <w:color w:val="000000"/>
                <w:sz w:val="17"/>
                <w:szCs w:val="17"/>
              </w:rPr>
              <w:t>-6 </w:t>
            </w:r>
          </w:p>
        </w:tc>
        <w:tc>
          <w:tcPr>
            <w:tcW w:w="0" w:type="auto"/>
            <w:tcBorders>
              <w:top w:val="single" w:sz="8" w:space="0" w:color="808080"/>
              <w:bottom w:val="single" w:sz="8" w:space="0" w:color="E87722"/>
            </w:tcBorders>
            <w:shd w:val="clear" w:color="auto" w:fill="auto"/>
            <w:tcMar>
              <w:top w:w="40" w:type="dxa"/>
              <w:left w:w="0" w:type="dxa"/>
              <w:bottom w:w="40" w:type="dxa"/>
              <w:right w:w="20" w:type="dxa"/>
            </w:tcMar>
            <w:vAlign w:val="bottom"/>
          </w:tcPr>
          <w:p w14:paraId="669C7D19" w14:textId="77777777" w:rsidR="00066C63" w:rsidRDefault="009656F6">
            <w:pPr>
              <w:jc w:val="right"/>
              <w:textAlignment w:val="bottom"/>
            </w:pPr>
            <w:r>
              <w:rPr>
                <w:rFonts w:ascii="Arial" w:eastAsia="宋体" w:hAnsi="Arial" w:cs="Arial"/>
                <w:color w:val="000000"/>
                <w:sz w:val="17"/>
                <w:szCs w:val="17"/>
              </w:rPr>
              <w:t>%</w:t>
            </w:r>
          </w:p>
        </w:tc>
      </w:tr>
    </w:tbl>
    <w:p w14:paraId="669C7D1B" w14:textId="77777777" w:rsidR="00066C63" w:rsidRDefault="009656F6">
      <w:pPr>
        <w:spacing w:before="120" w:after="120"/>
      </w:pPr>
      <w:r>
        <w:rPr>
          <w:rFonts w:ascii="Arial" w:eastAsia="宋体" w:hAnsi="Arial" w:cs="Arial"/>
          <w:color w:val="000000"/>
          <w:sz w:val="17"/>
          <w:szCs w:val="17"/>
        </w:rPr>
        <w:t>Corporate revenues primarily consist of foreign currency hedge gains and losses related to revenue</w:t>
      </w:r>
      <w:r>
        <w:rPr>
          <w:rFonts w:ascii="Arial" w:eastAsia="宋体" w:hAnsi="Arial" w:cs="Arial"/>
          <w:color w:val="000000"/>
          <w:sz w:val="17"/>
          <w:szCs w:val="17"/>
        </w:rPr>
        <w:t>s generated by entities within the NIKE Brand geographic operating segments and Converse, but managed through our central foreign exchange risk management program.</w:t>
      </w:r>
    </w:p>
    <w:p w14:paraId="669C7D1C" w14:textId="77777777" w:rsidR="00066C63" w:rsidRDefault="009656F6">
      <w:pPr>
        <w:spacing w:before="120" w:after="120"/>
      </w:pPr>
      <w:r>
        <w:rPr>
          <w:rFonts w:ascii="Arial" w:eastAsia="宋体" w:hAnsi="Arial" w:cs="Arial"/>
          <w:color w:val="000000"/>
          <w:sz w:val="17"/>
          <w:szCs w:val="17"/>
        </w:rPr>
        <w:t>The Corporate loss before interest and taxes primarily consists of unallocated general and a</w:t>
      </w:r>
      <w:r>
        <w:rPr>
          <w:rFonts w:ascii="Arial" w:eastAsia="宋体" w:hAnsi="Arial" w:cs="Arial"/>
          <w:color w:val="000000"/>
          <w:sz w:val="17"/>
          <w:szCs w:val="17"/>
        </w:rPr>
        <w:t>dministrative expenses, including expenses associated with centrally managed departments; depreciation and amortization related to our corporate headquarters; unallocated insurance, benefit and compensation programs, including stock-based compensation; and</w:t>
      </w:r>
      <w:r>
        <w:rPr>
          <w:rFonts w:ascii="Arial" w:eastAsia="宋体" w:hAnsi="Arial" w:cs="Arial"/>
          <w:color w:val="000000"/>
          <w:sz w:val="17"/>
          <w:szCs w:val="17"/>
        </w:rPr>
        <w:t xml:space="preserve"> certain foreign currency gains and losses. </w:t>
      </w:r>
    </w:p>
    <w:p w14:paraId="669C7D1D" w14:textId="77777777" w:rsidR="00066C63" w:rsidRDefault="009656F6">
      <w:pPr>
        <w:spacing w:before="120" w:after="120"/>
      </w:pPr>
      <w:r>
        <w:rPr>
          <w:rFonts w:ascii="Arial" w:eastAsia="宋体" w:hAnsi="Arial" w:cs="Arial"/>
          <w:color w:val="000000"/>
          <w:sz w:val="17"/>
          <w:szCs w:val="17"/>
        </w:rPr>
        <w:t>In addition to the foreign currency gains and losses recognized in Corporate revenues, foreign currency results in Corporate include gains and losses resulting from the difference between actual foreign currency</w:t>
      </w:r>
      <w:r>
        <w:rPr>
          <w:rFonts w:ascii="Arial" w:eastAsia="宋体" w:hAnsi="Arial" w:cs="Arial"/>
          <w:color w:val="000000"/>
          <w:sz w:val="17"/>
          <w:szCs w:val="17"/>
        </w:rPr>
        <w:t xml:space="preserve"> exchange rates and standard rates used to record non-functional currency denominated product purchases within the NIKE Brand geographic operating segments and Converse; related foreign currency hedge results; conversion gains and losses arising from re-me</w:t>
      </w:r>
      <w:r>
        <w:rPr>
          <w:rFonts w:ascii="Arial" w:eastAsia="宋体" w:hAnsi="Arial" w:cs="Arial"/>
          <w:color w:val="000000"/>
          <w:sz w:val="17"/>
          <w:szCs w:val="17"/>
        </w:rPr>
        <w:t>asurement of monetary assets and liabilities in non-functional currencies; and certain other foreign currency derivative instruments.</w:t>
      </w:r>
    </w:p>
    <w:p w14:paraId="669C7D1E" w14:textId="77777777" w:rsidR="00066C63" w:rsidRDefault="009656F6">
      <w:pPr>
        <w:spacing w:before="120"/>
      </w:pPr>
      <w:r>
        <w:rPr>
          <w:rFonts w:ascii="sans-serif" w:eastAsia="sans-serif" w:hAnsi="sans-serif" w:cs="sans-serif"/>
          <w:b/>
          <w:bCs/>
          <w:color w:val="808080"/>
          <w:sz w:val="22"/>
          <w:szCs w:val="22"/>
        </w:rPr>
        <w:t>THIRD QUARTER OF FISCAL 2021 COMPARED TO THIRD QUARTER OF FISCAL 2020</w:t>
      </w:r>
    </w:p>
    <w:p w14:paraId="669C7D1F" w14:textId="77777777" w:rsidR="00066C63" w:rsidRDefault="009656F6">
      <w:pPr>
        <w:spacing w:after="120"/>
      </w:pPr>
      <w:r>
        <w:rPr>
          <w:rFonts w:ascii="Arial" w:eastAsia="宋体" w:hAnsi="Arial" w:cs="Arial"/>
          <w:color w:val="000000"/>
          <w:sz w:val="17"/>
          <w:szCs w:val="17"/>
        </w:rPr>
        <w:t>Corporate's loss before interest and taxes decreased</w:t>
      </w:r>
      <w:r>
        <w:rPr>
          <w:rFonts w:ascii="Arial" w:eastAsia="宋体" w:hAnsi="Arial" w:cs="Arial"/>
          <w:color w:val="000000"/>
          <w:sz w:val="17"/>
          <w:szCs w:val="17"/>
        </w:rPr>
        <w:t xml:space="preserve"> $281 million for the third quarter of fiscal 2021, primarily due to the following:</w:t>
      </w:r>
    </w:p>
    <w:p w14:paraId="669C7D20" w14:textId="77777777" w:rsidR="00066C63" w:rsidRDefault="009656F6">
      <w:pPr>
        <w:spacing w:before="60" w:after="60"/>
        <w:ind w:hanging="180"/>
      </w:pPr>
      <w:r>
        <w:rPr>
          <w:rFonts w:ascii="Arial" w:eastAsia="宋体" w:hAnsi="Arial" w:cs="Arial"/>
          <w:color w:val="E87722"/>
          <w:sz w:val="17"/>
          <w:szCs w:val="17"/>
        </w:rPr>
        <w:t>•</w:t>
      </w:r>
      <w:r>
        <w:rPr>
          <w:rFonts w:ascii="Arial" w:eastAsia="宋体" w:hAnsi="Arial" w:cs="Arial"/>
          <w:color w:val="000000"/>
          <w:sz w:val="17"/>
          <w:szCs w:val="17"/>
        </w:rPr>
        <w:t xml:space="preserve">a favorable change of $373 million in part due the $400 million charge in the prior year related to our planned, strategic distributor partnership transition within APLA; </w:t>
      </w:r>
    </w:p>
    <w:p w14:paraId="669C7D21" w14:textId="77777777" w:rsidR="00066C63" w:rsidRDefault="009656F6">
      <w:pPr>
        <w:spacing w:before="60" w:after="60"/>
        <w:ind w:hanging="180"/>
      </w:pPr>
      <w:r>
        <w:rPr>
          <w:rFonts w:ascii="Arial" w:eastAsia="宋体" w:hAnsi="Arial" w:cs="Arial"/>
          <w:color w:val="E87722"/>
          <w:sz w:val="17"/>
          <w:szCs w:val="17"/>
        </w:rPr>
        <w:t>•</w:t>
      </w:r>
      <w:r>
        <w:rPr>
          <w:rFonts w:ascii="Arial" w:eastAsia="宋体" w:hAnsi="Arial" w:cs="Arial"/>
          <w:color w:val="000000"/>
          <w:sz w:val="17"/>
          <w:szCs w:val="17"/>
        </w:rPr>
        <w:t>an unfavorable change in net foreign currency gains and losses of $102 million rela</w:t>
      </w:r>
      <w:r>
        <w:rPr>
          <w:rFonts w:ascii="Arial" w:eastAsia="宋体" w:hAnsi="Arial" w:cs="Arial"/>
          <w:color w:val="000000"/>
          <w:sz w:val="17"/>
          <w:szCs w:val="17"/>
        </w:rPr>
        <w:t>ted to the re-measurement of monetary assets and liabilities denominated in non-functional currencies and the impact of certain foreign currency derivative instruments, reported as a component of consolidated Other (income) expense, net; and</w:t>
      </w:r>
    </w:p>
    <w:p w14:paraId="669C7D22" w14:textId="77777777" w:rsidR="00066C63" w:rsidRDefault="009656F6">
      <w:pPr>
        <w:spacing w:before="60" w:after="60"/>
        <w:ind w:hanging="180"/>
      </w:pPr>
      <w:r>
        <w:rPr>
          <w:rFonts w:ascii="Arial" w:eastAsia="宋体" w:hAnsi="Arial" w:cs="Arial"/>
          <w:color w:val="E87722"/>
          <w:sz w:val="17"/>
          <w:szCs w:val="17"/>
        </w:rPr>
        <w:t>•</w:t>
      </w:r>
      <w:r>
        <w:rPr>
          <w:rFonts w:ascii="Arial" w:eastAsia="宋体" w:hAnsi="Arial" w:cs="Arial"/>
          <w:color w:val="000000"/>
          <w:sz w:val="17"/>
          <w:szCs w:val="17"/>
        </w:rPr>
        <w:t>a favorable c</w:t>
      </w:r>
      <w:r>
        <w:rPr>
          <w:rFonts w:ascii="Arial" w:eastAsia="宋体" w:hAnsi="Arial" w:cs="Arial"/>
          <w:color w:val="000000"/>
          <w:sz w:val="17"/>
          <w:szCs w:val="17"/>
        </w:rPr>
        <w:t>hange of $10 million related to the difference between actual foreign currency exchange rates and standard foreign currency exchange rates assigned to the NIKE Brand geographic operating segments and Converse, net of hedge gains and losses; these results a</w:t>
      </w:r>
      <w:r>
        <w:rPr>
          <w:rFonts w:ascii="Arial" w:eastAsia="宋体" w:hAnsi="Arial" w:cs="Arial"/>
          <w:color w:val="000000"/>
          <w:sz w:val="17"/>
          <w:szCs w:val="17"/>
        </w:rPr>
        <w:t>re reported as a component of consolidated gross margin.</w:t>
      </w:r>
    </w:p>
    <w:p w14:paraId="669C7D23" w14:textId="77777777" w:rsidR="00066C63" w:rsidRDefault="009656F6">
      <w:pPr>
        <w:spacing w:before="120"/>
      </w:pPr>
      <w:r>
        <w:rPr>
          <w:rFonts w:ascii="sans-serif" w:eastAsia="sans-serif" w:hAnsi="sans-serif" w:cs="sans-serif"/>
          <w:b/>
          <w:bCs/>
          <w:color w:val="808080"/>
          <w:sz w:val="22"/>
          <w:szCs w:val="22"/>
        </w:rPr>
        <w:t>FIRST NINE MONTHS OF FISCAL 2021 COMPARED TO FIRST NINE MONTHS OF FISCAL 2020</w:t>
      </w:r>
    </w:p>
    <w:p w14:paraId="669C7D24" w14:textId="77777777" w:rsidR="00066C63" w:rsidRDefault="009656F6">
      <w:pPr>
        <w:spacing w:after="120"/>
      </w:pPr>
      <w:r>
        <w:rPr>
          <w:rFonts w:ascii="Arial" w:eastAsia="宋体" w:hAnsi="Arial" w:cs="Arial"/>
          <w:color w:val="000000"/>
          <w:sz w:val="17"/>
          <w:szCs w:val="17"/>
        </w:rPr>
        <w:t xml:space="preserve">Corporate's loss before interest and taxes increased $97 million for the first nine months of fiscal 2021, primarily due </w:t>
      </w:r>
      <w:r>
        <w:rPr>
          <w:rFonts w:ascii="Arial" w:eastAsia="宋体" w:hAnsi="Arial" w:cs="Arial"/>
          <w:color w:val="000000"/>
          <w:sz w:val="17"/>
          <w:szCs w:val="17"/>
        </w:rPr>
        <w:t>to the following:</w:t>
      </w:r>
    </w:p>
    <w:p w14:paraId="669C7D25" w14:textId="77777777" w:rsidR="00066C63" w:rsidRDefault="009656F6">
      <w:pPr>
        <w:spacing w:before="60" w:after="60"/>
        <w:ind w:hanging="180"/>
      </w:pPr>
      <w:r>
        <w:rPr>
          <w:rFonts w:ascii="Arial" w:eastAsia="宋体" w:hAnsi="Arial" w:cs="Arial"/>
          <w:color w:val="E87722"/>
          <w:sz w:val="17"/>
          <w:szCs w:val="17"/>
        </w:rPr>
        <w:t>•</w:t>
      </w:r>
      <w:r>
        <w:rPr>
          <w:rFonts w:ascii="Arial" w:eastAsia="宋体" w:hAnsi="Arial" w:cs="Arial"/>
          <w:color w:val="000000"/>
          <w:sz w:val="17"/>
          <w:szCs w:val="17"/>
        </w:rPr>
        <w:t>an unfavorable change in net foreign currency gains and losses of $164 million related to the re-measurement of monetary assets and liabilities denominated in non-functional currencies and the impact of certain foreign currency derivativ</w:t>
      </w:r>
      <w:r>
        <w:rPr>
          <w:rFonts w:ascii="Arial" w:eastAsia="宋体" w:hAnsi="Arial" w:cs="Arial"/>
          <w:color w:val="000000"/>
          <w:sz w:val="17"/>
          <w:szCs w:val="17"/>
        </w:rPr>
        <w:t>e instruments, reported as a component of consolidated Other (income) expense, net;</w:t>
      </w:r>
    </w:p>
    <w:p w14:paraId="669C7D26" w14:textId="77777777" w:rsidR="00066C63" w:rsidRDefault="009656F6">
      <w:pPr>
        <w:spacing w:before="60" w:after="60"/>
        <w:ind w:hanging="180"/>
      </w:pPr>
      <w:r>
        <w:rPr>
          <w:rFonts w:ascii="Arial" w:eastAsia="宋体" w:hAnsi="Arial" w:cs="Arial"/>
          <w:color w:val="E87722"/>
          <w:sz w:val="17"/>
          <w:szCs w:val="17"/>
        </w:rPr>
        <w:t>•</w:t>
      </w:r>
      <w:r>
        <w:rPr>
          <w:rFonts w:ascii="Arial" w:eastAsia="宋体" w:hAnsi="Arial" w:cs="Arial"/>
          <w:color w:val="000000"/>
          <w:sz w:val="17"/>
          <w:szCs w:val="17"/>
        </w:rPr>
        <w:t>a favorable change of $110 million related to the difference between actual foreign currency exchange rates and standard foreign currency exchange rates assigned to the NI</w:t>
      </w:r>
      <w:r>
        <w:rPr>
          <w:rFonts w:ascii="Arial" w:eastAsia="宋体" w:hAnsi="Arial" w:cs="Arial"/>
          <w:color w:val="000000"/>
          <w:sz w:val="17"/>
          <w:szCs w:val="17"/>
        </w:rPr>
        <w:t>KE Brand geographic operating segments and Converse, net of hedge gains and losses; these results are reported as a component of consolidated gross margin; and</w:t>
      </w:r>
    </w:p>
    <w:p w14:paraId="669C7D27" w14:textId="77777777" w:rsidR="00066C63" w:rsidRDefault="009656F6">
      <w:pPr>
        <w:spacing w:before="60" w:after="60"/>
        <w:ind w:hanging="180"/>
      </w:pPr>
      <w:r>
        <w:rPr>
          <w:rFonts w:ascii="Arial" w:eastAsia="宋体" w:hAnsi="Arial" w:cs="Arial"/>
          <w:i/>
          <w:iCs/>
          <w:color w:val="E87722"/>
          <w:sz w:val="17"/>
          <w:szCs w:val="17"/>
        </w:rPr>
        <w:t>•</w:t>
      </w:r>
      <w:r>
        <w:rPr>
          <w:rFonts w:ascii="Arial" w:eastAsia="宋体" w:hAnsi="Arial" w:cs="Arial"/>
          <w:color w:val="000000"/>
          <w:sz w:val="17"/>
          <w:szCs w:val="17"/>
        </w:rPr>
        <w:t>an unfavorable change of $43 million in part due to restructuring-related costs associated with</w:t>
      </w:r>
      <w:r>
        <w:rPr>
          <w:rFonts w:ascii="Arial" w:eastAsia="宋体" w:hAnsi="Arial" w:cs="Arial"/>
          <w:color w:val="000000"/>
          <w:sz w:val="17"/>
          <w:szCs w:val="17"/>
        </w:rPr>
        <w:t xml:space="preserve"> changes to our organizational model announced in July 2020, partially offset by the $400 million charge in the prior year related to our planned distributor transition within APLA.</w:t>
      </w:r>
    </w:p>
    <w:p w14:paraId="669C7D28" w14:textId="77777777" w:rsidR="00066C63" w:rsidRDefault="009656F6">
      <w:pPr>
        <w:spacing w:before="60" w:after="60"/>
      </w:pPr>
      <w:r>
        <w:rPr>
          <w:rFonts w:ascii="Arial" w:eastAsia="宋体" w:hAnsi="Arial" w:cs="Arial"/>
          <w:color w:val="000000"/>
          <w:sz w:val="17"/>
          <w:szCs w:val="17"/>
        </w:rPr>
        <w:t>For more information related to our distributor partnership transition wit</w:t>
      </w:r>
      <w:r>
        <w:rPr>
          <w:rFonts w:ascii="Arial" w:eastAsia="宋体" w:hAnsi="Arial" w:cs="Arial"/>
          <w:color w:val="000000"/>
          <w:sz w:val="17"/>
          <w:szCs w:val="17"/>
        </w:rPr>
        <w:t xml:space="preserve">hin APLA, as well as more information related to our organizational realignment and related costs, see Note 13 — Acquisitions and Divestitures and Note 14 — Restructuring, respectively, within the accompanying Notes to the Unaudited Condensed Consolidated </w:t>
      </w:r>
      <w:r>
        <w:rPr>
          <w:rFonts w:ascii="Arial" w:eastAsia="宋体" w:hAnsi="Arial" w:cs="Arial"/>
          <w:color w:val="000000"/>
          <w:sz w:val="17"/>
          <w:szCs w:val="17"/>
        </w:rPr>
        <w:t>Financial Statements.</w:t>
      </w:r>
    </w:p>
    <w:p w14:paraId="669C7D29" w14:textId="77777777" w:rsidR="00066C63" w:rsidRDefault="009656F6">
      <w:pPr>
        <w:spacing w:before="300" w:after="120"/>
      </w:pPr>
      <w:r>
        <w:rPr>
          <w:rFonts w:ascii="sans-serif" w:eastAsia="sans-serif" w:hAnsi="sans-serif" w:cs="sans-serif"/>
          <w:b/>
          <w:bCs/>
          <w:color w:val="E87722"/>
          <w:sz w:val="36"/>
          <w:szCs w:val="36"/>
        </w:rPr>
        <w:t>FOREIGN CURRENCY EXPOSURES AND HEDGING PRACTICES</w:t>
      </w:r>
    </w:p>
    <w:p w14:paraId="669C7D2A" w14:textId="77777777" w:rsidR="00066C63" w:rsidRDefault="009656F6">
      <w:pPr>
        <w:spacing w:before="240" w:after="120"/>
      </w:pPr>
      <w:r>
        <w:rPr>
          <w:rFonts w:ascii="sans-serif" w:eastAsia="sans-serif" w:hAnsi="sans-serif" w:cs="sans-serif"/>
          <w:b/>
          <w:bCs/>
          <w:color w:val="000000"/>
          <w:sz w:val="28"/>
          <w:szCs w:val="28"/>
        </w:rPr>
        <w:t>OVERVIEW</w:t>
      </w:r>
    </w:p>
    <w:p w14:paraId="669C7D2B" w14:textId="77777777" w:rsidR="00066C63" w:rsidRDefault="009656F6">
      <w:pPr>
        <w:spacing w:before="120" w:after="120"/>
      </w:pPr>
      <w:r>
        <w:rPr>
          <w:rFonts w:ascii="Arial" w:eastAsia="宋体" w:hAnsi="Arial" w:cs="Arial"/>
          <w:color w:val="000000"/>
          <w:sz w:val="17"/>
          <w:szCs w:val="17"/>
        </w:rPr>
        <w:t xml:space="preserve">As a global company with significant operations outside the United States, in the normal course of business we are exposed to risk arising from changes in currency </w:t>
      </w:r>
      <w:r>
        <w:rPr>
          <w:rFonts w:ascii="Arial" w:eastAsia="宋体" w:hAnsi="Arial" w:cs="Arial"/>
          <w:color w:val="000000"/>
          <w:sz w:val="17"/>
          <w:szCs w:val="17"/>
        </w:rPr>
        <w:t>exchange rates. Our primary foreign currency exposures arise from the recording of transactions denominated in non-functional currencies and the translation of foreign currency denominated results of operations, financial position and cash flows into U.S. </w:t>
      </w:r>
      <w:r>
        <w:rPr>
          <w:rFonts w:ascii="Arial" w:eastAsia="宋体" w:hAnsi="Arial" w:cs="Arial"/>
          <w:color w:val="000000"/>
          <w:sz w:val="17"/>
          <w:szCs w:val="17"/>
        </w:rPr>
        <w:t>Dollars.</w:t>
      </w:r>
    </w:p>
    <w:p w14:paraId="669C7D2C" w14:textId="77777777" w:rsidR="00066C63" w:rsidRDefault="009656F6">
      <w:pPr>
        <w:spacing w:before="120" w:after="120"/>
      </w:pPr>
      <w:r>
        <w:rPr>
          <w:rFonts w:ascii="Arial" w:eastAsia="宋体" w:hAnsi="Arial" w:cs="Arial"/>
          <w:color w:val="E87722"/>
          <w:sz w:val="17"/>
          <w:szCs w:val="17"/>
        </w:rPr>
        <w:t>40</w:t>
      </w:r>
      <w:r>
        <w:rPr>
          <w:rFonts w:ascii="sans-serif" w:eastAsia="sans-serif" w:hAnsi="sans-serif" w:cs="sans-serif"/>
          <w:color w:val="000000"/>
          <w:sz w:val="17"/>
          <w:szCs w:val="17"/>
        </w:rPr>
        <w:t xml:space="preserve"> </w:t>
      </w:r>
    </w:p>
    <w:p w14:paraId="669C7D2D" w14:textId="77777777" w:rsidR="00066C63" w:rsidRDefault="009656F6">
      <w:r>
        <w:pict w14:anchorId="669C7E58">
          <v:rect id="_x0000_i1066" style="width:415.3pt;height:1.5pt" o:hralign="center" o:hrstd="t" o:hr="t" fillcolor="#a0a0a0" stroked="f"/>
        </w:pict>
      </w:r>
    </w:p>
    <w:p w14:paraId="669C7D2E" w14:textId="77777777" w:rsidR="00066C63" w:rsidRDefault="00066C63"/>
    <w:p w14:paraId="669C7D2F" w14:textId="77777777" w:rsidR="00066C63" w:rsidRDefault="009656F6">
      <w:hyperlink r:id="rId110" w:anchor="i1e99cb26debe49fe8b698d0f0eb1273a_7" w:history="1">
        <w:r>
          <w:rPr>
            <w:rStyle w:val="a5"/>
            <w:rFonts w:ascii="sans-serif" w:eastAsia="sans-serif" w:hAnsi="sans-serif" w:cs="sans-serif"/>
            <w:sz w:val="17"/>
            <w:szCs w:val="17"/>
          </w:rPr>
          <w:t>Table of Contents</w:t>
        </w:r>
      </w:hyperlink>
    </w:p>
    <w:p w14:paraId="669C7D30" w14:textId="77777777" w:rsidR="00066C63" w:rsidRDefault="00066C63"/>
    <w:p w14:paraId="669C7D31" w14:textId="77777777" w:rsidR="00066C63" w:rsidRDefault="009656F6">
      <w:pPr>
        <w:spacing w:before="120" w:after="120"/>
      </w:pPr>
      <w:r>
        <w:rPr>
          <w:rFonts w:ascii="Arial" w:eastAsia="宋体" w:hAnsi="Arial" w:cs="Arial"/>
          <w:color w:val="000000"/>
          <w:sz w:val="17"/>
          <w:szCs w:val="17"/>
        </w:rPr>
        <w:t>Our foreign exchange risk management program is intended to lessen bo</w:t>
      </w:r>
      <w:r>
        <w:rPr>
          <w:rFonts w:ascii="Arial" w:eastAsia="宋体" w:hAnsi="Arial" w:cs="Arial"/>
          <w:color w:val="000000"/>
          <w:sz w:val="17"/>
          <w:szCs w:val="17"/>
        </w:rPr>
        <w:t xml:space="preserve">th the positive and negative effects of currency fluctuations on our consolidated results of operations, financial position and cash flows. We manage global foreign exchange risk centrally on a portfolio basis to address those risks material to NIKE, Inc. </w:t>
      </w:r>
      <w:r>
        <w:rPr>
          <w:rFonts w:ascii="Arial" w:eastAsia="宋体" w:hAnsi="Arial" w:cs="Arial"/>
          <w:color w:val="000000"/>
          <w:sz w:val="17"/>
          <w:szCs w:val="17"/>
        </w:rPr>
        <w:t>Our hedging policy is designed to partially or entirely offset the impact of exchange rate changes on the underlying net exposures being hedged. Where exposures are hedged, our program has the effect of delaying the impact of exchange rate movements on our</w:t>
      </w:r>
      <w:r>
        <w:rPr>
          <w:rFonts w:ascii="Arial" w:eastAsia="宋体" w:hAnsi="Arial" w:cs="Arial"/>
          <w:color w:val="000000"/>
          <w:sz w:val="17"/>
          <w:szCs w:val="17"/>
        </w:rPr>
        <w:t xml:space="preserve"> Unaudited Condensed Consolidated Financial Statements; the length of the delay is dependent upon hedge horizons. We do not hold or issue derivative instruments for trading or speculative purposes. As of and for the nine months ended February 28, 2021, the</w:t>
      </w:r>
      <w:r>
        <w:rPr>
          <w:rFonts w:ascii="Arial" w:eastAsia="宋体" w:hAnsi="Arial" w:cs="Arial"/>
          <w:color w:val="000000"/>
          <w:sz w:val="17"/>
          <w:szCs w:val="17"/>
        </w:rPr>
        <w:t xml:space="preserve">re have been no material changes to the Company's hedging program or strategy from what was disclosed within the Annual Report on Form 10-K. </w:t>
      </w:r>
    </w:p>
    <w:p w14:paraId="669C7D32" w14:textId="77777777" w:rsidR="00066C63" w:rsidRDefault="009656F6">
      <w:pPr>
        <w:spacing w:before="120" w:after="120"/>
      </w:pPr>
      <w:r>
        <w:rPr>
          <w:rFonts w:ascii="Arial" w:eastAsia="宋体" w:hAnsi="Arial" w:cs="Arial"/>
          <w:color w:val="000000"/>
          <w:sz w:val="17"/>
          <w:szCs w:val="17"/>
        </w:rPr>
        <w:t>Refer to Note 4 — Fair Value Measurements and Note 9 — Risk Management and Derivatives in the accompanying Notes t</w:t>
      </w:r>
      <w:r>
        <w:rPr>
          <w:rFonts w:ascii="Arial" w:eastAsia="宋体" w:hAnsi="Arial" w:cs="Arial"/>
          <w:color w:val="000000"/>
          <w:sz w:val="17"/>
          <w:szCs w:val="17"/>
        </w:rPr>
        <w:t>o the Unaudited Condensed Consolidated Financial Statements for additional description of outstanding derivatives at each reported period end. For additional information about our Foreign Currency Exposures and Hedging Practices refer to Part II, Item 7. M</w:t>
      </w:r>
      <w:r>
        <w:rPr>
          <w:rFonts w:ascii="Arial" w:eastAsia="宋体" w:hAnsi="Arial" w:cs="Arial"/>
          <w:color w:val="000000"/>
          <w:sz w:val="17"/>
          <w:szCs w:val="17"/>
        </w:rPr>
        <w:t>anagement's Discussion and Analysis of Financial Condition and Results of Operations of our Annual Report on Form 10-K for the fiscal year ended May 31, 2020.</w:t>
      </w:r>
    </w:p>
    <w:p w14:paraId="669C7D33" w14:textId="77777777" w:rsidR="00066C63" w:rsidRDefault="009656F6">
      <w:pPr>
        <w:spacing w:before="240" w:after="120"/>
      </w:pPr>
      <w:r>
        <w:rPr>
          <w:rFonts w:ascii="sans-serif" w:eastAsia="sans-serif" w:hAnsi="sans-serif" w:cs="sans-serif"/>
          <w:b/>
          <w:bCs/>
          <w:color w:val="000000"/>
          <w:sz w:val="28"/>
          <w:szCs w:val="28"/>
        </w:rPr>
        <w:t>TRANSACTIONAL EXPOSURES</w:t>
      </w:r>
    </w:p>
    <w:p w14:paraId="669C7D34" w14:textId="77777777" w:rsidR="00066C63" w:rsidRDefault="009656F6">
      <w:pPr>
        <w:spacing w:before="120" w:after="120"/>
      </w:pPr>
      <w:r>
        <w:rPr>
          <w:rFonts w:ascii="Arial" w:eastAsia="宋体" w:hAnsi="Arial" w:cs="Arial"/>
          <w:color w:val="000000"/>
          <w:sz w:val="17"/>
          <w:szCs w:val="17"/>
        </w:rPr>
        <w:t>We conduct business in various currencies and have transactions which sub</w:t>
      </w:r>
      <w:r>
        <w:rPr>
          <w:rFonts w:ascii="Arial" w:eastAsia="宋体" w:hAnsi="Arial" w:cs="Arial"/>
          <w:color w:val="000000"/>
          <w:sz w:val="17"/>
          <w:szCs w:val="17"/>
        </w:rPr>
        <w:t>ject us to foreign currency risk. Our most significant transactional foreign currency exposures are:</w:t>
      </w:r>
    </w:p>
    <w:p w14:paraId="669C7D35" w14:textId="77777777" w:rsidR="00066C63" w:rsidRDefault="009656F6">
      <w:pPr>
        <w:spacing w:before="60" w:after="60"/>
        <w:ind w:hanging="180"/>
      </w:pPr>
      <w:r>
        <w:rPr>
          <w:rFonts w:ascii="Arial" w:eastAsia="宋体" w:hAnsi="Arial" w:cs="Arial"/>
          <w:color w:val="E87722"/>
          <w:sz w:val="17"/>
          <w:szCs w:val="17"/>
        </w:rPr>
        <w:t>•</w:t>
      </w:r>
      <w:r>
        <w:rPr>
          <w:rFonts w:ascii="Arial" w:eastAsia="宋体" w:hAnsi="Arial" w:cs="Arial"/>
          <w:color w:val="000000"/>
          <w:sz w:val="17"/>
          <w:szCs w:val="17"/>
        </w:rPr>
        <w:t xml:space="preserve">Product Costs — Product purchases denominated in currencies other than the functional currency of the transacting entity and factory input costs from the </w:t>
      </w:r>
      <w:r>
        <w:rPr>
          <w:rFonts w:ascii="Arial" w:eastAsia="宋体" w:hAnsi="Arial" w:cs="Arial"/>
          <w:color w:val="000000"/>
          <w:sz w:val="17"/>
          <w:szCs w:val="17"/>
        </w:rPr>
        <w:t>foreign currency adjustments program with certain factories.</w:t>
      </w:r>
    </w:p>
    <w:p w14:paraId="669C7D36" w14:textId="77777777" w:rsidR="00066C63" w:rsidRDefault="009656F6">
      <w:pPr>
        <w:spacing w:before="60" w:after="60"/>
        <w:ind w:hanging="180"/>
      </w:pPr>
      <w:r>
        <w:rPr>
          <w:rFonts w:ascii="Arial" w:eastAsia="宋体" w:hAnsi="Arial" w:cs="Arial"/>
          <w:color w:val="E87722"/>
          <w:sz w:val="17"/>
          <w:szCs w:val="17"/>
        </w:rPr>
        <w:t>•</w:t>
      </w:r>
      <w:r>
        <w:rPr>
          <w:rFonts w:ascii="Arial" w:eastAsia="宋体" w:hAnsi="Arial" w:cs="Arial"/>
          <w:color w:val="000000"/>
          <w:sz w:val="17"/>
          <w:szCs w:val="17"/>
        </w:rPr>
        <w:t>Non-Functional Currency Denominated External Sales — A portion of our NIKE Brand and Converse revenues associated with European operations are earned in currencies other than the Euro (e.g., the</w:t>
      </w:r>
      <w:r>
        <w:rPr>
          <w:rFonts w:ascii="Arial" w:eastAsia="宋体" w:hAnsi="Arial" w:cs="Arial"/>
          <w:color w:val="000000"/>
          <w:sz w:val="17"/>
          <w:szCs w:val="17"/>
        </w:rPr>
        <w:t xml:space="preserve"> British Pound) but are recognized at a subsidiary that uses the Euro as its functional currency. These sales generate a foreign currency exposure.</w:t>
      </w:r>
    </w:p>
    <w:p w14:paraId="669C7D37" w14:textId="77777777" w:rsidR="00066C63" w:rsidRDefault="009656F6">
      <w:pPr>
        <w:spacing w:before="60" w:after="60"/>
        <w:ind w:hanging="180"/>
      </w:pPr>
      <w:r>
        <w:rPr>
          <w:rFonts w:ascii="Arial" w:eastAsia="宋体" w:hAnsi="Arial" w:cs="Arial"/>
          <w:color w:val="E87722"/>
          <w:sz w:val="17"/>
          <w:szCs w:val="17"/>
        </w:rPr>
        <w:t>•</w:t>
      </w:r>
      <w:r>
        <w:rPr>
          <w:rFonts w:ascii="Arial" w:eastAsia="宋体" w:hAnsi="Arial" w:cs="Arial"/>
          <w:color w:val="000000"/>
          <w:sz w:val="17"/>
          <w:szCs w:val="17"/>
        </w:rPr>
        <w:t xml:space="preserve">Other Costs — Non-functional currency denominated costs, such as endorsement contracts, also generate foreign currency risk, though to a lesser extent. </w:t>
      </w:r>
    </w:p>
    <w:p w14:paraId="669C7D38" w14:textId="77777777" w:rsidR="00066C63" w:rsidRDefault="009656F6">
      <w:pPr>
        <w:spacing w:before="60" w:after="60"/>
        <w:ind w:hanging="180"/>
      </w:pPr>
      <w:r>
        <w:rPr>
          <w:rFonts w:ascii="Arial" w:eastAsia="宋体" w:hAnsi="Arial" w:cs="Arial"/>
          <w:color w:val="E87722"/>
          <w:sz w:val="17"/>
          <w:szCs w:val="17"/>
        </w:rPr>
        <w:t>•</w:t>
      </w:r>
      <w:r>
        <w:rPr>
          <w:rFonts w:ascii="Arial" w:eastAsia="宋体" w:hAnsi="Arial" w:cs="Arial"/>
          <w:color w:val="000000"/>
          <w:sz w:val="17"/>
          <w:szCs w:val="17"/>
        </w:rPr>
        <w:t xml:space="preserve">Non-Functional Currency Denominated Monetary Assets and Liabilities — Our global </w:t>
      </w:r>
      <w:r>
        <w:rPr>
          <w:rFonts w:ascii="Arial" w:eastAsia="宋体" w:hAnsi="Arial" w:cs="Arial"/>
          <w:color w:val="000000"/>
          <w:sz w:val="17"/>
          <w:szCs w:val="17"/>
        </w:rPr>
        <w:t>subsidiaries have various assets and liabilities, primarily receivables and payables, including intercompany receivables and payables, denominated in currencies other than their functional currencies. These balance sheet items are subject to re-measurement</w:t>
      </w:r>
      <w:r>
        <w:rPr>
          <w:rFonts w:ascii="Arial" w:eastAsia="宋体" w:hAnsi="Arial" w:cs="Arial"/>
          <w:color w:val="000000"/>
          <w:sz w:val="17"/>
          <w:szCs w:val="17"/>
        </w:rPr>
        <w:t xml:space="preserve"> which may create fluctuations in Other (income) expense, net within our consolidated results of operations.</w:t>
      </w:r>
    </w:p>
    <w:p w14:paraId="669C7D39" w14:textId="77777777" w:rsidR="00066C63" w:rsidRDefault="009656F6">
      <w:pPr>
        <w:spacing w:before="120"/>
      </w:pPr>
      <w:r>
        <w:rPr>
          <w:rFonts w:ascii="sans-serif" w:eastAsia="sans-serif" w:hAnsi="sans-serif" w:cs="sans-serif"/>
          <w:b/>
          <w:bCs/>
          <w:color w:val="808080"/>
          <w:sz w:val="22"/>
          <w:szCs w:val="22"/>
        </w:rPr>
        <w:t>MANAGING TRANSACTIONAL EXPOSURES</w:t>
      </w:r>
    </w:p>
    <w:p w14:paraId="669C7D3A" w14:textId="77777777" w:rsidR="00066C63" w:rsidRDefault="009656F6">
      <w:pPr>
        <w:spacing w:after="120"/>
      </w:pPr>
      <w:r>
        <w:rPr>
          <w:rFonts w:ascii="Arial" w:eastAsia="宋体" w:hAnsi="Arial" w:cs="Arial"/>
          <w:color w:val="000000"/>
          <w:sz w:val="17"/>
          <w:szCs w:val="17"/>
        </w:rPr>
        <w:t>Transactional exposures are managed on a portfolio basis within our foreign currency risk management program. We m</w:t>
      </w:r>
      <w:r>
        <w:rPr>
          <w:rFonts w:ascii="Arial" w:eastAsia="宋体" w:hAnsi="Arial" w:cs="Arial"/>
          <w:color w:val="000000"/>
          <w:sz w:val="17"/>
          <w:szCs w:val="17"/>
        </w:rPr>
        <w:t>anage these exposures by taking advantage of natural offsets and currency correlations that exist within the portfolio and may also elect to use currency forward and option contracts to hedge the remaining effect of exchange rate fluctuations on probable f</w:t>
      </w:r>
      <w:r>
        <w:rPr>
          <w:rFonts w:ascii="Arial" w:eastAsia="宋体" w:hAnsi="Arial" w:cs="Arial"/>
          <w:color w:val="000000"/>
          <w:sz w:val="17"/>
          <w:szCs w:val="17"/>
        </w:rPr>
        <w:t xml:space="preserve">orecasted future cash flows, including certain product cost exposures, non-functional currency denominated external sales and other costs described above. </w:t>
      </w:r>
    </w:p>
    <w:p w14:paraId="669C7D3B" w14:textId="77777777" w:rsidR="00066C63" w:rsidRDefault="009656F6">
      <w:pPr>
        <w:spacing w:after="120"/>
      </w:pPr>
      <w:r>
        <w:rPr>
          <w:rFonts w:ascii="Arial" w:eastAsia="宋体" w:hAnsi="Arial" w:cs="Arial"/>
          <w:color w:val="000000"/>
          <w:sz w:val="17"/>
          <w:szCs w:val="17"/>
        </w:rPr>
        <w:t>Certain currency forward contracts used to manage the foreign exchange exposure of non-functional cu</w:t>
      </w:r>
      <w:r>
        <w:rPr>
          <w:rFonts w:ascii="Arial" w:eastAsia="宋体" w:hAnsi="Arial" w:cs="Arial"/>
          <w:color w:val="000000"/>
          <w:sz w:val="17"/>
          <w:szCs w:val="17"/>
        </w:rPr>
        <w:t xml:space="preserve">rrency denominated monetary assets and liabilities subject to re-measurement and embedded derivative contracts are not formally designated as hedging instruments and are recognized in Other (income) expense, net. </w:t>
      </w:r>
    </w:p>
    <w:p w14:paraId="669C7D3C" w14:textId="77777777" w:rsidR="00066C63" w:rsidRDefault="009656F6">
      <w:pPr>
        <w:spacing w:before="240" w:after="120"/>
      </w:pPr>
      <w:r>
        <w:rPr>
          <w:rFonts w:ascii="sans-serif" w:eastAsia="sans-serif" w:hAnsi="sans-serif" w:cs="sans-serif"/>
          <w:b/>
          <w:bCs/>
          <w:color w:val="000000"/>
          <w:sz w:val="28"/>
          <w:szCs w:val="28"/>
        </w:rPr>
        <w:t>TRANSLATIONAL EXPOSURES</w:t>
      </w:r>
    </w:p>
    <w:p w14:paraId="669C7D3D" w14:textId="77777777" w:rsidR="00066C63" w:rsidRDefault="009656F6">
      <w:pPr>
        <w:spacing w:before="120" w:after="120"/>
      </w:pPr>
      <w:r>
        <w:rPr>
          <w:rFonts w:ascii="Arial" w:eastAsia="宋体" w:hAnsi="Arial" w:cs="Arial"/>
          <w:color w:val="000000"/>
          <w:sz w:val="17"/>
          <w:szCs w:val="17"/>
        </w:rPr>
        <w:t>Many of our foreig</w:t>
      </w:r>
      <w:r>
        <w:rPr>
          <w:rFonts w:ascii="Arial" w:eastAsia="宋体" w:hAnsi="Arial" w:cs="Arial"/>
          <w:color w:val="000000"/>
          <w:sz w:val="17"/>
          <w:szCs w:val="17"/>
        </w:rPr>
        <w:t>n subsidiaries operate in functional currencies other than the U.S. Dollar. Fluctuations in currency exchange rates create volatility in our reported results as we are required to translate the balance sheets, operational results and cash flows of these su</w:t>
      </w:r>
      <w:r>
        <w:rPr>
          <w:rFonts w:ascii="Arial" w:eastAsia="宋体" w:hAnsi="Arial" w:cs="Arial"/>
          <w:color w:val="000000"/>
          <w:sz w:val="17"/>
          <w:szCs w:val="17"/>
        </w:rPr>
        <w:t>bsidiaries into U.S. Dollars for consolidated reporting. The translation of foreign subsidiaries' non-U.S. Dollar denominated balance sheets into U.S. Dollars for consolidated reporting results in a cumulative translation adjustment to Accumulated other co</w:t>
      </w:r>
      <w:r>
        <w:rPr>
          <w:rFonts w:ascii="Arial" w:eastAsia="宋体" w:hAnsi="Arial" w:cs="Arial"/>
          <w:color w:val="000000"/>
          <w:sz w:val="17"/>
          <w:szCs w:val="17"/>
        </w:rPr>
        <w:t>mprehensive income (loss) within Shareholders' equity. The impact of foreign exchange rate fluctuations on the translation of our consolidated Revenues was a benefit of approximately $357 million and $430 million for the three and nine months ended Februar</w:t>
      </w:r>
      <w:r>
        <w:rPr>
          <w:rFonts w:ascii="Arial" w:eastAsia="宋体" w:hAnsi="Arial" w:cs="Arial"/>
          <w:color w:val="000000"/>
          <w:sz w:val="17"/>
          <w:szCs w:val="17"/>
        </w:rPr>
        <w:t>y 28, 2021, respectively, and a detriment of approximately $152 million and $698 million for the three and nine months ended February 29, 2020, respectively. The impact of foreign exchange rate fluctuations on the translation of our</w:t>
      </w:r>
      <w:r>
        <w:rPr>
          <w:rFonts w:ascii="Arial" w:eastAsia="宋体" w:hAnsi="Arial" w:cs="Arial"/>
          <w:i/>
          <w:iCs/>
          <w:color w:val="000000"/>
          <w:sz w:val="17"/>
          <w:szCs w:val="17"/>
        </w:rPr>
        <w:t xml:space="preserve"> </w:t>
      </w:r>
      <w:r>
        <w:rPr>
          <w:rFonts w:ascii="Arial" w:eastAsia="宋体" w:hAnsi="Arial" w:cs="Arial"/>
          <w:color w:val="000000"/>
          <w:sz w:val="17"/>
          <w:szCs w:val="17"/>
        </w:rPr>
        <w:t>Income before income ta</w:t>
      </w:r>
      <w:r>
        <w:rPr>
          <w:rFonts w:ascii="Arial" w:eastAsia="宋体" w:hAnsi="Arial" w:cs="Arial"/>
          <w:color w:val="000000"/>
          <w:sz w:val="17"/>
          <w:szCs w:val="17"/>
        </w:rPr>
        <w:t>xes was a benefit of approximately $109 million and $143 million for the three and nine months ended February 28, 2021, respectively, and a detriment of approximately $43 million and $195 million for the three and nine months ended February 29, 2020, respe</w:t>
      </w:r>
      <w:r>
        <w:rPr>
          <w:rFonts w:ascii="Arial" w:eastAsia="宋体" w:hAnsi="Arial" w:cs="Arial"/>
          <w:color w:val="000000"/>
          <w:sz w:val="17"/>
          <w:szCs w:val="17"/>
        </w:rPr>
        <w:t>ctively.</w:t>
      </w:r>
    </w:p>
    <w:p w14:paraId="669C7D3E" w14:textId="77777777" w:rsidR="00066C63" w:rsidRDefault="009656F6">
      <w:pPr>
        <w:spacing w:before="120" w:after="120"/>
      </w:pPr>
      <w:r>
        <w:rPr>
          <w:rFonts w:ascii="Arial" w:eastAsia="宋体" w:hAnsi="Arial" w:cs="Arial"/>
          <w:color w:val="000000"/>
          <w:sz w:val="17"/>
          <w:szCs w:val="17"/>
        </w:rPr>
        <w:t xml:space="preserve">Management generally identifies hyper-inflationary markets as those markets whose cumulative inflation rate over a three-year period exceeds 100%. Management has concluded our Argentina subsidiary within our APLA operating segment is operating in </w:t>
      </w:r>
      <w:r>
        <w:rPr>
          <w:rFonts w:ascii="Arial" w:eastAsia="宋体" w:hAnsi="Arial" w:cs="Arial"/>
          <w:color w:val="000000"/>
          <w:sz w:val="17"/>
          <w:szCs w:val="17"/>
        </w:rPr>
        <w:t>a hyper-inflationary market. As a result, beginning in the second quarter of fiscal 2019, the functional currency of our Argentina subsidiary changed from the local currency to the U.S. Dollar. As of and for the three and nine months ended February 28, 202</w:t>
      </w:r>
      <w:r>
        <w:rPr>
          <w:rFonts w:ascii="Arial" w:eastAsia="宋体" w:hAnsi="Arial" w:cs="Arial"/>
          <w:color w:val="000000"/>
          <w:sz w:val="17"/>
          <w:szCs w:val="17"/>
        </w:rPr>
        <w:t xml:space="preserve">1, </w:t>
      </w:r>
    </w:p>
    <w:p w14:paraId="669C7D3F" w14:textId="77777777" w:rsidR="00066C63" w:rsidRDefault="009656F6">
      <w:pPr>
        <w:spacing w:before="120" w:after="120"/>
        <w:jc w:val="right"/>
      </w:pPr>
      <w:r>
        <w:rPr>
          <w:rFonts w:ascii="Arial" w:eastAsia="宋体" w:hAnsi="Arial" w:cs="Arial"/>
          <w:color w:val="E87722"/>
          <w:sz w:val="17"/>
          <w:szCs w:val="17"/>
        </w:rPr>
        <w:t>41</w:t>
      </w:r>
    </w:p>
    <w:p w14:paraId="669C7D40" w14:textId="77777777" w:rsidR="00066C63" w:rsidRDefault="009656F6">
      <w:r>
        <w:pict w14:anchorId="669C7E59">
          <v:rect id="_x0000_i1067" style="width:415.3pt;height:1.5pt" o:hralign="center" o:hrstd="t" o:hr="t" fillcolor="#a0a0a0" stroked="f"/>
        </w:pict>
      </w:r>
    </w:p>
    <w:p w14:paraId="669C7D41" w14:textId="77777777" w:rsidR="00066C63" w:rsidRDefault="00066C63"/>
    <w:p w14:paraId="669C7D42" w14:textId="77777777" w:rsidR="00066C63" w:rsidRDefault="009656F6">
      <w:hyperlink r:id="rId111" w:anchor="i1e99cb26debe49fe8b698d0f0eb1273a_7" w:history="1">
        <w:r>
          <w:rPr>
            <w:rStyle w:val="a5"/>
            <w:rFonts w:ascii="sans-serif" w:eastAsia="sans-serif" w:hAnsi="sans-serif" w:cs="sans-serif"/>
            <w:sz w:val="17"/>
            <w:szCs w:val="17"/>
          </w:rPr>
          <w:t>Table of Contents</w:t>
        </w:r>
      </w:hyperlink>
    </w:p>
    <w:p w14:paraId="669C7D43" w14:textId="77777777" w:rsidR="00066C63" w:rsidRDefault="00066C63"/>
    <w:p w14:paraId="669C7D44" w14:textId="77777777" w:rsidR="00066C63" w:rsidRDefault="009656F6">
      <w:pPr>
        <w:spacing w:before="120" w:after="120"/>
      </w:pPr>
      <w:r>
        <w:rPr>
          <w:rFonts w:ascii="Arial" w:eastAsia="宋体" w:hAnsi="Arial" w:cs="Arial"/>
          <w:color w:val="000000"/>
          <w:sz w:val="17"/>
          <w:szCs w:val="17"/>
        </w:rPr>
        <w:t xml:space="preserve">this change did not have a material impact on our results of operations or </w:t>
      </w:r>
      <w:r>
        <w:rPr>
          <w:rFonts w:ascii="Arial" w:eastAsia="宋体" w:hAnsi="Arial" w:cs="Arial"/>
          <w:color w:val="000000"/>
          <w:sz w:val="17"/>
          <w:szCs w:val="17"/>
        </w:rPr>
        <w:t>financial condition and we do not anticipate it will have a material impact in future periods based on current rates.</w:t>
      </w:r>
    </w:p>
    <w:p w14:paraId="669C7D45" w14:textId="77777777" w:rsidR="00066C63" w:rsidRDefault="009656F6">
      <w:pPr>
        <w:spacing w:before="120"/>
      </w:pPr>
      <w:r>
        <w:rPr>
          <w:rFonts w:ascii="sans-serif" w:eastAsia="sans-serif" w:hAnsi="sans-serif" w:cs="sans-serif"/>
          <w:b/>
          <w:bCs/>
          <w:color w:val="808080"/>
          <w:sz w:val="22"/>
          <w:szCs w:val="22"/>
        </w:rPr>
        <w:t>MANAGING TRANSLATIONAL EXPOSURES</w:t>
      </w:r>
    </w:p>
    <w:p w14:paraId="669C7D46" w14:textId="77777777" w:rsidR="00066C63" w:rsidRDefault="009656F6">
      <w:pPr>
        <w:spacing w:after="120"/>
      </w:pPr>
      <w:r>
        <w:rPr>
          <w:rFonts w:ascii="Arial" w:eastAsia="宋体" w:hAnsi="Arial" w:cs="Arial"/>
          <w:color w:val="000000"/>
          <w:sz w:val="17"/>
          <w:szCs w:val="17"/>
        </w:rPr>
        <w:t>To minimize the impact of translating foreign currency denominated revenues and expenses into U.S. Dollars for consolidated reporting, certain foreign subsidiaries use excess cash to purchase U.S. Dollar denominated available-for-sale investments. The vari</w:t>
      </w:r>
      <w:r>
        <w:rPr>
          <w:rFonts w:ascii="Arial" w:eastAsia="宋体" w:hAnsi="Arial" w:cs="Arial"/>
          <w:color w:val="000000"/>
          <w:sz w:val="17"/>
          <w:szCs w:val="17"/>
        </w:rPr>
        <w:t>able future cash flows associated with the purchase and subsequent sale of these U.S. Dollar denominated investments at non-U.S. Dollar functional currency subsidiaries creates a foreign currency exposure that qualifies for hedge accounting under U.S. GAAP</w:t>
      </w:r>
      <w:r>
        <w:rPr>
          <w:rFonts w:ascii="Arial" w:eastAsia="宋体" w:hAnsi="Arial" w:cs="Arial"/>
          <w:color w:val="000000"/>
          <w:sz w:val="17"/>
          <w:szCs w:val="17"/>
        </w:rPr>
        <w:t>. We utilize forward contracts and/or options to mitigate the variability of the forecasted future purchases and sales of these U.S. Dollar investments. The combination of the purchase and sale of the U.S. Dollar investment and the hedging instrument has t</w:t>
      </w:r>
      <w:r>
        <w:rPr>
          <w:rFonts w:ascii="Arial" w:eastAsia="宋体" w:hAnsi="Arial" w:cs="Arial"/>
          <w:color w:val="000000"/>
          <w:sz w:val="17"/>
          <w:szCs w:val="17"/>
        </w:rPr>
        <w:t>he effect of partially offsetting the year-over-year foreign currency translation impact on net earnings in the period the investments are sold. Hedges of the purchase of U.S. Dollar denominated available-for-sale investments are accounted for as cash flow</w:t>
      </w:r>
      <w:r>
        <w:rPr>
          <w:rFonts w:ascii="Arial" w:eastAsia="宋体" w:hAnsi="Arial" w:cs="Arial"/>
          <w:color w:val="000000"/>
          <w:sz w:val="17"/>
          <w:szCs w:val="17"/>
        </w:rPr>
        <w:t xml:space="preserve"> hedges. </w:t>
      </w:r>
    </w:p>
    <w:p w14:paraId="669C7D47" w14:textId="77777777" w:rsidR="00066C63" w:rsidRDefault="009656F6">
      <w:pPr>
        <w:spacing w:after="120"/>
      </w:pPr>
      <w:r>
        <w:rPr>
          <w:rFonts w:ascii="Arial" w:eastAsia="宋体" w:hAnsi="Arial" w:cs="Arial"/>
          <w:color w:val="000000"/>
          <w:sz w:val="17"/>
          <w:szCs w:val="17"/>
        </w:rPr>
        <w:t>We estimate the combination of translation of foreign currency-denominated profits from our international businesses and the year-over-year change in foreign currency related gains and losses included in Other (income) expense, net had a favorabl</w:t>
      </w:r>
      <w:r>
        <w:rPr>
          <w:rFonts w:ascii="Arial" w:eastAsia="宋体" w:hAnsi="Arial" w:cs="Arial"/>
          <w:color w:val="000000"/>
          <w:sz w:val="17"/>
          <w:szCs w:val="17"/>
        </w:rPr>
        <w:t>e impact of approximately $7 million and an unfavorable impact of approximately $21 million on our Income before income taxes for the three months and nine months ended February 28, 2021, respectively.</w:t>
      </w:r>
    </w:p>
    <w:p w14:paraId="669C7D48" w14:textId="77777777" w:rsidR="00066C63" w:rsidRDefault="009656F6">
      <w:pPr>
        <w:spacing w:before="300" w:after="120"/>
      </w:pPr>
      <w:r>
        <w:rPr>
          <w:rFonts w:ascii="sans-serif" w:eastAsia="sans-serif" w:hAnsi="sans-serif" w:cs="sans-serif"/>
          <w:b/>
          <w:bCs/>
          <w:color w:val="E87722"/>
          <w:sz w:val="36"/>
          <w:szCs w:val="36"/>
        </w:rPr>
        <w:t>LIQUIDITY AND CAPITAL RESOURCES</w:t>
      </w:r>
    </w:p>
    <w:p w14:paraId="669C7D49" w14:textId="77777777" w:rsidR="00066C63" w:rsidRDefault="009656F6">
      <w:pPr>
        <w:spacing w:before="240" w:after="120"/>
      </w:pPr>
      <w:r>
        <w:rPr>
          <w:rFonts w:ascii="sans-serif" w:eastAsia="sans-serif" w:hAnsi="sans-serif" w:cs="sans-serif"/>
          <w:b/>
          <w:bCs/>
          <w:color w:val="000000"/>
          <w:sz w:val="28"/>
          <w:szCs w:val="28"/>
        </w:rPr>
        <w:t>CASH FLOW ACTIVITY</w:t>
      </w:r>
    </w:p>
    <w:p w14:paraId="669C7D4A" w14:textId="77777777" w:rsidR="00066C63" w:rsidRDefault="009656F6">
      <w:pPr>
        <w:spacing w:before="120" w:after="120"/>
      </w:pPr>
      <w:r>
        <w:rPr>
          <w:rFonts w:ascii="Arial" w:eastAsia="宋体" w:hAnsi="Arial" w:cs="Arial"/>
          <w:color w:val="000000"/>
          <w:sz w:val="17"/>
          <w:szCs w:val="17"/>
        </w:rPr>
        <w:t>Cas</w:t>
      </w:r>
      <w:r>
        <w:rPr>
          <w:rFonts w:ascii="Arial" w:eastAsia="宋体" w:hAnsi="Arial" w:cs="Arial"/>
          <w:color w:val="000000"/>
          <w:sz w:val="17"/>
          <w:szCs w:val="17"/>
        </w:rPr>
        <w:t>h provided (used) by operations was an inflow of $4,645 million for the first nine months of fiscal 2021, compared to $2,486 million for the first nine months of fiscal 2020. Net income, adjusted for non-cash items, generated $4,840 million of operating ca</w:t>
      </w:r>
      <w:r>
        <w:rPr>
          <w:rFonts w:ascii="Arial" w:eastAsia="宋体" w:hAnsi="Arial" w:cs="Arial"/>
          <w:color w:val="000000"/>
          <w:sz w:val="17"/>
          <w:szCs w:val="17"/>
        </w:rPr>
        <w:t>sh inflow for the first nine months of fiscal 2021, compared to $4,107 million for the first nine months of fiscal 2020. The net change in working capital and other assets and liabilities resulted in a decrease to Cash provided (used) by operations</w:t>
      </w:r>
      <w:r>
        <w:rPr>
          <w:rFonts w:ascii="Arial" w:eastAsia="宋体" w:hAnsi="Arial" w:cs="Arial"/>
          <w:i/>
          <w:iCs/>
          <w:color w:val="000000"/>
          <w:sz w:val="17"/>
          <w:szCs w:val="17"/>
        </w:rPr>
        <w:t xml:space="preserve"> </w:t>
      </w:r>
      <w:r>
        <w:rPr>
          <w:rFonts w:ascii="Arial" w:eastAsia="宋体" w:hAnsi="Arial" w:cs="Arial"/>
          <w:color w:val="000000"/>
          <w:sz w:val="17"/>
          <w:szCs w:val="17"/>
        </w:rPr>
        <w:t>of $195</w:t>
      </w:r>
      <w:r>
        <w:rPr>
          <w:rFonts w:ascii="Arial" w:eastAsia="宋体" w:hAnsi="Arial" w:cs="Arial"/>
          <w:color w:val="000000"/>
          <w:sz w:val="17"/>
          <w:szCs w:val="17"/>
        </w:rPr>
        <w:t xml:space="preserve"> million for the first nine months of fiscal 2021 compared to a decrease of $1,621 million for the first nine months of fiscal 2020. This favorable impact on Cash provided (used) by operations was primarily the result of a $1,129 million decrease in Invent</w:t>
      </w:r>
      <w:r>
        <w:rPr>
          <w:rFonts w:ascii="Arial" w:eastAsia="宋体" w:hAnsi="Arial" w:cs="Arial"/>
          <w:color w:val="000000"/>
          <w:sz w:val="17"/>
          <w:szCs w:val="17"/>
        </w:rPr>
        <w:t xml:space="preserve">ories driven by </w:t>
      </w:r>
      <w:r>
        <w:rPr>
          <w:rFonts w:ascii="Arial" w:eastAsia="宋体" w:hAnsi="Arial" w:cs="Arial"/>
          <w:color w:val="212529"/>
          <w:sz w:val="17"/>
          <w:szCs w:val="17"/>
        </w:rPr>
        <w:t>our intentional supply and demand management, as well as strong digital sales growth.</w:t>
      </w:r>
    </w:p>
    <w:p w14:paraId="669C7D4B" w14:textId="77777777" w:rsidR="00066C63" w:rsidRDefault="009656F6">
      <w:pPr>
        <w:spacing w:before="120" w:after="120"/>
      </w:pPr>
      <w:r>
        <w:rPr>
          <w:rFonts w:ascii="Arial" w:eastAsia="宋体" w:hAnsi="Arial" w:cs="Arial"/>
          <w:color w:val="000000"/>
          <w:sz w:val="17"/>
          <w:szCs w:val="17"/>
        </w:rPr>
        <w:t>Cash provided (used) by investing activities was an outflow of $3,987 million for the first nine months of fiscal 2021, compared to $758 million for the f</w:t>
      </w:r>
      <w:r>
        <w:rPr>
          <w:rFonts w:ascii="Arial" w:eastAsia="宋体" w:hAnsi="Arial" w:cs="Arial"/>
          <w:color w:val="000000"/>
          <w:sz w:val="17"/>
          <w:szCs w:val="17"/>
        </w:rPr>
        <w:t>irst nine months of fiscal 2020, primarily driven by the net change in short-term investments. For the first nine months of fiscal 2021, the net change in short-term investments (including sales, maturities and purchases) resulted in a cash outflow of $3,6</w:t>
      </w:r>
      <w:r>
        <w:rPr>
          <w:rFonts w:ascii="Arial" w:eastAsia="宋体" w:hAnsi="Arial" w:cs="Arial"/>
          <w:color w:val="000000"/>
          <w:sz w:val="17"/>
          <w:szCs w:val="17"/>
        </w:rPr>
        <w:t>50 million compared to a cash inflow of $9 million for the first nine months of fiscal 2020.</w:t>
      </w:r>
    </w:p>
    <w:p w14:paraId="669C7D4C" w14:textId="77777777" w:rsidR="00066C63" w:rsidRDefault="009656F6">
      <w:pPr>
        <w:spacing w:before="120" w:after="120"/>
      </w:pPr>
      <w:r>
        <w:rPr>
          <w:rFonts w:ascii="Arial" w:eastAsia="宋体" w:hAnsi="Arial" w:cs="Arial"/>
          <w:color w:val="000000"/>
          <w:sz w:val="17"/>
          <w:szCs w:val="17"/>
        </w:rPr>
        <w:t xml:space="preserve">Cash provided (used) by financing activities was an outflow of $612 million for the first nine months of fiscal 2021 compared to $3,310 million for the first nine </w:t>
      </w:r>
      <w:r>
        <w:rPr>
          <w:rFonts w:ascii="Arial" w:eastAsia="宋体" w:hAnsi="Arial" w:cs="Arial"/>
          <w:color w:val="000000"/>
          <w:sz w:val="17"/>
          <w:szCs w:val="17"/>
        </w:rPr>
        <w:t>months of fiscal 2020, with the decrease from the prior period driven by our election to temporarily suspend share repurchases, resulting in no share repurchases for the first nine months of fiscal 2021 compared to $2,865 million in the first nine months o</w:t>
      </w:r>
      <w:r>
        <w:rPr>
          <w:rFonts w:ascii="Arial" w:eastAsia="宋体" w:hAnsi="Arial" w:cs="Arial"/>
          <w:color w:val="000000"/>
          <w:sz w:val="17"/>
          <w:szCs w:val="17"/>
        </w:rPr>
        <w:t>f fiscal 2020.</w:t>
      </w:r>
    </w:p>
    <w:p w14:paraId="669C7D4D" w14:textId="77777777" w:rsidR="00066C63" w:rsidRDefault="009656F6">
      <w:r>
        <w:rPr>
          <w:rFonts w:ascii="Arial" w:eastAsia="宋体" w:hAnsi="Arial" w:cs="Arial"/>
          <w:color w:val="000000"/>
          <w:sz w:val="17"/>
          <w:szCs w:val="17"/>
        </w:rPr>
        <w:t>As of February 28, 2021, we had repurchased 45.2 million shares at a cost of approximately $4.0 billion (an average price of $89.00 per share) under the four-year, $15 billion share repurchase program approved by the Board of Directors in Ju</w:t>
      </w:r>
      <w:r>
        <w:rPr>
          <w:rFonts w:ascii="Arial" w:eastAsia="宋体" w:hAnsi="Arial" w:cs="Arial"/>
          <w:color w:val="000000"/>
          <w:sz w:val="17"/>
          <w:szCs w:val="17"/>
        </w:rPr>
        <w:t>ne 2018. To enhance our liquidity position in response to COVID-19, during the fourth quarter of fiscal 2020, we elected to temporarily suspend share repurchases under our existing share repurchase program. As such, there were no share repurchases made dur</w:t>
      </w:r>
      <w:r>
        <w:rPr>
          <w:rFonts w:ascii="Arial" w:eastAsia="宋体" w:hAnsi="Arial" w:cs="Arial"/>
          <w:color w:val="000000"/>
          <w:sz w:val="17"/>
          <w:szCs w:val="17"/>
        </w:rPr>
        <w:t>ing the nine months ended February 28, 2021. The existing program remains authorized by the Board of Directors and we expect to resume share repurchases in the fourth quarter of fiscal 2021. We continue to expect funding of share repurchases will come from</w:t>
      </w:r>
      <w:r>
        <w:rPr>
          <w:rFonts w:ascii="Arial" w:eastAsia="宋体" w:hAnsi="Arial" w:cs="Arial"/>
          <w:color w:val="000000"/>
          <w:sz w:val="17"/>
          <w:szCs w:val="17"/>
        </w:rPr>
        <w:t xml:space="preserve"> operating cash flows and excess cash. </w:t>
      </w:r>
    </w:p>
    <w:p w14:paraId="669C7D4E" w14:textId="77777777" w:rsidR="00066C63" w:rsidRDefault="009656F6">
      <w:pPr>
        <w:spacing w:before="240" w:after="120"/>
      </w:pPr>
      <w:r>
        <w:rPr>
          <w:rFonts w:ascii="sans-serif" w:eastAsia="sans-serif" w:hAnsi="sans-serif" w:cs="sans-serif"/>
          <w:b/>
          <w:bCs/>
          <w:color w:val="000000"/>
          <w:sz w:val="28"/>
          <w:szCs w:val="28"/>
        </w:rPr>
        <w:t>CAPITAL RESOURCES</w:t>
      </w:r>
    </w:p>
    <w:p w14:paraId="669C7D4F" w14:textId="77777777" w:rsidR="00066C63" w:rsidRDefault="009656F6">
      <w:pPr>
        <w:spacing w:before="120" w:after="120"/>
      </w:pPr>
      <w:r>
        <w:rPr>
          <w:rFonts w:ascii="Arial" w:eastAsia="宋体" w:hAnsi="Arial" w:cs="Arial"/>
          <w:color w:val="000000"/>
          <w:sz w:val="17"/>
          <w:szCs w:val="17"/>
        </w:rPr>
        <w:t>On July 23, 2019, we filed a shelf registration statement (the “Shelf”) with the U.S. Securities and Exchange Commission (SEC) which permits us to issue an unlimited amount of debt securities from t</w:t>
      </w:r>
      <w:r>
        <w:rPr>
          <w:rFonts w:ascii="Arial" w:eastAsia="宋体" w:hAnsi="Arial" w:cs="Arial"/>
          <w:color w:val="000000"/>
          <w:sz w:val="17"/>
          <w:szCs w:val="17"/>
        </w:rPr>
        <w:t>ime to time. The Shelf expires on July 23, 2022.</w:t>
      </w:r>
    </w:p>
    <w:p w14:paraId="669C7D50" w14:textId="77777777" w:rsidR="00066C63" w:rsidRDefault="009656F6">
      <w:pPr>
        <w:spacing w:before="120" w:after="120"/>
      </w:pPr>
      <w:r>
        <w:rPr>
          <w:rFonts w:ascii="Arial" w:eastAsia="宋体" w:hAnsi="Arial" w:cs="Arial"/>
          <w:color w:val="000000"/>
          <w:sz w:val="17"/>
          <w:szCs w:val="17"/>
        </w:rPr>
        <w:t>As of February 28, 2021, our committed credit facilities were unchanged from the information previously reported on Form 10-K for the fiscal year ended May 31, 2020. We currently have long-term debt ratings of AA- and A1 from Standard and Poor's Corporatio</w:t>
      </w:r>
      <w:r>
        <w:rPr>
          <w:rFonts w:ascii="Arial" w:eastAsia="宋体" w:hAnsi="Arial" w:cs="Arial"/>
          <w:color w:val="000000"/>
          <w:sz w:val="17"/>
          <w:szCs w:val="17"/>
        </w:rPr>
        <w:t>n and Moody's Investor Services, respectively. Any changes to these ratings could result in interest rate and facility fee changes. As of February 28, 2021, we were in full compliance with the covenants under our facilities and believe it is unlikely we wi</w:t>
      </w:r>
      <w:r>
        <w:rPr>
          <w:rFonts w:ascii="Arial" w:eastAsia="宋体" w:hAnsi="Arial" w:cs="Arial"/>
          <w:color w:val="000000"/>
          <w:sz w:val="17"/>
          <w:szCs w:val="17"/>
        </w:rPr>
        <w:t>ll fail to meet any of the covenants in the foreseeable future. As of February 28, 2021 and May 31, 2020, no amounts were outstanding under our committed credit facilities. On March 15, 2021, subsequent to the end of the third quarter of fiscal 2021, we en</w:t>
      </w:r>
      <w:r>
        <w:rPr>
          <w:rFonts w:ascii="Arial" w:eastAsia="宋体" w:hAnsi="Arial" w:cs="Arial"/>
          <w:color w:val="000000"/>
          <w:sz w:val="17"/>
          <w:szCs w:val="17"/>
        </w:rPr>
        <w:t>tered into a committed credit facility agreement with a syndicate of banks which provides for up to $1 billion of borrowings, with the option to increase borrowings up to $1.5 billion in total upon lender approval. The facility matures on March 14, 2022, w</w:t>
      </w:r>
      <w:r>
        <w:rPr>
          <w:rFonts w:ascii="Arial" w:eastAsia="宋体" w:hAnsi="Arial" w:cs="Arial"/>
          <w:color w:val="000000"/>
          <w:sz w:val="17"/>
          <w:szCs w:val="17"/>
        </w:rPr>
        <w:t xml:space="preserve">ith a </w:t>
      </w:r>
    </w:p>
    <w:p w14:paraId="669C7D51" w14:textId="77777777" w:rsidR="00066C63" w:rsidRDefault="009656F6">
      <w:pPr>
        <w:spacing w:before="120" w:after="120"/>
      </w:pPr>
      <w:r>
        <w:rPr>
          <w:rFonts w:ascii="Arial" w:eastAsia="宋体" w:hAnsi="Arial" w:cs="Arial"/>
          <w:color w:val="E87722"/>
          <w:sz w:val="17"/>
          <w:szCs w:val="17"/>
        </w:rPr>
        <w:t>42</w:t>
      </w:r>
      <w:r>
        <w:rPr>
          <w:rFonts w:ascii="sans-serif" w:eastAsia="sans-serif" w:hAnsi="sans-serif" w:cs="sans-serif"/>
          <w:color w:val="000000"/>
          <w:sz w:val="17"/>
          <w:szCs w:val="17"/>
        </w:rPr>
        <w:t xml:space="preserve"> </w:t>
      </w:r>
    </w:p>
    <w:p w14:paraId="669C7D52" w14:textId="77777777" w:rsidR="00066C63" w:rsidRDefault="009656F6">
      <w:r>
        <w:pict w14:anchorId="669C7E5A">
          <v:rect id="_x0000_i1068" style="width:415.3pt;height:1.5pt" o:hralign="center" o:hrstd="t" o:hr="t" fillcolor="#a0a0a0" stroked="f"/>
        </w:pict>
      </w:r>
    </w:p>
    <w:p w14:paraId="669C7D53" w14:textId="77777777" w:rsidR="00066C63" w:rsidRDefault="00066C63"/>
    <w:p w14:paraId="669C7D54" w14:textId="77777777" w:rsidR="00066C63" w:rsidRDefault="009656F6">
      <w:hyperlink r:id="rId112" w:anchor="i1e99cb26debe49fe8b698d0f0eb1273a_7" w:history="1">
        <w:r>
          <w:rPr>
            <w:rStyle w:val="a5"/>
            <w:rFonts w:ascii="sans-serif" w:eastAsia="sans-serif" w:hAnsi="sans-serif" w:cs="sans-serif"/>
            <w:sz w:val="17"/>
            <w:szCs w:val="17"/>
          </w:rPr>
          <w:t>Table of Contents</w:t>
        </w:r>
      </w:hyperlink>
    </w:p>
    <w:p w14:paraId="669C7D55" w14:textId="77777777" w:rsidR="00066C63" w:rsidRDefault="00066C63"/>
    <w:p w14:paraId="669C7D56" w14:textId="77777777" w:rsidR="00066C63" w:rsidRDefault="009656F6">
      <w:pPr>
        <w:spacing w:before="120" w:after="120"/>
      </w:pPr>
      <w:r>
        <w:rPr>
          <w:rFonts w:ascii="Arial" w:eastAsia="宋体" w:hAnsi="Arial" w:cs="Arial"/>
          <w:color w:val="000000"/>
          <w:sz w:val="17"/>
          <w:szCs w:val="17"/>
        </w:rPr>
        <w:t>364-day extension option up to 30 days prior to the existing termination date, provid</w:t>
      </w:r>
      <w:r>
        <w:rPr>
          <w:rFonts w:ascii="Arial" w:eastAsia="宋体" w:hAnsi="Arial" w:cs="Arial"/>
          <w:color w:val="000000"/>
          <w:sz w:val="17"/>
          <w:szCs w:val="17"/>
        </w:rPr>
        <w:t>ed that in no event shall it extend beyond March 13, 2023. This facility replaces the prior $2 billion credit facility agreement entered into on April 6, 2020, which would have matured on April 5, 2021. Refer to Note 5 — Short-Term Borrowings and Credit Li</w:t>
      </w:r>
      <w:r>
        <w:rPr>
          <w:rFonts w:ascii="Arial" w:eastAsia="宋体" w:hAnsi="Arial" w:cs="Arial"/>
          <w:color w:val="000000"/>
          <w:sz w:val="17"/>
          <w:szCs w:val="17"/>
        </w:rPr>
        <w:t>nes for additional information.</w:t>
      </w:r>
    </w:p>
    <w:p w14:paraId="669C7D57" w14:textId="77777777" w:rsidR="00066C63" w:rsidRDefault="009656F6">
      <w:pPr>
        <w:spacing w:before="120" w:after="120"/>
      </w:pPr>
      <w:r>
        <w:rPr>
          <w:rFonts w:ascii="Arial" w:eastAsia="宋体" w:hAnsi="Arial" w:cs="Arial"/>
          <w:color w:val="000000"/>
          <w:sz w:val="17"/>
          <w:szCs w:val="17"/>
        </w:rPr>
        <w:t>Liquidity was also provided by our $4 billion commercial paper program. During the three months ended February 28, 2021, the maximum amount of commercial paper borrowings outstanding at any point was $23 million. As of Febru</w:t>
      </w:r>
      <w:r>
        <w:rPr>
          <w:rFonts w:ascii="Arial" w:eastAsia="宋体" w:hAnsi="Arial" w:cs="Arial"/>
          <w:color w:val="000000"/>
          <w:sz w:val="17"/>
          <w:szCs w:val="17"/>
        </w:rPr>
        <w:t xml:space="preserve">ary 28, 2021, we had no borrowings outstanding under our $4 billion program. As of May 31, 2020, we had $248 million of borrowings outstanding at a weighted average interest rate of 1.65%. Additionally, we decreased our $4 billion commercial paper program </w:t>
      </w:r>
      <w:r>
        <w:rPr>
          <w:rFonts w:ascii="Arial" w:eastAsia="宋体" w:hAnsi="Arial" w:cs="Arial"/>
          <w:color w:val="000000"/>
          <w:sz w:val="17"/>
          <w:szCs w:val="17"/>
        </w:rPr>
        <w:t>to $3 billion in connection with the new credit facility agreement entered into on March 15, 2021, as described above. We may continue to issue commercial paper or other debt securities depending on general corporate needs. We currently have short-term deb</w:t>
      </w:r>
      <w:r>
        <w:rPr>
          <w:rFonts w:ascii="Arial" w:eastAsia="宋体" w:hAnsi="Arial" w:cs="Arial"/>
          <w:color w:val="000000"/>
          <w:sz w:val="17"/>
          <w:szCs w:val="17"/>
        </w:rPr>
        <w:t xml:space="preserve">t ratings of A1+ and P1 from Standard and Poor's Corporation and Moody's Investor Services, respectively. </w:t>
      </w:r>
    </w:p>
    <w:p w14:paraId="669C7D58" w14:textId="77777777" w:rsidR="00066C63" w:rsidRDefault="009656F6">
      <w:pPr>
        <w:spacing w:before="120" w:after="120"/>
      </w:pPr>
      <w:r>
        <w:rPr>
          <w:rFonts w:ascii="Arial" w:eastAsia="宋体" w:hAnsi="Arial" w:cs="Arial"/>
          <w:color w:val="000000"/>
          <w:sz w:val="17"/>
          <w:szCs w:val="17"/>
        </w:rPr>
        <w:t>To date, in fiscal 2021, we have not experienced difficulty accessing the credit markets; however, future volatility in the capital markets may incre</w:t>
      </w:r>
      <w:r>
        <w:rPr>
          <w:rFonts w:ascii="Arial" w:eastAsia="宋体" w:hAnsi="Arial" w:cs="Arial"/>
          <w:color w:val="000000"/>
          <w:sz w:val="17"/>
          <w:szCs w:val="17"/>
        </w:rPr>
        <w:t>ase costs associated with issuing commercial paper or other debt instruments or affect our ability to access those markets.</w:t>
      </w:r>
    </w:p>
    <w:p w14:paraId="669C7D59" w14:textId="77777777" w:rsidR="00066C63" w:rsidRDefault="009656F6">
      <w:pPr>
        <w:spacing w:before="120" w:after="120"/>
      </w:pPr>
      <w:r>
        <w:rPr>
          <w:rFonts w:ascii="Arial" w:eastAsia="宋体" w:hAnsi="Arial" w:cs="Arial"/>
          <w:color w:val="000000"/>
          <w:sz w:val="17"/>
          <w:szCs w:val="17"/>
        </w:rPr>
        <w:t>As of February 28, 2021, we had cash, cash equivalents and short-term investments totaling $12.5 billion, primarily consisting of co</w:t>
      </w:r>
      <w:r>
        <w:rPr>
          <w:rFonts w:ascii="Arial" w:eastAsia="宋体" w:hAnsi="Arial" w:cs="Arial"/>
          <w:color w:val="000000"/>
          <w:sz w:val="17"/>
          <w:szCs w:val="17"/>
        </w:rPr>
        <w:t>mmercial paper, corporate notes, deposits held at major banks, money market funds, U.S. government sponsored enterprise obligations, U.S. Treasury obligations and other investment grade fixed-income securities. Our fixed-income investments are exposed to b</w:t>
      </w:r>
      <w:r>
        <w:rPr>
          <w:rFonts w:ascii="Arial" w:eastAsia="宋体" w:hAnsi="Arial" w:cs="Arial"/>
          <w:color w:val="000000"/>
          <w:sz w:val="17"/>
          <w:szCs w:val="17"/>
        </w:rPr>
        <w:t>oth credit and interest rate risk. All of our investments are investment grade to minimize our credit risk. While individual securities have varying durations, as of February 28, 2021, the weighted-average days to maturity of our cash equivalents and short</w:t>
      </w:r>
      <w:r>
        <w:rPr>
          <w:rFonts w:ascii="Arial" w:eastAsia="宋体" w:hAnsi="Arial" w:cs="Arial"/>
          <w:color w:val="000000"/>
          <w:sz w:val="17"/>
          <w:szCs w:val="17"/>
        </w:rPr>
        <w:t>-term investments portfolio was 62 days.</w:t>
      </w:r>
    </w:p>
    <w:p w14:paraId="669C7D5A" w14:textId="77777777" w:rsidR="00066C63" w:rsidRDefault="009656F6">
      <w:pPr>
        <w:spacing w:before="120" w:after="120"/>
      </w:pPr>
      <w:r>
        <w:rPr>
          <w:rFonts w:ascii="Arial" w:eastAsia="宋体" w:hAnsi="Arial" w:cs="Arial"/>
          <w:color w:val="000000"/>
          <w:sz w:val="17"/>
          <w:szCs w:val="17"/>
        </w:rPr>
        <w:t>We believe that existing cash, cash equivalents, short-term investments and cash generated by operations, together with access to external sources of funds as described above, will be sufficient to meet our domestic</w:t>
      </w:r>
      <w:r>
        <w:rPr>
          <w:rFonts w:ascii="Arial" w:eastAsia="宋体" w:hAnsi="Arial" w:cs="Arial"/>
          <w:color w:val="000000"/>
          <w:sz w:val="17"/>
          <w:szCs w:val="17"/>
        </w:rPr>
        <w:t xml:space="preserve"> and foreign capital needs in the foreseeable future.</w:t>
      </w:r>
    </w:p>
    <w:p w14:paraId="669C7D5B" w14:textId="77777777" w:rsidR="00066C63" w:rsidRDefault="009656F6">
      <w:pPr>
        <w:spacing w:before="120" w:after="120"/>
      </w:pPr>
      <w:r>
        <w:rPr>
          <w:rFonts w:ascii="Arial" w:eastAsia="宋体" w:hAnsi="Arial" w:cs="Arial"/>
          <w:color w:val="000000"/>
          <w:sz w:val="17"/>
          <w:szCs w:val="17"/>
        </w:rPr>
        <w:t>We utilize a variety of tax planning and financing strategies to manage our worldwide cash and deploy funds to locations where they are needed. We indefinitely reinvest a significant portion of our fore</w:t>
      </w:r>
      <w:r>
        <w:rPr>
          <w:rFonts w:ascii="Arial" w:eastAsia="宋体" w:hAnsi="Arial" w:cs="Arial"/>
          <w:color w:val="000000"/>
          <w:sz w:val="17"/>
          <w:szCs w:val="17"/>
        </w:rPr>
        <w:t>ign earnings, and our current plans do not demonstrate a need to repatriate these earnings. Should we require additional capital in the United States, we may determine to repatriate indefinitely reinvested foreign funds or raise capital in the United State</w:t>
      </w:r>
      <w:r>
        <w:rPr>
          <w:rFonts w:ascii="Arial" w:eastAsia="宋体" w:hAnsi="Arial" w:cs="Arial"/>
          <w:color w:val="000000"/>
          <w:sz w:val="17"/>
          <w:szCs w:val="17"/>
        </w:rPr>
        <w:t>s through debt. Given our existing structure, if we were to repatriate indefinitely reinvested foreign earnings, we would be required to accrue and pay withholding taxes in certain foreign jurisdictions.</w:t>
      </w:r>
    </w:p>
    <w:p w14:paraId="669C7D5C" w14:textId="77777777" w:rsidR="00066C63" w:rsidRDefault="009656F6">
      <w:pPr>
        <w:spacing w:before="240" w:after="120"/>
      </w:pPr>
      <w:r>
        <w:rPr>
          <w:rFonts w:ascii="sans-serif" w:eastAsia="sans-serif" w:hAnsi="sans-serif" w:cs="sans-serif"/>
          <w:b/>
          <w:bCs/>
          <w:color w:val="000000"/>
          <w:sz w:val="28"/>
          <w:szCs w:val="28"/>
        </w:rPr>
        <w:t>OFF-BALANCE SHEET ARRANGEMENTS</w:t>
      </w:r>
    </w:p>
    <w:p w14:paraId="669C7D5D" w14:textId="77777777" w:rsidR="00066C63" w:rsidRDefault="009656F6">
      <w:pPr>
        <w:spacing w:before="120" w:after="120"/>
      </w:pPr>
      <w:r>
        <w:rPr>
          <w:rFonts w:ascii="Arial" w:eastAsia="宋体" w:hAnsi="Arial" w:cs="Arial"/>
          <w:color w:val="000000"/>
          <w:sz w:val="17"/>
          <w:szCs w:val="17"/>
        </w:rPr>
        <w:t>As of February 28, 20</w:t>
      </w:r>
      <w:r>
        <w:rPr>
          <w:rFonts w:ascii="Arial" w:eastAsia="宋体" w:hAnsi="Arial" w:cs="Arial"/>
          <w:color w:val="000000"/>
          <w:sz w:val="17"/>
          <w:szCs w:val="17"/>
        </w:rPr>
        <w:t>21, we did not have any off-balance sheet arrangements that have, or are reasonably likely to have, a material current or future effect on our financial condition, results of operations, liquidity, capital expenditures or capital resources.</w:t>
      </w:r>
    </w:p>
    <w:p w14:paraId="669C7D5E" w14:textId="77777777" w:rsidR="00066C63" w:rsidRDefault="009656F6">
      <w:pPr>
        <w:spacing w:before="240" w:after="120"/>
      </w:pPr>
      <w:r>
        <w:rPr>
          <w:rFonts w:ascii="sans-serif" w:eastAsia="sans-serif" w:hAnsi="sans-serif" w:cs="sans-serif"/>
          <w:b/>
          <w:bCs/>
          <w:color w:val="000000"/>
          <w:sz w:val="28"/>
          <w:szCs w:val="28"/>
        </w:rPr>
        <w:t>CONTRACTUAL OBL</w:t>
      </w:r>
      <w:r>
        <w:rPr>
          <w:rFonts w:ascii="sans-serif" w:eastAsia="sans-serif" w:hAnsi="sans-serif" w:cs="sans-serif"/>
          <w:b/>
          <w:bCs/>
          <w:color w:val="000000"/>
          <w:sz w:val="28"/>
          <w:szCs w:val="28"/>
        </w:rPr>
        <w:t>IGATIONS</w:t>
      </w:r>
    </w:p>
    <w:p w14:paraId="669C7D5F" w14:textId="77777777" w:rsidR="00066C63" w:rsidRDefault="009656F6">
      <w:pPr>
        <w:spacing w:before="120" w:after="120"/>
      </w:pPr>
      <w:r>
        <w:rPr>
          <w:rFonts w:ascii="Arial" w:eastAsia="宋体" w:hAnsi="Arial" w:cs="Arial"/>
          <w:color w:val="000000"/>
          <w:sz w:val="17"/>
          <w:szCs w:val="17"/>
        </w:rPr>
        <w:t>There have been no significant changes to the contractual obligations reported in our Annual Report on Form 10-K for the fiscal year ended May 31, 2020.</w:t>
      </w:r>
    </w:p>
    <w:p w14:paraId="669C7D60" w14:textId="77777777" w:rsidR="00066C63" w:rsidRDefault="009656F6">
      <w:pPr>
        <w:spacing w:before="300" w:after="120"/>
      </w:pPr>
      <w:r>
        <w:rPr>
          <w:rFonts w:ascii="sans-serif" w:eastAsia="sans-serif" w:hAnsi="sans-serif" w:cs="sans-serif"/>
          <w:b/>
          <w:bCs/>
          <w:color w:val="E87722"/>
          <w:sz w:val="36"/>
          <w:szCs w:val="36"/>
        </w:rPr>
        <w:t>NEW ACCOUNTING PRONOUNCEMENTS</w:t>
      </w:r>
    </w:p>
    <w:p w14:paraId="669C7D61" w14:textId="77777777" w:rsidR="00066C63" w:rsidRDefault="009656F6">
      <w:pPr>
        <w:spacing w:before="120" w:after="120"/>
      </w:pPr>
      <w:r>
        <w:rPr>
          <w:rFonts w:ascii="Arial" w:eastAsia="宋体" w:hAnsi="Arial" w:cs="Arial"/>
          <w:color w:val="000000"/>
          <w:sz w:val="17"/>
          <w:szCs w:val="17"/>
        </w:rPr>
        <w:t>There have been no material changes in recently issued or adopte</w:t>
      </w:r>
      <w:r>
        <w:rPr>
          <w:rFonts w:ascii="Arial" w:eastAsia="宋体" w:hAnsi="Arial" w:cs="Arial"/>
          <w:color w:val="000000"/>
          <w:sz w:val="17"/>
          <w:szCs w:val="17"/>
        </w:rPr>
        <w:t>d accounting standards from those disclosed in our Annual Report on Form 10-K for the fiscal year ended May 31, 2020.</w:t>
      </w:r>
    </w:p>
    <w:p w14:paraId="669C7D62" w14:textId="77777777" w:rsidR="00066C63" w:rsidRDefault="009656F6">
      <w:pPr>
        <w:spacing w:before="300" w:after="120"/>
      </w:pPr>
      <w:r>
        <w:rPr>
          <w:rFonts w:ascii="sans-serif" w:eastAsia="sans-serif" w:hAnsi="sans-serif" w:cs="sans-serif"/>
          <w:b/>
          <w:bCs/>
          <w:color w:val="E87722"/>
          <w:sz w:val="36"/>
          <w:szCs w:val="36"/>
        </w:rPr>
        <w:t>CRITICAL ACCOUNTING POLICIES</w:t>
      </w:r>
    </w:p>
    <w:p w14:paraId="669C7D63" w14:textId="77777777" w:rsidR="00066C63" w:rsidRDefault="009656F6">
      <w:pPr>
        <w:spacing w:before="120" w:after="120"/>
      </w:pPr>
      <w:r>
        <w:rPr>
          <w:rFonts w:ascii="Arial" w:eastAsia="宋体" w:hAnsi="Arial" w:cs="Arial"/>
          <w:color w:val="000000"/>
          <w:sz w:val="17"/>
          <w:szCs w:val="17"/>
        </w:rPr>
        <w:t>Our discussion and analysis of our financial condition and results of operations are based upon our Unaudited</w:t>
      </w:r>
      <w:r>
        <w:rPr>
          <w:rFonts w:ascii="Arial" w:eastAsia="宋体" w:hAnsi="Arial" w:cs="Arial"/>
          <w:color w:val="000000"/>
          <w:sz w:val="17"/>
          <w:szCs w:val="17"/>
        </w:rPr>
        <w:t xml:space="preserve"> Condensed Consolidated Financial Statements, which have been prepared in accordance with accounting principles generally accepted in the United States of America. The preparation of these financial statements requires us to make estimates and judgments th</w:t>
      </w:r>
      <w:r>
        <w:rPr>
          <w:rFonts w:ascii="Arial" w:eastAsia="宋体" w:hAnsi="Arial" w:cs="Arial"/>
          <w:color w:val="000000"/>
          <w:sz w:val="17"/>
          <w:szCs w:val="17"/>
        </w:rPr>
        <w:t xml:space="preserve">at affect the reported amounts of assets, liabilities, revenues and expenses and related disclosure of contingent assets and liabilities. </w:t>
      </w:r>
    </w:p>
    <w:p w14:paraId="669C7D64" w14:textId="77777777" w:rsidR="00066C63" w:rsidRDefault="009656F6">
      <w:pPr>
        <w:spacing w:before="120" w:after="120"/>
      </w:pPr>
      <w:r>
        <w:rPr>
          <w:rFonts w:ascii="Arial" w:eastAsia="宋体" w:hAnsi="Arial" w:cs="Arial"/>
          <w:color w:val="000000"/>
          <w:sz w:val="17"/>
          <w:szCs w:val="17"/>
        </w:rPr>
        <w:t>We believe that the estimates, assumptions and judgments involved in the accounting policies described in the “Manage</w:t>
      </w:r>
      <w:r>
        <w:rPr>
          <w:rFonts w:ascii="Arial" w:eastAsia="宋体" w:hAnsi="Arial" w:cs="Arial"/>
          <w:color w:val="000000"/>
          <w:sz w:val="17"/>
          <w:szCs w:val="17"/>
        </w:rPr>
        <w:t>ment's Discussion and Analysis of Financial Condition and Results of Operations” section of our most recent Annual Report on Form 10-K have the greatest potential impact on our financial statements, so we consider these to be our critical accounting polici</w:t>
      </w:r>
      <w:r>
        <w:rPr>
          <w:rFonts w:ascii="Arial" w:eastAsia="宋体" w:hAnsi="Arial" w:cs="Arial"/>
          <w:color w:val="000000"/>
          <w:sz w:val="17"/>
          <w:szCs w:val="17"/>
        </w:rPr>
        <w:t>es. Actual results could differ from the estimates we use in applying our critical accounting policies. We are not currently aware of any reasonably likely events or circumstances that would result in materially different amounts being reported.</w:t>
      </w:r>
    </w:p>
    <w:p w14:paraId="669C7D65" w14:textId="77777777" w:rsidR="00066C63" w:rsidRDefault="009656F6">
      <w:pPr>
        <w:spacing w:before="120" w:after="120"/>
        <w:jc w:val="right"/>
      </w:pPr>
      <w:r>
        <w:rPr>
          <w:rFonts w:ascii="Arial" w:eastAsia="宋体" w:hAnsi="Arial" w:cs="Arial"/>
          <w:color w:val="E87722"/>
          <w:sz w:val="17"/>
          <w:szCs w:val="17"/>
        </w:rPr>
        <w:t>43</w:t>
      </w:r>
    </w:p>
    <w:p w14:paraId="669C7D66" w14:textId="77777777" w:rsidR="00066C63" w:rsidRDefault="009656F6">
      <w:r>
        <w:pict w14:anchorId="669C7E5B">
          <v:rect id="_x0000_i1069" style="width:415.3pt;height:1.5pt" o:hralign="center" o:hrstd="t" o:hr="t" fillcolor="#a0a0a0" stroked="f"/>
        </w:pict>
      </w:r>
    </w:p>
    <w:p w14:paraId="669C7D67" w14:textId="77777777" w:rsidR="00066C63" w:rsidRDefault="00066C63"/>
    <w:p w14:paraId="669C7D68" w14:textId="77777777" w:rsidR="00066C63" w:rsidRDefault="009656F6">
      <w:hyperlink r:id="rId113" w:anchor="i1e99cb26debe49fe8b698d0f0eb1273a_7" w:history="1">
        <w:r>
          <w:rPr>
            <w:rStyle w:val="a5"/>
            <w:rFonts w:ascii="sans-serif" w:eastAsia="sans-serif" w:hAnsi="sans-serif" w:cs="sans-serif"/>
            <w:sz w:val="17"/>
            <w:szCs w:val="17"/>
          </w:rPr>
          <w:t>Table of Contents</w:t>
        </w:r>
      </w:hyperlink>
    </w:p>
    <w:p w14:paraId="669C7D69" w14:textId="77777777" w:rsidR="00066C63" w:rsidRDefault="00066C63"/>
    <w:p w14:paraId="669C7D6A" w14:textId="77777777" w:rsidR="00066C63" w:rsidRDefault="009656F6">
      <w:pPr>
        <w:spacing w:before="360" w:after="180"/>
      </w:pPr>
      <w:r>
        <w:rPr>
          <w:rFonts w:ascii="sans-serif" w:eastAsia="sans-serif" w:hAnsi="sans-serif" w:cs="sans-serif"/>
          <w:color w:val="000000"/>
          <w:sz w:val="44"/>
          <w:szCs w:val="44"/>
        </w:rPr>
        <w:t>ITEM 3. QUANTITATIVE AND QUALITATIVE DISCLOSURES ABOUT MARKET RISK</w:t>
      </w:r>
    </w:p>
    <w:p w14:paraId="669C7D6B" w14:textId="77777777" w:rsidR="00066C63" w:rsidRDefault="009656F6">
      <w:r>
        <w:rPr>
          <w:rFonts w:ascii="Arial" w:eastAsia="宋体" w:hAnsi="Arial" w:cs="Arial"/>
          <w:color w:val="000000"/>
          <w:sz w:val="17"/>
          <w:szCs w:val="17"/>
        </w:rPr>
        <w:t xml:space="preserve">There have </w:t>
      </w:r>
      <w:r>
        <w:rPr>
          <w:rFonts w:ascii="Arial" w:eastAsia="宋体" w:hAnsi="Arial" w:cs="Arial"/>
          <w:color w:val="000000"/>
          <w:sz w:val="17"/>
          <w:szCs w:val="17"/>
        </w:rPr>
        <w:t>been no material changes from the information previously reported under Part II, Item 7A of our Annual Report on Form 10-K for the fiscal year ended May 31, 2020.</w:t>
      </w:r>
    </w:p>
    <w:p w14:paraId="669C7D6C" w14:textId="77777777" w:rsidR="00066C63" w:rsidRDefault="009656F6">
      <w:pPr>
        <w:spacing w:before="360" w:after="180"/>
      </w:pPr>
      <w:r>
        <w:rPr>
          <w:rFonts w:ascii="sans-serif" w:eastAsia="sans-serif" w:hAnsi="sans-serif" w:cs="sans-serif"/>
          <w:color w:val="000000"/>
          <w:sz w:val="44"/>
          <w:szCs w:val="44"/>
        </w:rPr>
        <w:t>ITEM 4. CONTROLS AND PROCEDURES</w:t>
      </w:r>
    </w:p>
    <w:p w14:paraId="669C7D6D" w14:textId="77777777" w:rsidR="00066C63" w:rsidRDefault="009656F6">
      <w:pPr>
        <w:spacing w:before="120" w:after="120"/>
      </w:pPr>
      <w:r>
        <w:rPr>
          <w:rFonts w:ascii="Arial" w:eastAsia="宋体" w:hAnsi="Arial" w:cs="Arial"/>
          <w:color w:val="000000"/>
          <w:sz w:val="17"/>
          <w:szCs w:val="17"/>
        </w:rPr>
        <w:t>We maintain disclosure controls and procedures that are desig</w:t>
      </w:r>
      <w:r>
        <w:rPr>
          <w:rFonts w:ascii="Arial" w:eastAsia="宋体" w:hAnsi="Arial" w:cs="Arial"/>
          <w:color w:val="000000"/>
          <w:sz w:val="17"/>
          <w:szCs w:val="17"/>
        </w:rPr>
        <w:t>ned to provide reasonable assurance that information required to be disclosed in our Securities Exchange Act of 1934, as amended ("the Exchange Act") reports is recorded, processed, summarized and reported within the time periods specified in the Securitie</w:t>
      </w:r>
      <w:r>
        <w:rPr>
          <w:rFonts w:ascii="Arial" w:eastAsia="宋体" w:hAnsi="Arial" w:cs="Arial"/>
          <w:color w:val="000000"/>
          <w:sz w:val="17"/>
          <w:szCs w:val="17"/>
        </w:rPr>
        <w:t>s and Exchange Commission's rules and forms and that such information is accumulated and communicated to our management, including our Chief Executive Officer and Chief Financial Officer, as appropriate, to allow for timely decisions regarding required dis</w:t>
      </w:r>
      <w:r>
        <w:rPr>
          <w:rFonts w:ascii="Arial" w:eastAsia="宋体" w:hAnsi="Arial" w:cs="Arial"/>
          <w:color w:val="000000"/>
          <w:sz w:val="17"/>
          <w:szCs w:val="17"/>
        </w:rPr>
        <w:t>closure. In designing and evaluating the disclosure controls and procedures, management recognizes that any controls and procedures, no matter how well designed and operated, can provide only reasonable assurance of achieving the desired control objectives</w:t>
      </w:r>
      <w:r>
        <w:rPr>
          <w:rFonts w:ascii="Arial" w:eastAsia="宋体" w:hAnsi="Arial" w:cs="Arial"/>
          <w:color w:val="000000"/>
          <w:sz w:val="17"/>
          <w:szCs w:val="17"/>
        </w:rPr>
        <w:t>, and management is required to apply its judgment in evaluating the cost-benefit relationship of possible controls and procedures.</w:t>
      </w:r>
    </w:p>
    <w:p w14:paraId="669C7D6E" w14:textId="77777777" w:rsidR="00066C63" w:rsidRDefault="009656F6">
      <w:pPr>
        <w:spacing w:before="120" w:after="120"/>
      </w:pPr>
      <w:r>
        <w:rPr>
          <w:rFonts w:ascii="Arial" w:eastAsia="宋体" w:hAnsi="Arial" w:cs="Arial"/>
          <w:color w:val="000000"/>
          <w:sz w:val="17"/>
          <w:szCs w:val="17"/>
        </w:rPr>
        <w:t xml:space="preserve">We carry out a variety of ongoing procedures, under the supervision and with the participation of our management, including </w:t>
      </w:r>
      <w:r>
        <w:rPr>
          <w:rFonts w:ascii="Arial" w:eastAsia="宋体" w:hAnsi="Arial" w:cs="Arial"/>
          <w:color w:val="000000"/>
          <w:sz w:val="17"/>
          <w:szCs w:val="17"/>
        </w:rPr>
        <w:t>our Chief Executive Officer and Chief Financial Officer, to evaluate the effectiveness of the design and operation of our disclosure controls and procedures. Based on the foregoing, our Chief Executive Officer and Chief Financial Officer concluded that our</w:t>
      </w:r>
      <w:r>
        <w:rPr>
          <w:rFonts w:ascii="Arial" w:eastAsia="宋体" w:hAnsi="Arial" w:cs="Arial"/>
          <w:color w:val="000000"/>
          <w:sz w:val="17"/>
          <w:szCs w:val="17"/>
        </w:rPr>
        <w:t xml:space="preserve"> disclosure controls and procedures were effective at the reasonable assurance level as of February 28, 2021.</w:t>
      </w:r>
    </w:p>
    <w:p w14:paraId="669C7D6F" w14:textId="77777777" w:rsidR="00066C63" w:rsidRDefault="009656F6">
      <w:pPr>
        <w:spacing w:before="120" w:after="120"/>
      </w:pPr>
      <w:r>
        <w:rPr>
          <w:rFonts w:ascii="Arial" w:eastAsia="宋体" w:hAnsi="Arial" w:cs="Arial"/>
          <w:color w:val="000000"/>
          <w:sz w:val="17"/>
          <w:szCs w:val="17"/>
        </w:rPr>
        <w:t>We are continuing several transformation initiatives to centralize and simplify our business processes and systems. These are long-term initiative</w:t>
      </w:r>
      <w:r>
        <w:rPr>
          <w:rFonts w:ascii="Arial" w:eastAsia="宋体" w:hAnsi="Arial" w:cs="Arial"/>
          <w:color w:val="000000"/>
          <w:sz w:val="17"/>
          <w:szCs w:val="17"/>
        </w:rPr>
        <w:t xml:space="preserve">s, which we believe will enhance our internal control over financial reporting due to increased automation and further integration of related processes. We will continue to monitor our internal control over financial reporting for effectiveness throughout </w:t>
      </w:r>
      <w:r>
        <w:rPr>
          <w:rFonts w:ascii="Arial" w:eastAsia="宋体" w:hAnsi="Arial" w:cs="Arial"/>
          <w:color w:val="000000"/>
          <w:sz w:val="17"/>
          <w:szCs w:val="17"/>
        </w:rPr>
        <w:t>these transformation initiatives.</w:t>
      </w:r>
    </w:p>
    <w:p w14:paraId="669C7D70" w14:textId="77777777" w:rsidR="00066C63" w:rsidRDefault="009656F6">
      <w:pPr>
        <w:spacing w:before="120" w:after="120"/>
      </w:pPr>
      <w:r>
        <w:rPr>
          <w:rFonts w:ascii="Arial" w:eastAsia="宋体" w:hAnsi="Arial" w:cs="Arial"/>
          <w:color w:val="000000"/>
          <w:sz w:val="17"/>
          <w:szCs w:val="17"/>
        </w:rPr>
        <w:t>There have not been any changes in our internal control over financial reporting during our most recent fiscal quarter that have materially affected, or are reasonably likely to materially affect, our internal control over</w:t>
      </w:r>
      <w:r>
        <w:rPr>
          <w:rFonts w:ascii="Arial" w:eastAsia="宋体" w:hAnsi="Arial" w:cs="Arial"/>
          <w:color w:val="000000"/>
          <w:sz w:val="17"/>
          <w:szCs w:val="17"/>
        </w:rPr>
        <w:t xml:space="preserve"> financial reporting.</w:t>
      </w:r>
    </w:p>
    <w:p w14:paraId="669C7D71" w14:textId="77777777" w:rsidR="00066C63" w:rsidRDefault="009656F6">
      <w:pPr>
        <w:spacing w:before="120" w:after="120"/>
      </w:pPr>
      <w:r>
        <w:rPr>
          <w:rFonts w:ascii="Arial" w:eastAsia="宋体" w:hAnsi="Arial" w:cs="Arial"/>
          <w:color w:val="E87722"/>
          <w:sz w:val="17"/>
          <w:szCs w:val="17"/>
        </w:rPr>
        <w:t>44</w:t>
      </w:r>
      <w:r>
        <w:rPr>
          <w:rFonts w:ascii="sans-serif" w:eastAsia="sans-serif" w:hAnsi="sans-serif" w:cs="sans-serif"/>
          <w:color w:val="000000"/>
          <w:sz w:val="17"/>
          <w:szCs w:val="17"/>
        </w:rPr>
        <w:t xml:space="preserve"> </w:t>
      </w:r>
    </w:p>
    <w:p w14:paraId="669C7D72" w14:textId="77777777" w:rsidR="00066C63" w:rsidRDefault="009656F6">
      <w:r>
        <w:pict w14:anchorId="669C7E5C">
          <v:rect id="_x0000_i1070" style="width:415.3pt;height:1.5pt" o:hralign="center" o:hrstd="t" o:hr="t" fillcolor="#a0a0a0" stroked="f"/>
        </w:pict>
      </w:r>
    </w:p>
    <w:p w14:paraId="669C7D73" w14:textId="77777777" w:rsidR="00066C63" w:rsidRDefault="00066C63"/>
    <w:p w14:paraId="669C7D74" w14:textId="77777777" w:rsidR="00066C63" w:rsidRDefault="009656F6">
      <w:hyperlink r:id="rId114" w:anchor="i1e99cb26debe49fe8b698d0f0eb1273a_7" w:history="1">
        <w:r>
          <w:rPr>
            <w:rStyle w:val="a5"/>
            <w:rFonts w:ascii="sans-serif" w:eastAsia="sans-serif" w:hAnsi="sans-serif" w:cs="sans-serif"/>
            <w:sz w:val="17"/>
            <w:szCs w:val="17"/>
          </w:rPr>
          <w:t>Table of Contents</w:t>
        </w:r>
      </w:hyperlink>
    </w:p>
    <w:p w14:paraId="669C7D75" w14:textId="77777777" w:rsidR="00066C63" w:rsidRDefault="00066C63"/>
    <w:p w14:paraId="669C7D76" w14:textId="77777777" w:rsidR="00066C63" w:rsidRDefault="009656F6">
      <w:pPr>
        <w:spacing w:before="360" w:after="180"/>
      </w:pPr>
      <w:r>
        <w:rPr>
          <w:rFonts w:ascii="sans-serif" w:eastAsia="sans-serif" w:hAnsi="sans-serif" w:cs="sans-serif"/>
          <w:color w:val="000000"/>
          <w:sz w:val="44"/>
          <w:szCs w:val="44"/>
        </w:rPr>
        <w:t>SPECIAL NOTE REGARDING FORWARD-LOOKING STATEMENTS AND AN</w:t>
      </w:r>
      <w:r>
        <w:rPr>
          <w:rFonts w:ascii="sans-serif" w:eastAsia="sans-serif" w:hAnsi="sans-serif" w:cs="sans-serif"/>
          <w:color w:val="000000"/>
          <w:sz w:val="44"/>
          <w:szCs w:val="44"/>
        </w:rPr>
        <w:t>ALYST REPORTS</w:t>
      </w:r>
    </w:p>
    <w:p w14:paraId="669C7D77" w14:textId="77777777" w:rsidR="00066C63" w:rsidRDefault="009656F6">
      <w:pPr>
        <w:spacing w:before="120" w:after="120"/>
      </w:pPr>
      <w:r>
        <w:rPr>
          <w:rFonts w:ascii="Arial" w:eastAsia="宋体" w:hAnsi="Arial" w:cs="Arial"/>
          <w:color w:val="000000"/>
          <w:sz w:val="17"/>
          <w:szCs w:val="17"/>
        </w:rPr>
        <w:t>Certain written and oral statements, other than purely historic information, including estimates, projections, statements relating to NIKE’s business plans, objectives and expected operating results and the assumptions upon which those statem</w:t>
      </w:r>
      <w:r>
        <w:rPr>
          <w:rFonts w:ascii="Arial" w:eastAsia="宋体" w:hAnsi="Arial" w:cs="Arial"/>
          <w:color w:val="000000"/>
          <w:sz w:val="17"/>
          <w:szCs w:val="17"/>
        </w:rPr>
        <w:t>ents are based, made or incorporated by reference from time to time by NIKE or its representatives in this report, other reports, filings with the SEC, press releases, conferences or otherwise, are “forward-looking statements” within the meaning of the Pri</w:t>
      </w:r>
      <w:r>
        <w:rPr>
          <w:rFonts w:ascii="Arial" w:eastAsia="宋体" w:hAnsi="Arial" w:cs="Arial"/>
          <w:color w:val="000000"/>
          <w:sz w:val="17"/>
          <w:szCs w:val="17"/>
        </w:rPr>
        <w:t>vate Securities Litigation Reform Act of 1995 and Section 21E of the Securities Exchange Act of 1934, as amended. Forward-looking statements include, without limitation, any statement that may predict, forecast, indicate or imply future results, performanc</w:t>
      </w:r>
      <w:r>
        <w:rPr>
          <w:rFonts w:ascii="Arial" w:eastAsia="宋体" w:hAnsi="Arial" w:cs="Arial"/>
          <w:color w:val="000000"/>
          <w:sz w:val="17"/>
          <w:szCs w:val="17"/>
        </w:rPr>
        <w:t>e or achievements, and may contain the words “believe,” “anticipate,” “expect,” “estimate,” “project,” “will be,” “will continue,” “will likely result” or words or phrases of similar meaning. Forward-looking statements involve risks and uncertainties which</w:t>
      </w:r>
      <w:r>
        <w:rPr>
          <w:rFonts w:ascii="Arial" w:eastAsia="宋体" w:hAnsi="Arial" w:cs="Arial"/>
          <w:color w:val="000000"/>
          <w:sz w:val="17"/>
          <w:szCs w:val="17"/>
        </w:rPr>
        <w:t xml:space="preserve"> may cause actual results to differ materially from the forward-looking statements. The risks and uncertainties are detailed from time to time in reports filed by NIKE with the SEC, including reports filed on Forms 8-K, 10-Q and 10-K, and include, among ot</w:t>
      </w:r>
      <w:r>
        <w:rPr>
          <w:rFonts w:ascii="Arial" w:eastAsia="宋体" w:hAnsi="Arial" w:cs="Arial"/>
          <w:color w:val="000000"/>
          <w:sz w:val="17"/>
          <w:szCs w:val="17"/>
        </w:rPr>
        <w:t>hers, the following: health epidemics, pandemics and similar outbreaks, including the COVID-19 pandemic; international, national and local political, civil, economic and market conditions; the size and growth of the overall athletic footwear, apparel and e</w:t>
      </w:r>
      <w:r>
        <w:rPr>
          <w:rFonts w:ascii="Arial" w:eastAsia="宋体" w:hAnsi="Arial" w:cs="Arial"/>
          <w:color w:val="000000"/>
          <w:sz w:val="17"/>
          <w:szCs w:val="17"/>
        </w:rPr>
        <w:t>quipment markets; intense competition among designers, marketers, distributors and sellers of athletic footwear, apparel and equipment for consumers and endorsers; demographic changes; changes in consumer preferences; popularity of particular designs, cate</w:t>
      </w:r>
      <w:r>
        <w:rPr>
          <w:rFonts w:ascii="Arial" w:eastAsia="宋体" w:hAnsi="Arial" w:cs="Arial"/>
          <w:color w:val="000000"/>
          <w:sz w:val="17"/>
          <w:szCs w:val="17"/>
        </w:rPr>
        <w:t xml:space="preserve">gories of products and sports; seasonal and geographic demand for NIKE products; difficulties in anticipating or forecasting changes in consumer preferences, consumer demand for NIKE products and the various market factors described above; difficulties in </w:t>
      </w:r>
      <w:r>
        <w:rPr>
          <w:rFonts w:ascii="Arial" w:eastAsia="宋体" w:hAnsi="Arial" w:cs="Arial"/>
          <w:color w:val="000000"/>
          <w:sz w:val="17"/>
          <w:szCs w:val="17"/>
        </w:rPr>
        <w:t>implementing, operating and maintaining NIKE’s increasingly complex information technology systems and controls, including, without limitation, the systems related to demand and supply planning and inventory control; interruptions in data and information t</w:t>
      </w:r>
      <w:r>
        <w:rPr>
          <w:rFonts w:ascii="Arial" w:eastAsia="宋体" w:hAnsi="Arial" w:cs="Arial"/>
          <w:color w:val="000000"/>
          <w:sz w:val="17"/>
          <w:szCs w:val="17"/>
        </w:rPr>
        <w:t>echnology systems; consumer data security; fluctuations and difficulty in forecasting operating results, including, without limitation, the fact that advance orders may not be indicative of future revenues due to changes in shipment timing, the changing mi</w:t>
      </w:r>
      <w:r>
        <w:rPr>
          <w:rFonts w:ascii="Arial" w:eastAsia="宋体" w:hAnsi="Arial" w:cs="Arial"/>
          <w:color w:val="000000"/>
          <w:sz w:val="17"/>
          <w:szCs w:val="17"/>
        </w:rPr>
        <w:t>x of orders with shorter lead times, and discounts, order cancellations and returns; the ability of NIKE to sustain, manage or forecast its growth and inventories; the size, timing and mix of purchases of NIKE’s products; increases in the cost of materials</w:t>
      </w:r>
      <w:r>
        <w:rPr>
          <w:rFonts w:ascii="Arial" w:eastAsia="宋体" w:hAnsi="Arial" w:cs="Arial"/>
          <w:color w:val="000000"/>
          <w:sz w:val="17"/>
          <w:szCs w:val="17"/>
        </w:rPr>
        <w:t>, labor and energy used to manufacture products; new product development and introduction; the ability to secure and protect trademarks, patents and other intellectual property; product performance and quality; customer service; adverse publicity, includin</w:t>
      </w:r>
      <w:r>
        <w:rPr>
          <w:rFonts w:ascii="Arial" w:eastAsia="宋体" w:hAnsi="Arial" w:cs="Arial"/>
          <w:color w:val="000000"/>
          <w:sz w:val="17"/>
          <w:szCs w:val="17"/>
        </w:rPr>
        <w:t>g without limitation, through social media or in connection with brand damaging events; the loss of significant customers or suppliers; dependence on distributors and licensees; business disruptions; increased costs of freight and transportation to meet de</w:t>
      </w:r>
      <w:r>
        <w:rPr>
          <w:rFonts w:ascii="Arial" w:eastAsia="宋体" w:hAnsi="Arial" w:cs="Arial"/>
          <w:color w:val="000000"/>
          <w:sz w:val="17"/>
          <w:szCs w:val="17"/>
        </w:rPr>
        <w:t xml:space="preserve">livery deadlines; increases in borrowing costs due to any decline in NIKE’s debt ratings; changes in business strategy or development plans; general risks associated with doing business outside of the United States, including, without limitation, exchange </w:t>
      </w:r>
      <w:r>
        <w:rPr>
          <w:rFonts w:ascii="Arial" w:eastAsia="宋体" w:hAnsi="Arial" w:cs="Arial"/>
          <w:color w:val="000000"/>
          <w:sz w:val="17"/>
          <w:szCs w:val="17"/>
        </w:rPr>
        <w:t>rate fluctuations, inflation, import duties, tariffs, quotas, political and economic instability and terrorism; the potential impact of new laws, regulations or policy, including, without limitation, tariffs, import/export, trade and immigration regulation</w:t>
      </w:r>
      <w:r>
        <w:rPr>
          <w:rFonts w:ascii="Arial" w:eastAsia="宋体" w:hAnsi="Arial" w:cs="Arial"/>
          <w:color w:val="000000"/>
          <w:sz w:val="17"/>
          <w:szCs w:val="17"/>
        </w:rPr>
        <w:t>s or policies; changes in government regulations; the impact of, including business and legal developments relating to, climate change and natural disasters; litigation, regulatory proceedings, sanctions or any other claims asserted against NIKE; the abili</w:t>
      </w:r>
      <w:r>
        <w:rPr>
          <w:rFonts w:ascii="Arial" w:eastAsia="宋体" w:hAnsi="Arial" w:cs="Arial"/>
          <w:color w:val="000000"/>
          <w:sz w:val="17"/>
          <w:szCs w:val="17"/>
        </w:rPr>
        <w:t xml:space="preserve">ty to attract and retain qualified employees, and any negative public perception with respect to key personnel or our corporate culture, values or purpose; the effects of NIKE’s decision to invest in or divest of businesses and other factors referenced or </w:t>
      </w:r>
      <w:r>
        <w:rPr>
          <w:rFonts w:ascii="Arial" w:eastAsia="宋体" w:hAnsi="Arial" w:cs="Arial"/>
          <w:color w:val="000000"/>
          <w:sz w:val="17"/>
          <w:szCs w:val="17"/>
        </w:rPr>
        <w:t>incorporated by reference in this report and other reports.</w:t>
      </w:r>
    </w:p>
    <w:p w14:paraId="669C7D78" w14:textId="77777777" w:rsidR="00066C63" w:rsidRDefault="009656F6">
      <w:pPr>
        <w:spacing w:before="120" w:after="120"/>
        <w:jc w:val="right"/>
      </w:pPr>
      <w:r>
        <w:rPr>
          <w:rFonts w:ascii="Arial" w:eastAsia="宋体" w:hAnsi="Arial" w:cs="Arial"/>
          <w:color w:val="E87722"/>
          <w:sz w:val="17"/>
          <w:szCs w:val="17"/>
        </w:rPr>
        <w:t>45</w:t>
      </w:r>
    </w:p>
    <w:p w14:paraId="669C7D79" w14:textId="77777777" w:rsidR="00066C63" w:rsidRDefault="009656F6">
      <w:r>
        <w:pict w14:anchorId="669C7E5D">
          <v:rect id="_x0000_i1071" style="width:415.3pt;height:1.5pt" o:hralign="center" o:hrstd="t" o:hr="t" fillcolor="#a0a0a0" stroked="f"/>
        </w:pict>
      </w:r>
    </w:p>
    <w:p w14:paraId="669C7D7A" w14:textId="77777777" w:rsidR="00066C63" w:rsidRDefault="00066C63"/>
    <w:p w14:paraId="669C7D7B" w14:textId="77777777" w:rsidR="00066C63" w:rsidRDefault="009656F6">
      <w:hyperlink r:id="rId115" w:anchor="i1e99cb26debe49fe8b698d0f0eb1273a_7" w:history="1">
        <w:r>
          <w:rPr>
            <w:rStyle w:val="a5"/>
            <w:rFonts w:ascii="sans-serif" w:eastAsia="sans-serif" w:hAnsi="sans-serif" w:cs="sans-serif"/>
            <w:sz w:val="17"/>
            <w:szCs w:val="17"/>
          </w:rPr>
          <w:t>Table of Contents</w:t>
        </w:r>
      </w:hyperlink>
    </w:p>
    <w:p w14:paraId="669C7D7C" w14:textId="77777777" w:rsidR="00066C63" w:rsidRDefault="00066C63"/>
    <w:p w14:paraId="669C7D7D" w14:textId="77777777" w:rsidR="00066C63" w:rsidRDefault="009656F6">
      <w:pPr>
        <w:spacing w:after="420"/>
      </w:pPr>
      <w:r>
        <w:rPr>
          <w:rFonts w:ascii="sans-serif" w:eastAsia="sans-serif" w:hAnsi="sans-serif" w:cs="sans-serif"/>
          <w:color w:val="E87722"/>
          <w:sz w:val="68"/>
          <w:szCs w:val="68"/>
        </w:rPr>
        <w:t xml:space="preserve">PART II - </w:t>
      </w:r>
      <w:r>
        <w:rPr>
          <w:rFonts w:ascii="sans-serif" w:eastAsia="sans-serif" w:hAnsi="sans-serif" w:cs="sans-serif"/>
          <w:color w:val="E87722"/>
          <w:sz w:val="68"/>
          <w:szCs w:val="68"/>
        </w:rPr>
        <w:t>OTHER INFORMATION</w:t>
      </w:r>
    </w:p>
    <w:p w14:paraId="669C7D7E" w14:textId="77777777" w:rsidR="00066C63" w:rsidRDefault="009656F6">
      <w:pPr>
        <w:spacing w:before="360" w:after="180"/>
      </w:pPr>
      <w:r>
        <w:rPr>
          <w:rFonts w:ascii="sans-serif" w:eastAsia="sans-serif" w:hAnsi="sans-serif" w:cs="sans-serif"/>
          <w:color w:val="000000"/>
          <w:sz w:val="44"/>
          <w:szCs w:val="44"/>
        </w:rPr>
        <w:t>ITEM 1. LEGAL PROCEEDINGS</w:t>
      </w:r>
    </w:p>
    <w:p w14:paraId="669C7D7F" w14:textId="77777777" w:rsidR="00066C63" w:rsidRDefault="009656F6">
      <w:pPr>
        <w:spacing w:before="120" w:after="120"/>
      </w:pPr>
      <w:r>
        <w:rPr>
          <w:rFonts w:ascii="Arial" w:eastAsia="宋体" w:hAnsi="Arial" w:cs="Arial"/>
          <w:color w:val="000000"/>
          <w:sz w:val="17"/>
          <w:szCs w:val="17"/>
        </w:rPr>
        <w:t>There have been no material developments with respect to the information previously reported under Part I, Item 3 of our Annual Report on Form 10-K for the fiscal year ended May 31, 2020.</w:t>
      </w:r>
    </w:p>
    <w:p w14:paraId="669C7D80" w14:textId="77777777" w:rsidR="00066C63" w:rsidRDefault="009656F6">
      <w:pPr>
        <w:spacing w:before="360" w:after="180"/>
      </w:pPr>
      <w:r>
        <w:rPr>
          <w:rFonts w:ascii="sans-serif" w:eastAsia="sans-serif" w:hAnsi="sans-serif" w:cs="sans-serif"/>
          <w:color w:val="000000"/>
          <w:sz w:val="44"/>
          <w:szCs w:val="44"/>
        </w:rPr>
        <w:t>ITEM 1A. RISK FACTORS</w:t>
      </w:r>
    </w:p>
    <w:p w14:paraId="669C7D81" w14:textId="77777777" w:rsidR="00066C63" w:rsidRDefault="009656F6">
      <w:pPr>
        <w:spacing w:before="120" w:after="120"/>
      </w:pPr>
      <w:r>
        <w:rPr>
          <w:rFonts w:ascii="Arial" w:eastAsia="宋体" w:hAnsi="Arial" w:cs="Arial"/>
          <w:color w:val="000000"/>
          <w:sz w:val="17"/>
          <w:szCs w:val="17"/>
        </w:rPr>
        <w:t>Th</w:t>
      </w:r>
      <w:r>
        <w:rPr>
          <w:rFonts w:ascii="Arial" w:eastAsia="宋体" w:hAnsi="Arial" w:cs="Arial"/>
          <w:color w:val="000000"/>
          <w:sz w:val="17"/>
          <w:szCs w:val="17"/>
        </w:rPr>
        <w:t>ere have been no material changes in our risk factors from those disclosed in Part I, Item 1A of our Annual Report on Form 10-K for the fiscal year ended May 31, 2020.</w:t>
      </w:r>
    </w:p>
    <w:p w14:paraId="669C7D82" w14:textId="77777777" w:rsidR="00066C63" w:rsidRDefault="009656F6">
      <w:pPr>
        <w:spacing w:before="120" w:after="120"/>
      </w:pPr>
      <w:r>
        <w:rPr>
          <w:rFonts w:ascii="Arial" w:eastAsia="宋体" w:hAnsi="Arial" w:cs="Arial"/>
          <w:color w:val="E87722"/>
          <w:sz w:val="17"/>
          <w:szCs w:val="17"/>
        </w:rPr>
        <w:t>46</w:t>
      </w:r>
      <w:r>
        <w:rPr>
          <w:rFonts w:ascii="sans-serif" w:eastAsia="sans-serif" w:hAnsi="sans-serif" w:cs="sans-serif"/>
          <w:color w:val="000000"/>
          <w:sz w:val="17"/>
          <w:szCs w:val="17"/>
        </w:rPr>
        <w:t xml:space="preserve"> </w:t>
      </w:r>
    </w:p>
    <w:p w14:paraId="669C7D83" w14:textId="77777777" w:rsidR="00066C63" w:rsidRDefault="009656F6">
      <w:r>
        <w:pict w14:anchorId="669C7E5E">
          <v:rect id="_x0000_i1072" style="width:415.3pt;height:1.5pt" o:hralign="center" o:hrstd="t" o:hr="t" fillcolor="#a0a0a0" stroked="f"/>
        </w:pict>
      </w:r>
    </w:p>
    <w:p w14:paraId="669C7D84" w14:textId="77777777" w:rsidR="00066C63" w:rsidRDefault="00066C63"/>
    <w:p w14:paraId="669C7D85" w14:textId="77777777" w:rsidR="00066C63" w:rsidRDefault="009656F6">
      <w:hyperlink r:id="rId116" w:anchor="i1e99cb26debe49fe8b698d0f0eb1273a_7" w:history="1">
        <w:r>
          <w:rPr>
            <w:rStyle w:val="a5"/>
            <w:rFonts w:ascii="sans-serif" w:eastAsia="sans-serif" w:hAnsi="sans-serif" w:cs="sans-serif"/>
            <w:sz w:val="17"/>
            <w:szCs w:val="17"/>
          </w:rPr>
          <w:t>Table of Contents</w:t>
        </w:r>
      </w:hyperlink>
    </w:p>
    <w:p w14:paraId="669C7D86" w14:textId="77777777" w:rsidR="00066C63" w:rsidRDefault="00066C63"/>
    <w:p w14:paraId="669C7D87" w14:textId="77777777" w:rsidR="00066C63" w:rsidRDefault="009656F6">
      <w:pPr>
        <w:spacing w:before="360" w:after="180"/>
      </w:pPr>
      <w:r>
        <w:rPr>
          <w:rFonts w:ascii="sans-serif" w:eastAsia="sans-serif" w:hAnsi="sans-serif" w:cs="sans-serif"/>
          <w:color w:val="000000"/>
          <w:sz w:val="44"/>
          <w:szCs w:val="44"/>
        </w:rPr>
        <w:t>ITEM 2. UNREGISTERED SALES OF EQUITY SECURITIES AND USE OF PROCEEDS</w:t>
      </w:r>
    </w:p>
    <w:p w14:paraId="669C7D88" w14:textId="77777777" w:rsidR="00066C63" w:rsidRDefault="009656F6">
      <w:r>
        <w:rPr>
          <w:rFonts w:ascii="Arial" w:eastAsia="宋体" w:hAnsi="Arial" w:cs="Arial"/>
          <w:color w:val="000000"/>
          <w:sz w:val="17"/>
          <w:szCs w:val="17"/>
        </w:rPr>
        <w:t>In June 2018, the</w:t>
      </w:r>
      <w:r>
        <w:rPr>
          <w:rFonts w:ascii="Arial" w:eastAsia="宋体" w:hAnsi="Arial" w:cs="Arial"/>
          <w:color w:val="000000"/>
          <w:sz w:val="17"/>
          <w:szCs w:val="17"/>
        </w:rPr>
        <w:t xml:space="preserve"> Board of Directors approved a four-year, $15 billion share repurchase program. As of February 28, 2021, the Company had repurchased 45.2 million shares at an average price of $89.00 per share for a total approximate cost of $4.0 billion under this program</w:t>
      </w:r>
      <w:r>
        <w:rPr>
          <w:rFonts w:ascii="Arial" w:eastAsia="宋体" w:hAnsi="Arial" w:cs="Arial"/>
          <w:color w:val="000000"/>
          <w:sz w:val="17"/>
          <w:szCs w:val="17"/>
        </w:rPr>
        <w:t>. To enhance our liquidity position in response to COVID-19, during the fourth quarter of fiscal 2020, we elected to temporarily suspend share repurchases under our existing share repurchase program. As such, there were no share repurchases made during the</w:t>
      </w:r>
      <w:r>
        <w:rPr>
          <w:rFonts w:ascii="Arial" w:eastAsia="宋体" w:hAnsi="Arial" w:cs="Arial"/>
          <w:color w:val="000000"/>
          <w:sz w:val="17"/>
          <w:szCs w:val="17"/>
        </w:rPr>
        <w:t xml:space="preserve"> quarter ended February 28, 2021. The existing program remains authorized by the Board of Directors and we expect to resume share repurchases in the fourth quarter of fiscal 2021.</w:t>
      </w:r>
    </w:p>
    <w:p w14:paraId="669C7D89" w14:textId="77777777" w:rsidR="00066C63" w:rsidRDefault="009656F6">
      <w:pPr>
        <w:spacing w:before="120" w:after="120"/>
        <w:jc w:val="right"/>
      </w:pPr>
      <w:r>
        <w:rPr>
          <w:rFonts w:ascii="Arial" w:eastAsia="宋体" w:hAnsi="Arial" w:cs="Arial"/>
          <w:color w:val="E87722"/>
          <w:sz w:val="17"/>
          <w:szCs w:val="17"/>
        </w:rPr>
        <w:t>47</w:t>
      </w:r>
    </w:p>
    <w:p w14:paraId="669C7D8A" w14:textId="77777777" w:rsidR="00066C63" w:rsidRDefault="009656F6">
      <w:r>
        <w:pict w14:anchorId="669C7E5F">
          <v:rect id="_x0000_i1073" style="width:415.3pt;height:1.5pt" o:hralign="center" o:hrstd="t" o:hr="t" fillcolor="#a0a0a0" stroked="f"/>
        </w:pict>
      </w:r>
    </w:p>
    <w:p w14:paraId="669C7D8B" w14:textId="77777777" w:rsidR="00066C63" w:rsidRDefault="00066C63"/>
    <w:p w14:paraId="669C7D8C" w14:textId="77777777" w:rsidR="00066C63" w:rsidRDefault="009656F6">
      <w:hyperlink r:id="rId117" w:anchor="i1e99cb26debe49fe8b698d0f0eb1273a_7" w:history="1">
        <w:r>
          <w:rPr>
            <w:rStyle w:val="a5"/>
            <w:rFonts w:ascii="sans-serif" w:eastAsia="sans-serif" w:hAnsi="sans-serif" w:cs="sans-serif"/>
            <w:sz w:val="17"/>
            <w:szCs w:val="17"/>
          </w:rPr>
          <w:t>Table of Contents</w:t>
        </w:r>
      </w:hyperlink>
    </w:p>
    <w:p w14:paraId="669C7D8D" w14:textId="77777777" w:rsidR="00066C63" w:rsidRDefault="00066C63"/>
    <w:p w14:paraId="669C7D8E" w14:textId="77777777" w:rsidR="00066C63" w:rsidRDefault="009656F6">
      <w:pPr>
        <w:spacing w:before="360" w:after="180"/>
      </w:pPr>
      <w:r>
        <w:rPr>
          <w:rFonts w:ascii="sans-serif" w:eastAsia="sans-serif" w:hAnsi="sans-serif" w:cs="sans-serif"/>
          <w:color w:val="000000"/>
          <w:sz w:val="44"/>
          <w:szCs w:val="44"/>
        </w:rPr>
        <w:t>ITEM 6. EXHIBITS</w:t>
      </w:r>
    </w:p>
    <w:p w14:paraId="669C7D8F" w14:textId="77777777" w:rsidR="00066C63" w:rsidRDefault="009656F6">
      <w:pPr>
        <w:spacing w:before="120" w:after="120"/>
      </w:pPr>
      <w:r>
        <w:rPr>
          <w:rFonts w:ascii="Arial" w:eastAsia="宋体" w:hAnsi="Arial" w:cs="Arial"/>
          <w:color w:val="000000"/>
          <w:sz w:val="17"/>
          <w:szCs w:val="17"/>
        </w:rPr>
        <w:t>(a) EXHIBITS:</w:t>
      </w:r>
    </w:p>
    <w:tbl>
      <w:tblPr>
        <w:tblW w:w="5000" w:type="pct"/>
        <w:tblCellMar>
          <w:top w:w="15" w:type="dxa"/>
          <w:left w:w="15" w:type="dxa"/>
          <w:bottom w:w="15" w:type="dxa"/>
          <w:right w:w="15" w:type="dxa"/>
        </w:tblCellMar>
        <w:tblLook w:val="04A0" w:firstRow="1" w:lastRow="0" w:firstColumn="1" w:lastColumn="0" w:noHBand="0" w:noVBand="1"/>
      </w:tblPr>
      <w:tblGrid>
        <w:gridCol w:w="71"/>
        <w:gridCol w:w="753"/>
        <w:gridCol w:w="36"/>
        <w:gridCol w:w="69"/>
        <w:gridCol w:w="7370"/>
        <w:gridCol w:w="37"/>
      </w:tblGrid>
      <w:tr w:rsidR="00066C63" w14:paraId="669C7D96" w14:textId="77777777">
        <w:tc>
          <w:tcPr>
            <w:tcW w:w="50" w:type="pct"/>
            <w:shd w:val="clear" w:color="auto" w:fill="auto"/>
          </w:tcPr>
          <w:p w14:paraId="669C7D90" w14:textId="77777777" w:rsidR="00066C63" w:rsidRDefault="00066C63">
            <w:pPr>
              <w:rPr>
                <w:rFonts w:ascii="宋体"/>
              </w:rPr>
            </w:pPr>
          </w:p>
        </w:tc>
        <w:tc>
          <w:tcPr>
            <w:tcW w:w="461" w:type="pct"/>
            <w:shd w:val="clear" w:color="auto" w:fill="auto"/>
          </w:tcPr>
          <w:p w14:paraId="669C7D91" w14:textId="77777777" w:rsidR="00066C63" w:rsidRDefault="00066C63">
            <w:pPr>
              <w:rPr>
                <w:rFonts w:ascii="宋体"/>
              </w:rPr>
            </w:pPr>
          </w:p>
        </w:tc>
        <w:tc>
          <w:tcPr>
            <w:tcW w:w="5" w:type="pct"/>
            <w:shd w:val="clear" w:color="auto" w:fill="auto"/>
          </w:tcPr>
          <w:p w14:paraId="669C7D92" w14:textId="77777777" w:rsidR="00066C63" w:rsidRDefault="00066C63">
            <w:pPr>
              <w:rPr>
                <w:rFonts w:ascii="宋体"/>
              </w:rPr>
            </w:pPr>
          </w:p>
        </w:tc>
        <w:tc>
          <w:tcPr>
            <w:tcW w:w="50" w:type="pct"/>
            <w:shd w:val="clear" w:color="auto" w:fill="auto"/>
          </w:tcPr>
          <w:p w14:paraId="669C7D93" w14:textId="77777777" w:rsidR="00066C63" w:rsidRDefault="00066C63">
            <w:pPr>
              <w:rPr>
                <w:rFonts w:ascii="宋体"/>
              </w:rPr>
            </w:pPr>
          </w:p>
        </w:tc>
        <w:tc>
          <w:tcPr>
            <w:tcW w:w="4428" w:type="pct"/>
            <w:shd w:val="clear" w:color="auto" w:fill="auto"/>
          </w:tcPr>
          <w:p w14:paraId="669C7D94" w14:textId="77777777" w:rsidR="00066C63" w:rsidRDefault="00066C63">
            <w:pPr>
              <w:rPr>
                <w:rFonts w:ascii="宋体"/>
              </w:rPr>
            </w:pPr>
          </w:p>
        </w:tc>
        <w:tc>
          <w:tcPr>
            <w:tcW w:w="5" w:type="pct"/>
            <w:shd w:val="clear" w:color="auto" w:fill="auto"/>
          </w:tcPr>
          <w:p w14:paraId="669C7D95" w14:textId="77777777" w:rsidR="00066C63" w:rsidRDefault="00066C63">
            <w:pPr>
              <w:rPr>
                <w:rFonts w:ascii="宋体"/>
              </w:rPr>
            </w:pPr>
          </w:p>
        </w:tc>
      </w:tr>
      <w:tr w:rsidR="00066C63" w14:paraId="669C7D99" w14:textId="77777777">
        <w:trPr>
          <w:trHeight w:val="240"/>
        </w:trPr>
        <w:tc>
          <w:tcPr>
            <w:tcW w:w="0" w:type="auto"/>
            <w:gridSpan w:val="3"/>
            <w:shd w:val="clear" w:color="auto" w:fill="auto"/>
            <w:tcMar>
              <w:top w:w="0" w:type="dxa"/>
              <w:left w:w="20" w:type="dxa"/>
              <w:bottom w:w="0" w:type="dxa"/>
              <w:right w:w="20" w:type="dxa"/>
            </w:tcMar>
          </w:tcPr>
          <w:p w14:paraId="669C7D97" w14:textId="77777777" w:rsidR="00066C63" w:rsidRDefault="00066C63">
            <w:pPr>
              <w:rPr>
                <w:rFonts w:ascii="宋体"/>
              </w:rPr>
            </w:pPr>
          </w:p>
        </w:tc>
        <w:tc>
          <w:tcPr>
            <w:tcW w:w="0" w:type="auto"/>
            <w:gridSpan w:val="3"/>
            <w:shd w:val="clear" w:color="auto" w:fill="auto"/>
            <w:tcMar>
              <w:top w:w="0" w:type="dxa"/>
              <w:left w:w="20" w:type="dxa"/>
              <w:bottom w:w="0" w:type="dxa"/>
              <w:right w:w="20" w:type="dxa"/>
            </w:tcMar>
          </w:tcPr>
          <w:p w14:paraId="669C7D98" w14:textId="77777777" w:rsidR="00066C63" w:rsidRDefault="00066C63">
            <w:pPr>
              <w:rPr>
                <w:rFonts w:ascii="宋体"/>
              </w:rPr>
            </w:pPr>
          </w:p>
        </w:tc>
      </w:tr>
      <w:tr w:rsidR="00066C63" w14:paraId="669C7D9C" w14:textId="77777777">
        <w:tc>
          <w:tcPr>
            <w:tcW w:w="0" w:type="auto"/>
            <w:gridSpan w:val="3"/>
            <w:tcBorders>
              <w:top w:val="single" w:sz="8" w:space="0" w:color="E87722"/>
            </w:tcBorders>
            <w:shd w:val="clear" w:color="auto" w:fill="auto"/>
            <w:tcMar>
              <w:top w:w="40" w:type="dxa"/>
              <w:left w:w="20" w:type="dxa"/>
              <w:bottom w:w="40" w:type="dxa"/>
              <w:right w:w="20" w:type="dxa"/>
            </w:tcMar>
          </w:tcPr>
          <w:p w14:paraId="669C7D9A" w14:textId="77777777" w:rsidR="00066C63" w:rsidRDefault="009656F6">
            <w:pPr>
              <w:textAlignment w:val="top"/>
            </w:pPr>
            <w:r>
              <w:rPr>
                <w:rFonts w:ascii="Arial" w:eastAsia="宋体" w:hAnsi="Arial" w:cs="Arial"/>
                <w:b/>
                <w:bCs/>
                <w:color w:val="000000"/>
                <w:sz w:val="17"/>
                <w:szCs w:val="17"/>
              </w:rPr>
              <w:t>3.</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D9B" w14:textId="77777777" w:rsidR="00066C63" w:rsidRDefault="009656F6">
            <w:pPr>
              <w:textAlignment w:val="bottom"/>
            </w:pPr>
            <w:r>
              <w:rPr>
                <w:rFonts w:ascii="Arial" w:eastAsia="宋体" w:hAnsi="Arial" w:cs="Arial"/>
                <w:b/>
                <w:bCs/>
                <w:color w:val="000000"/>
                <w:sz w:val="17"/>
                <w:szCs w:val="17"/>
              </w:rPr>
              <w:t>Exhibits:</w:t>
            </w:r>
          </w:p>
        </w:tc>
      </w:tr>
      <w:tr w:rsidR="00066C63" w14:paraId="669C7D9F" w14:textId="77777777">
        <w:tc>
          <w:tcPr>
            <w:tcW w:w="0" w:type="auto"/>
            <w:gridSpan w:val="3"/>
            <w:tcBorders>
              <w:top w:val="single" w:sz="8" w:space="0" w:color="E87722"/>
            </w:tcBorders>
            <w:shd w:val="clear" w:color="auto" w:fill="auto"/>
            <w:tcMar>
              <w:top w:w="40" w:type="dxa"/>
              <w:left w:w="20" w:type="dxa"/>
              <w:bottom w:w="40" w:type="dxa"/>
              <w:right w:w="20" w:type="dxa"/>
            </w:tcMar>
          </w:tcPr>
          <w:p w14:paraId="669C7D9D" w14:textId="77777777" w:rsidR="00066C63" w:rsidRDefault="009656F6">
            <w:pPr>
              <w:textAlignment w:val="top"/>
            </w:pPr>
            <w:r>
              <w:rPr>
                <w:rFonts w:ascii="Arial" w:eastAsia="宋体" w:hAnsi="Arial" w:cs="Arial"/>
                <w:color w:val="000000"/>
                <w:sz w:val="17"/>
                <w:szCs w:val="17"/>
              </w:rPr>
              <w:t>3.1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69C7D9E" w14:textId="77777777" w:rsidR="00066C63" w:rsidRDefault="009656F6">
            <w:pPr>
              <w:textAlignment w:val="bottom"/>
            </w:pPr>
            <w:hyperlink r:id="rId118" w:history="1">
              <w:r>
                <w:rPr>
                  <w:rStyle w:val="a5"/>
                  <w:rFonts w:ascii="Arial" w:eastAsia="宋体" w:hAnsi="Arial" w:cs="Arial"/>
                  <w:color w:val="000000"/>
                  <w:sz w:val="17"/>
                  <w:szCs w:val="17"/>
                  <w:u w:val="none"/>
                </w:rPr>
                <w:t xml:space="preserve">Restated Articles of Incorporation, as amended (incorporated by reference to Exhibit 3.1 to the Company's Quarterly Report on Form 10-Q for the fiscal </w:t>
              </w:r>
              <w:r>
                <w:rPr>
                  <w:rStyle w:val="a5"/>
                  <w:rFonts w:ascii="Arial" w:eastAsia="宋体" w:hAnsi="Arial" w:cs="Arial"/>
                  <w:color w:val="000000"/>
                  <w:sz w:val="17"/>
                  <w:szCs w:val="17"/>
                  <w:u w:val="none"/>
                </w:rPr>
                <w:t>quarter ended November 30, 2015).</w:t>
              </w:r>
            </w:hyperlink>
          </w:p>
        </w:tc>
      </w:tr>
      <w:tr w:rsidR="00066C63" w14:paraId="669C7DA2" w14:textId="77777777">
        <w:tc>
          <w:tcPr>
            <w:tcW w:w="0" w:type="auto"/>
            <w:gridSpan w:val="3"/>
            <w:tcBorders>
              <w:top w:val="single" w:sz="8" w:space="0" w:color="808080"/>
            </w:tcBorders>
            <w:shd w:val="clear" w:color="auto" w:fill="auto"/>
            <w:tcMar>
              <w:top w:w="40" w:type="dxa"/>
              <w:left w:w="20" w:type="dxa"/>
              <w:bottom w:w="40" w:type="dxa"/>
              <w:right w:w="20" w:type="dxa"/>
            </w:tcMar>
          </w:tcPr>
          <w:p w14:paraId="669C7DA0" w14:textId="77777777" w:rsidR="00066C63" w:rsidRDefault="009656F6">
            <w:pPr>
              <w:textAlignment w:val="top"/>
            </w:pPr>
            <w:r>
              <w:rPr>
                <w:rFonts w:ascii="Arial" w:eastAsia="宋体" w:hAnsi="Arial" w:cs="Arial"/>
                <w:color w:val="000000"/>
                <w:sz w:val="17"/>
                <w:szCs w:val="17"/>
              </w:rPr>
              <w:t>3.2</w:t>
            </w: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7DA1" w14:textId="77777777" w:rsidR="00066C63" w:rsidRDefault="009656F6">
            <w:pPr>
              <w:textAlignment w:val="bottom"/>
            </w:pPr>
            <w:hyperlink r:id="rId119" w:history="1">
              <w:r>
                <w:rPr>
                  <w:rStyle w:val="a5"/>
                  <w:rFonts w:ascii="Arial" w:eastAsia="宋体" w:hAnsi="Arial" w:cs="Arial"/>
                  <w:color w:val="000000"/>
                  <w:sz w:val="17"/>
                  <w:szCs w:val="17"/>
                  <w:u w:val="none"/>
                </w:rPr>
                <w:t xml:space="preserve">Fifth Restated Bylaws, as amended (incorporated by reference to Exhibit 3.1 to the Company's Current Report on </w:t>
              </w:r>
              <w:r>
                <w:rPr>
                  <w:rStyle w:val="a5"/>
                  <w:rFonts w:ascii="Arial" w:eastAsia="宋体" w:hAnsi="Arial" w:cs="Arial"/>
                  <w:color w:val="000000"/>
                  <w:sz w:val="17"/>
                  <w:szCs w:val="17"/>
                  <w:u w:val="none"/>
                </w:rPr>
                <w:t>Form 8-K filed June 19, 2020).</w:t>
              </w:r>
            </w:hyperlink>
          </w:p>
        </w:tc>
      </w:tr>
      <w:tr w:rsidR="00066C63" w14:paraId="669C7DA5" w14:textId="77777777">
        <w:tc>
          <w:tcPr>
            <w:tcW w:w="0" w:type="auto"/>
            <w:gridSpan w:val="3"/>
            <w:tcBorders>
              <w:top w:val="single" w:sz="8" w:space="0" w:color="808080"/>
            </w:tcBorders>
            <w:shd w:val="clear" w:color="auto" w:fill="auto"/>
            <w:tcMar>
              <w:top w:w="40" w:type="dxa"/>
              <w:left w:w="20" w:type="dxa"/>
              <w:bottom w:w="40" w:type="dxa"/>
              <w:right w:w="20" w:type="dxa"/>
            </w:tcMar>
          </w:tcPr>
          <w:p w14:paraId="669C7DA3" w14:textId="77777777" w:rsidR="00066C63" w:rsidRDefault="009656F6">
            <w:pPr>
              <w:textAlignment w:val="top"/>
            </w:pPr>
            <w:r>
              <w:rPr>
                <w:rFonts w:ascii="Arial" w:eastAsia="宋体" w:hAnsi="Arial" w:cs="Arial"/>
                <w:color w:val="000000"/>
                <w:sz w:val="17"/>
                <w:szCs w:val="17"/>
              </w:rPr>
              <w:t>4.1</w:t>
            </w: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7DA4" w14:textId="77777777" w:rsidR="00066C63" w:rsidRDefault="009656F6">
            <w:pPr>
              <w:textAlignment w:val="bottom"/>
            </w:pPr>
            <w:hyperlink r:id="rId120" w:history="1">
              <w:r>
                <w:rPr>
                  <w:rStyle w:val="a5"/>
                  <w:rFonts w:ascii="Arial" w:eastAsia="宋体" w:hAnsi="Arial" w:cs="Arial"/>
                  <w:color w:val="000000"/>
                  <w:sz w:val="17"/>
                  <w:szCs w:val="17"/>
                  <w:u w:val="none"/>
                </w:rPr>
                <w:t>Restated Articles of Incorporation, as amended (see Exhibit 3.1).</w:t>
              </w:r>
            </w:hyperlink>
          </w:p>
        </w:tc>
      </w:tr>
      <w:tr w:rsidR="00066C63" w14:paraId="669C7DA8" w14:textId="77777777">
        <w:tc>
          <w:tcPr>
            <w:tcW w:w="0" w:type="auto"/>
            <w:gridSpan w:val="3"/>
            <w:tcBorders>
              <w:top w:val="single" w:sz="8" w:space="0" w:color="808080"/>
            </w:tcBorders>
            <w:shd w:val="clear" w:color="auto" w:fill="auto"/>
            <w:tcMar>
              <w:top w:w="40" w:type="dxa"/>
              <w:left w:w="20" w:type="dxa"/>
              <w:bottom w:w="40" w:type="dxa"/>
              <w:right w:w="20" w:type="dxa"/>
            </w:tcMar>
          </w:tcPr>
          <w:p w14:paraId="669C7DA6" w14:textId="77777777" w:rsidR="00066C63" w:rsidRDefault="009656F6">
            <w:pPr>
              <w:textAlignment w:val="top"/>
            </w:pPr>
            <w:r>
              <w:rPr>
                <w:rFonts w:ascii="Arial" w:eastAsia="宋体" w:hAnsi="Arial" w:cs="Arial"/>
                <w:color w:val="000000"/>
                <w:sz w:val="17"/>
                <w:szCs w:val="17"/>
              </w:rPr>
              <w:t>4.2</w:t>
            </w: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7DA7" w14:textId="77777777" w:rsidR="00066C63" w:rsidRDefault="009656F6">
            <w:pPr>
              <w:textAlignment w:val="bottom"/>
            </w:pPr>
            <w:hyperlink r:id="rId121" w:history="1">
              <w:r>
                <w:rPr>
                  <w:rStyle w:val="a5"/>
                  <w:rFonts w:ascii="Arial" w:eastAsia="宋体" w:hAnsi="Arial" w:cs="Arial"/>
                  <w:color w:val="000000"/>
                  <w:sz w:val="17"/>
                  <w:szCs w:val="17"/>
                  <w:u w:val="none"/>
                </w:rPr>
                <w:t>Fifth Restated Bylaws, as amended (see Exhibit 3.2).</w:t>
              </w:r>
            </w:hyperlink>
          </w:p>
        </w:tc>
      </w:tr>
      <w:tr w:rsidR="00066C63" w14:paraId="669C7DAB" w14:textId="77777777">
        <w:tc>
          <w:tcPr>
            <w:tcW w:w="0" w:type="auto"/>
            <w:gridSpan w:val="3"/>
            <w:tcBorders>
              <w:top w:val="single" w:sz="8" w:space="0" w:color="808080"/>
            </w:tcBorders>
            <w:shd w:val="clear" w:color="auto" w:fill="auto"/>
            <w:tcMar>
              <w:top w:w="40" w:type="dxa"/>
              <w:left w:w="20" w:type="dxa"/>
              <w:bottom w:w="40" w:type="dxa"/>
              <w:right w:w="20" w:type="dxa"/>
            </w:tcMar>
          </w:tcPr>
          <w:p w14:paraId="669C7DA9" w14:textId="77777777" w:rsidR="00066C63" w:rsidRDefault="009656F6">
            <w:pPr>
              <w:textAlignment w:val="top"/>
            </w:pPr>
            <w:r>
              <w:rPr>
                <w:rFonts w:ascii="Arial" w:eastAsia="宋体" w:hAnsi="Arial" w:cs="Arial"/>
                <w:color w:val="000000"/>
                <w:sz w:val="17"/>
                <w:szCs w:val="17"/>
              </w:rPr>
              <w:t>31.1†</w:t>
            </w: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7DAA" w14:textId="77777777" w:rsidR="00066C63" w:rsidRDefault="009656F6">
            <w:pPr>
              <w:textAlignment w:val="bottom"/>
            </w:pPr>
            <w:hyperlink r:id="rId122" w:history="1">
              <w:r>
                <w:rPr>
                  <w:rStyle w:val="a5"/>
                  <w:rFonts w:ascii="Arial" w:eastAsia="宋体" w:hAnsi="Arial" w:cs="Arial"/>
                  <w:color w:val="000000"/>
                  <w:sz w:val="17"/>
                  <w:szCs w:val="17"/>
                  <w:u w:val="none"/>
                </w:rPr>
                <w:t>Rule 13a-14(a)/15d-14(a) Certification of Chief Executive Officer.</w:t>
              </w:r>
            </w:hyperlink>
          </w:p>
        </w:tc>
      </w:tr>
      <w:tr w:rsidR="00066C63" w14:paraId="669C7DAE" w14:textId="77777777">
        <w:tc>
          <w:tcPr>
            <w:tcW w:w="0" w:type="auto"/>
            <w:gridSpan w:val="3"/>
            <w:tcBorders>
              <w:top w:val="single" w:sz="8" w:space="0" w:color="808080"/>
            </w:tcBorders>
            <w:shd w:val="clear" w:color="auto" w:fill="auto"/>
            <w:tcMar>
              <w:top w:w="40" w:type="dxa"/>
              <w:left w:w="20" w:type="dxa"/>
              <w:bottom w:w="40" w:type="dxa"/>
              <w:right w:w="20" w:type="dxa"/>
            </w:tcMar>
          </w:tcPr>
          <w:p w14:paraId="669C7DAC" w14:textId="77777777" w:rsidR="00066C63" w:rsidRDefault="009656F6">
            <w:pPr>
              <w:textAlignment w:val="top"/>
            </w:pPr>
            <w:r>
              <w:rPr>
                <w:rFonts w:ascii="Arial" w:eastAsia="宋体" w:hAnsi="Arial" w:cs="Arial"/>
                <w:color w:val="000000"/>
                <w:sz w:val="17"/>
                <w:szCs w:val="17"/>
              </w:rPr>
              <w:t>31.2†</w:t>
            </w: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7DAD" w14:textId="77777777" w:rsidR="00066C63" w:rsidRDefault="009656F6">
            <w:pPr>
              <w:textAlignment w:val="bottom"/>
            </w:pPr>
            <w:hyperlink r:id="rId123" w:history="1">
              <w:r>
                <w:rPr>
                  <w:rStyle w:val="a5"/>
                  <w:rFonts w:ascii="Arial" w:eastAsia="宋体" w:hAnsi="Arial" w:cs="Arial"/>
                  <w:color w:val="000000"/>
                  <w:sz w:val="17"/>
                  <w:szCs w:val="17"/>
                  <w:u w:val="none"/>
                </w:rPr>
                <w:t>Rule 13a-14(a)/15d-14(a) Certification of Chief Financia</w:t>
              </w:r>
              <w:r>
                <w:rPr>
                  <w:rStyle w:val="a5"/>
                  <w:rFonts w:ascii="Arial" w:eastAsia="宋体" w:hAnsi="Arial" w:cs="Arial"/>
                  <w:color w:val="000000"/>
                  <w:sz w:val="17"/>
                  <w:szCs w:val="17"/>
                  <w:u w:val="none"/>
                </w:rPr>
                <w:t>l Officer.</w:t>
              </w:r>
            </w:hyperlink>
          </w:p>
        </w:tc>
      </w:tr>
      <w:tr w:rsidR="00066C63" w14:paraId="669C7DB1" w14:textId="77777777">
        <w:tc>
          <w:tcPr>
            <w:tcW w:w="0" w:type="auto"/>
            <w:gridSpan w:val="3"/>
            <w:tcBorders>
              <w:top w:val="single" w:sz="8" w:space="0" w:color="808080"/>
            </w:tcBorders>
            <w:shd w:val="clear" w:color="auto" w:fill="auto"/>
            <w:tcMar>
              <w:top w:w="40" w:type="dxa"/>
              <w:left w:w="20" w:type="dxa"/>
              <w:bottom w:w="40" w:type="dxa"/>
              <w:right w:w="20" w:type="dxa"/>
            </w:tcMar>
          </w:tcPr>
          <w:p w14:paraId="669C7DAF" w14:textId="77777777" w:rsidR="00066C63" w:rsidRDefault="009656F6">
            <w:pPr>
              <w:textAlignment w:val="top"/>
            </w:pPr>
            <w:r>
              <w:rPr>
                <w:rFonts w:ascii="Arial" w:eastAsia="宋体" w:hAnsi="Arial" w:cs="Arial"/>
                <w:color w:val="000000"/>
                <w:sz w:val="17"/>
                <w:szCs w:val="17"/>
              </w:rPr>
              <w:t>32.1†</w:t>
            </w: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7DB0" w14:textId="77777777" w:rsidR="00066C63" w:rsidRDefault="009656F6">
            <w:pPr>
              <w:textAlignment w:val="bottom"/>
            </w:pPr>
            <w:hyperlink r:id="rId124" w:history="1">
              <w:r>
                <w:rPr>
                  <w:rStyle w:val="a5"/>
                  <w:rFonts w:ascii="Arial" w:eastAsia="宋体" w:hAnsi="Arial" w:cs="Arial"/>
                  <w:color w:val="000000"/>
                  <w:sz w:val="17"/>
                  <w:szCs w:val="17"/>
                  <w:u w:val="none"/>
                </w:rPr>
                <w:t>Section 1350 Certificate of Chief Executive Officer.</w:t>
              </w:r>
            </w:hyperlink>
          </w:p>
        </w:tc>
      </w:tr>
      <w:tr w:rsidR="00066C63" w14:paraId="669C7DB4" w14:textId="77777777">
        <w:tc>
          <w:tcPr>
            <w:tcW w:w="0" w:type="auto"/>
            <w:gridSpan w:val="3"/>
            <w:tcBorders>
              <w:top w:val="single" w:sz="8" w:space="0" w:color="808080"/>
            </w:tcBorders>
            <w:shd w:val="clear" w:color="auto" w:fill="auto"/>
            <w:tcMar>
              <w:top w:w="40" w:type="dxa"/>
              <w:left w:w="20" w:type="dxa"/>
              <w:bottom w:w="40" w:type="dxa"/>
              <w:right w:w="20" w:type="dxa"/>
            </w:tcMar>
          </w:tcPr>
          <w:p w14:paraId="669C7DB2" w14:textId="77777777" w:rsidR="00066C63" w:rsidRDefault="009656F6">
            <w:pPr>
              <w:textAlignment w:val="top"/>
            </w:pPr>
            <w:r>
              <w:rPr>
                <w:rFonts w:ascii="Arial" w:eastAsia="宋体" w:hAnsi="Arial" w:cs="Arial"/>
                <w:color w:val="000000"/>
                <w:sz w:val="17"/>
                <w:szCs w:val="17"/>
              </w:rPr>
              <w:t>32.2†</w:t>
            </w: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7DB3" w14:textId="77777777" w:rsidR="00066C63" w:rsidRDefault="009656F6">
            <w:pPr>
              <w:textAlignment w:val="bottom"/>
            </w:pPr>
            <w:hyperlink r:id="rId125" w:history="1">
              <w:r>
                <w:rPr>
                  <w:rStyle w:val="a5"/>
                  <w:rFonts w:ascii="Arial" w:eastAsia="宋体" w:hAnsi="Arial" w:cs="Arial"/>
                  <w:color w:val="000000"/>
                  <w:sz w:val="17"/>
                  <w:szCs w:val="17"/>
                  <w:u w:val="none"/>
                </w:rPr>
                <w:t>Section 1350 Certificate of Chief Financial Officer.</w:t>
              </w:r>
            </w:hyperlink>
          </w:p>
        </w:tc>
      </w:tr>
      <w:tr w:rsidR="00066C63" w14:paraId="669C7DB7" w14:textId="77777777">
        <w:tc>
          <w:tcPr>
            <w:tcW w:w="0" w:type="auto"/>
            <w:gridSpan w:val="3"/>
            <w:tcBorders>
              <w:top w:val="single" w:sz="8" w:space="0" w:color="929292"/>
            </w:tcBorders>
            <w:shd w:val="clear" w:color="auto" w:fill="auto"/>
            <w:tcMar>
              <w:top w:w="40" w:type="dxa"/>
              <w:left w:w="20" w:type="dxa"/>
              <w:bottom w:w="40" w:type="dxa"/>
              <w:right w:w="20" w:type="dxa"/>
            </w:tcMar>
          </w:tcPr>
          <w:p w14:paraId="669C7DB5" w14:textId="77777777" w:rsidR="00066C63" w:rsidRDefault="009656F6">
            <w:pPr>
              <w:textAlignment w:val="top"/>
            </w:pPr>
            <w:r>
              <w:rPr>
                <w:rFonts w:ascii="Arial" w:eastAsia="宋体" w:hAnsi="Arial" w:cs="Arial"/>
                <w:color w:val="000000"/>
                <w:sz w:val="17"/>
                <w:szCs w:val="17"/>
              </w:rPr>
              <w:t>101.INS</w:t>
            </w:r>
          </w:p>
        </w:tc>
        <w:tc>
          <w:tcPr>
            <w:tcW w:w="0" w:type="auto"/>
            <w:gridSpan w:val="3"/>
            <w:tcBorders>
              <w:top w:val="single" w:sz="8" w:space="0" w:color="929292"/>
            </w:tcBorders>
            <w:shd w:val="clear" w:color="auto" w:fill="auto"/>
            <w:tcMar>
              <w:top w:w="40" w:type="dxa"/>
              <w:left w:w="20" w:type="dxa"/>
              <w:bottom w:w="40" w:type="dxa"/>
              <w:right w:w="20" w:type="dxa"/>
            </w:tcMar>
            <w:vAlign w:val="bottom"/>
          </w:tcPr>
          <w:p w14:paraId="669C7DB6" w14:textId="77777777" w:rsidR="00066C63" w:rsidRDefault="009656F6">
            <w:pPr>
              <w:textAlignment w:val="bottom"/>
            </w:pPr>
            <w:r>
              <w:rPr>
                <w:rFonts w:ascii="Arial" w:eastAsia="宋体" w:hAnsi="Arial" w:cs="Arial"/>
                <w:color w:val="000000"/>
                <w:sz w:val="17"/>
                <w:szCs w:val="17"/>
              </w:rPr>
              <w:t>XBRL Instance Document.</w:t>
            </w:r>
          </w:p>
        </w:tc>
      </w:tr>
      <w:tr w:rsidR="00066C63" w14:paraId="669C7DBA" w14:textId="77777777">
        <w:tc>
          <w:tcPr>
            <w:tcW w:w="0" w:type="auto"/>
            <w:gridSpan w:val="3"/>
            <w:tcBorders>
              <w:top w:val="single" w:sz="8" w:space="0" w:color="808080"/>
            </w:tcBorders>
            <w:shd w:val="clear" w:color="auto" w:fill="auto"/>
            <w:tcMar>
              <w:top w:w="40" w:type="dxa"/>
              <w:left w:w="20" w:type="dxa"/>
              <w:bottom w:w="40" w:type="dxa"/>
              <w:right w:w="20" w:type="dxa"/>
            </w:tcMar>
          </w:tcPr>
          <w:p w14:paraId="669C7DB8" w14:textId="77777777" w:rsidR="00066C63" w:rsidRDefault="009656F6">
            <w:pPr>
              <w:textAlignment w:val="top"/>
            </w:pPr>
            <w:r>
              <w:rPr>
                <w:rFonts w:ascii="Arial" w:eastAsia="宋体" w:hAnsi="Arial" w:cs="Arial"/>
                <w:color w:val="000000"/>
                <w:sz w:val="17"/>
                <w:szCs w:val="17"/>
              </w:rPr>
              <w:t>101.SCH</w:t>
            </w: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7DB9" w14:textId="77777777" w:rsidR="00066C63" w:rsidRDefault="009656F6">
            <w:pPr>
              <w:textAlignment w:val="bottom"/>
            </w:pPr>
            <w:r>
              <w:rPr>
                <w:rFonts w:ascii="Arial" w:eastAsia="宋体" w:hAnsi="Arial" w:cs="Arial"/>
                <w:color w:val="000000"/>
                <w:sz w:val="17"/>
                <w:szCs w:val="17"/>
              </w:rPr>
              <w:t>XBRL Taxonomy Extension Schema Document.</w:t>
            </w:r>
          </w:p>
        </w:tc>
      </w:tr>
      <w:tr w:rsidR="00066C63" w14:paraId="669C7DBD" w14:textId="77777777">
        <w:tc>
          <w:tcPr>
            <w:tcW w:w="0" w:type="auto"/>
            <w:gridSpan w:val="3"/>
            <w:tcBorders>
              <w:top w:val="single" w:sz="8" w:space="0" w:color="808080"/>
            </w:tcBorders>
            <w:shd w:val="clear" w:color="auto" w:fill="auto"/>
            <w:tcMar>
              <w:top w:w="40" w:type="dxa"/>
              <w:left w:w="20" w:type="dxa"/>
              <w:bottom w:w="40" w:type="dxa"/>
              <w:right w:w="20" w:type="dxa"/>
            </w:tcMar>
          </w:tcPr>
          <w:p w14:paraId="669C7DBB" w14:textId="77777777" w:rsidR="00066C63" w:rsidRDefault="009656F6">
            <w:pPr>
              <w:textAlignment w:val="top"/>
            </w:pPr>
            <w:r>
              <w:rPr>
                <w:rFonts w:ascii="Arial" w:eastAsia="宋体" w:hAnsi="Arial" w:cs="Arial"/>
                <w:color w:val="000000"/>
                <w:sz w:val="17"/>
                <w:szCs w:val="17"/>
              </w:rPr>
              <w:t>101.CAL</w:t>
            </w: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7DBC" w14:textId="77777777" w:rsidR="00066C63" w:rsidRDefault="009656F6">
            <w:pPr>
              <w:textAlignment w:val="bottom"/>
            </w:pPr>
            <w:r>
              <w:rPr>
                <w:rFonts w:ascii="Arial" w:eastAsia="宋体" w:hAnsi="Arial" w:cs="Arial"/>
                <w:color w:val="000000"/>
                <w:sz w:val="17"/>
                <w:szCs w:val="17"/>
              </w:rPr>
              <w:t xml:space="preserve">XBRL Taxonomy Extension Calculation Linkbase </w:t>
            </w:r>
            <w:r>
              <w:rPr>
                <w:rFonts w:ascii="Arial" w:eastAsia="宋体" w:hAnsi="Arial" w:cs="Arial"/>
                <w:color w:val="000000"/>
                <w:sz w:val="17"/>
                <w:szCs w:val="17"/>
              </w:rPr>
              <w:t>Document.</w:t>
            </w:r>
          </w:p>
        </w:tc>
      </w:tr>
      <w:tr w:rsidR="00066C63" w14:paraId="669C7DC0" w14:textId="77777777">
        <w:tc>
          <w:tcPr>
            <w:tcW w:w="0" w:type="auto"/>
            <w:gridSpan w:val="3"/>
            <w:tcBorders>
              <w:top w:val="single" w:sz="8" w:space="0" w:color="808080"/>
            </w:tcBorders>
            <w:shd w:val="clear" w:color="auto" w:fill="auto"/>
            <w:tcMar>
              <w:top w:w="40" w:type="dxa"/>
              <w:left w:w="20" w:type="dxa"/>
              <w:bottom w:w="40" w:type="dxa"/>
              <w:right w:w="20" w:type="dxa"/>
            </w:tcMar>
          </w:tcPr>
          <w:p w14:paraId="669C7DBE" w14:textId="77777777" w:rsidR="00066C63" w:rsidRDefault="009656F6">
            <w:pPr>
              <w:textAlignment w:val="top"/>
            </w:pPr>
            <w:r>
              <w:rPr>
                <w:rFonts w:ascii="Arial" w:eastAsia="宋体" w:hAnsi="Arial" w:cs="Arial"/>
                <w:color w:val="000000"/>
                <w:sz w:val="17"/>
                <w:szCs w:val="17"/>
              </w:rPr>
              <w:t>101.DEF</w:t>
            </w: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7DBF" w14:textId="77777777" w:rsidR="00066C63" w:rsidRDefault="009656F6">
            <w:pPr>
              <w:textAlignment w:val="bottom"/>
            </w:pPr>
            <w:r>
              <w:rPr>
                <w:rFonts w:ascii="Arial" w:eastAsia="宋体" w:hAnsi="Arial" w:cs="Arial"/>
                <w:color w:val="000000"/>
                <w:sz w:val="17"/>
                <w:szCs w:val="17"/>
              </w:rPr>
              <w:t>XBRL Taxonomy Extension Definition Document.</w:t>
            </w:r>
          </w:p>
        </w:tc>
      </w:tr>
      <w:tr w:rsidR="00066C63" w14:paraId="669C7DC3" w14:textId="77777777">
        <w:tc>
          <w:tcPr>
            <w:tcW w:w="0" w:type="auto"/>
            <w:gridSpan w:val="3"/>
            <w:tcBorders>
              <w:top w:val="single" w:sz="8" w:space="0" w:color="808080"/>
            </w:tcBorders>
            <w:shd w:val="clear" w:color="auto" w:fill="auto"/>
            <w:tcMar>
              <w:top w:w="40" w:type="dxa"/>
              <w:left w:w="20" w:type="dxa"/>
              <w:bottom w:w="40" w:type="dxa"/>
              <w:right w:w="20" w:type="dxa"/>
            </w:tcMar>
          </w:tcPr>
          <w:p w14:paraId="669C7DC1" w14:textId="77777777" w:rsidR="00066C63" w:rsidRDefault="009656F6">
            <w:pPr>
              <w:textAlignment w:val="top"/>
            </w:pPr>
            <w:r>
              <w:rPr>
                <w:rFonts w:ascii="Arial" w:eastAsia="宋体" w:hAnsi="Arial" w:cs="Arial"/>
                <w:color w:val="000000"/>
                <w:sz w:val="17"/>
                <w:szCs w:val="17"/>
              </w:rPr>
              <w:t>101.LAB</w:t>
            </w: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7DC2" w14:textId="77777777" w:rsidR="00066C63" w:rsidRDefault="009656F6">
            <w:pPr>
              <w:textAlignment w:val="bottom"/>
            </w:pPr>
            <w:r>
              <w:rPr>
                <w:rFonts w:ascii="Arial" w:eastAsia="宋体" w:hAnsi="Arial" w:cs="Arial"/>
                <w:color w:val="000000"/>
                <w:sz w:val="17"/>
                <w:szCs w:val="17"/>
              </w:rPr>
              <w:t>XBRL Taxonomy Extension Label Linkbase Document.</w:t>
            </w:r>
          </w:p>
        </w:tc>
      </w:tr>
      <w:tr w:rsidR="00066C63" w14:paraId="669C7DC6" w14:textId="77777777">
        <w:tc>
          <w:tcPr>
            <w:tcW w:w="0" w:type="auto"/>
            <w:gridSpan w:val="3"/>
            <w:tcBorders>
              <w:top w:val="single" w:sz="8" w:space="0" w:color="808080"/>
            </w:tcBorders>
            <w:shd w:val="clear" w:color="auto" w:fill="auto"/>
            <w:tcMar>
              <w:top w:w="40" w:type="dxa"/>
              <w:left w:w="20" w:type="dxa"/>
              <w:bottom w:w="40" w:type="dxa"/>
              <w:right w:w="20" w:type="dxa"/>
            </w:tcMar>
          </w:tcPr>
          <w:p w14:paraId="669C7DC4" w14:textId="77777777" w:rsidR="00066C63" w:rsidRDefault="009656F6">
            <w:pPr>
              <w:textAlignment w:val="top"/>
            </w:pPr>
            <w:r>
              <w:rPr>
                <w:rFonts w:ascii="Arial" w:eastAsia="宋体" w:hAnsi="Arial" w:cs="Arial"/>
                <w:color w:val="000000"/>
                <w:sz w:val="17"/>
                <w:szCs w:val="17"/>
              </w:rPr>
              <w:t>101.PRE</w:t>
            </w: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7DC5" w14:textId="77777777" w:rsidR="00066C63" w:rsidRDefault="009656F6">
            <w:pPr>
              <w:textAlignment w:val="bottom"/>
            </w:pPr>
            <w:r>
              <w:rPr>
                <w:rFonts w:ascii="Arial" w:eastAsia="宋体" w:hAnsi="Arial" w:cs="Arial"/>
                <w:color w:val="000000"/>
                <w:sz w:val="17"/>
                <w:szCs w:val="17"/>
              </w:rPr>
              <w:t>XBRL Taxonomy Extension Presentation Linkbase Document.</w:t>
            </w:r>
          </w:p>
        </w:tc>
      </w:tr>
      <w:tr w:rsidR="00066C63" w14:paraId="669C7DC9" w14:textId="77777777">
        <w:tc>
          <w:tcPr>
            <w:tcW w:w="0" w:type="auto"/>
            <w:gridSpan w:val="3"/>
            <w:tcBorders>
              <w:top w:val="single" w:sz="8" w:space="0" w:color="808080"/>
              <w:bottom w:val="single" w:sz="8" w:space="0" w:color="E87722"/>
            </w:tcBorders>
            <w:shd w:val="clear" w:color="auto" w:fill="auto"/>
            <w:tcMar>
              <w:top w:w="40" w:type="dxa"/>
              <w:left w:w="20" w:type="dxa"/>
              <w:bottom w:w="40" w:type="dxa"/>
              <w:right w:w="20" w:type="dxa"/>
            </w:tcMar>
          </w:tcPr>
          <w:p w14:paraId="669C7DC7" w14:textId="77777777" w:rsidR="00066C63" w:rsidRDefault="009656F6">
            <w:pPr>
              <w:textAlignment w:val="top"/>
            </w:pPr>
            <w:r>
              <w:rPr>
                <w:rFonts w:ascii="Arial" w:eastAsia="宋体" w:hAnsi="Arial" w:cs="Arial"/>
                <w:color w:val="000000"/>
                <w:sz w:val="17"/>
                <w:szCs w:val="17"/>
              </w:rPr>
              <w:t>104</w:t>
            </w:r>
          </w:p>
        </w:tc>
        <w:tc>
          <w:tcPr>
            <w:tcW w:w="0" w:type="auto"/>
            <w:gridSpan w:val="3"/>
            <w:tcBorders>
              <w:top w:val="single" w:sz="8" w:space="0" w:color="808080"/>
              <w:bottom w:val="single" w:sz="8" w:space="0" w:color="E87722"/>
            </w:tcBorders>
            <w:shd w:val="clear" w:color="auto" w:fill="auto"/>
            <w:tcMar>
              <w:top w:w="40" w:type="dxa"/>
              <w:left w:w="20" w:type="dxa"/>
              <w:bottom w:w="40" w:type="dxa"/>
              <w:right w:w="20" w:type="dxa"/>
            </w:tcMar>
            <w:vAlign w:val="bottom"/>
          </w:tcPr>
          <w:p w14:paraId="669C7DC8" w14:textId="77777777" w:rsidR="00066C63" w:rsidRDefault="009656F6">
            <w:pPr>
              <w:textAlignment w:val="bottom"/>
            </w:pPr>
            <w:r>
              <w:rPr>
                <w:rFonts w:ascii="Arial" w:eastAsia="宋体" w:hAnsi="Arial" w:cs="Arial"/>
                <w:color w:val="000000"/>
                <w:sz w:val="17"/>
                <w:szCs w:val="17"/>
              </w:rPr>
              <w:t xml:space="preserve">Cover Page Interactive Data File (formatted in iXBRL </w:t>
            </w:r>
            <w:r>
              <w:rPr>
                <w:rFonts w:ascii="Arial" w:eastAsia="宋体" w:hAnsi="Arial" w:cs="Arial"/>
                <w:color w:val="000000"/>
                <w:sz w:val="17"/>
                <w:szCs w:val="17"/>
              </w:rPr>
              <w:t>Exhibit 101)</w:t>
            </w:r>
          </w:p>
        </w:tc>
      </w:tr>
    </w:tbl>
    <w:p w14:paraId="669C7DCA" w14:textId="77777777" w:rsidR="00066C63" w:rsidRDefault="009656F6">
      <w:pPr>
        <w:spacing w:before="120" w:after="120"/>
      </w:pPr>
      <w:r>
        <w:rPr>
          <w:rFonts w:ascii="Arial" w:eastAsia="宋体" w:hAnsi="Arial" w:cs="Arial"/>
          <w:color w:val="000000"/>
          <w:sz w:val="17"/>
          <w:szCs w:val="17"/>
        </w:rPr>
        <w:t>†</w:t>
      </w:r>
      <w:r>
        <w:rPr>
          <w:rFonts w:ascii="Arial" w:eastAsia="宋体" w:hAnsi="Arial" w:cs="Arial"/>
          <w:i/>
          <w:iCs/>
          <w:color w:val="000000"/>
          <w:sz w:val="17"/>
          <w:szCs w:val="17"/>
        </w:rPr>
        <w:t xml:space="preserve"> Furnished herewith</w:t>
      </w:r>
    </w:p>
    <w:p w14:paraId="669C7DCB" w14:textId="77777777" w:rsidR="00066C63" w:rsidRDefault="009656F6">
      <w:pPr>
        <w:spacing w:before="120" w:after="120"/>
      </w:pPr>
      <w:r>
        <w:rPr>
          <w:rFonts w:ascii="Arial" w:eastAsia="宋体" w:hAnsi="Arial" w:cs="Arial"/>
          <w:color w:val="E87722"/>
          <w:sz w:val="17"/>
          <w:szCs w:val="17"/>
        </w:rPr>
        <w:t>48</w:t>
      </w:r>
      <w:r>
        <w:rPr>
          <w:rFonts w:ascii="sans-serif" w:eastAsia="sans-serif" w:hAnsi="sans-serif" w:cs="sans-serif"/>
          <w:color w:val="000000"/>
          <w:sz w:val="17"/>
          <w:szCs w:val="17"/>
        </w:rPr>
        <w:t xml:space="preserve"> </w:t>
      </w:r>
    </w:p>
    <w:p w14:paraId="669C7DCC" w14:textId="77777777" w:rsidR="00066C63" w:rsidRDefault="009656F6">
      <w:r>
        <w:pict w14:anchorId="669C7E60">
          <v:rect id="_x0000_i1074" style="width:415.3pt;height:1.5pt" o:hralign="center" o:hrstd="t" o:hr="t" fillcolor="#a0a0a0" stroked="f"/>
        </w:pict>
      </w:r>
    </w:p>
    <w:p w14:paraId="669C7DCD" w14:textId="77777777" w:rsidR="00066C63" w:rsidRDefault="00066C63"/>
    <w:p w14:paraId="669C7DCE" w14:textId="77777777" w:rsidR="00066C63" w:rsidRDefault="009656F6">
      <w:hyperlink r:id="rId126" w:anchor="i1e99cb26debe49fe8b698d0f0eb1273a_7" w:history="1">
        <w:r>
          <w:rPr>
            <w:rStyle w:val="a5"/>
            <w:rFonts w:ascii="sans-serif" w:eastAsia="sans-serif" w:hAnsi="sans-serif" w:cs="sans-serif"/>
            <w:sz w:val="17"/>
            <w:szCs w:val="17"/>
          </w:rPr>
          <w:t>Table of Contents</w:t>
        </w:r>
      </w:hyperlink>
    </w:p>
    <w:p w14:paraId="669C7DCF" w14:textId="77777777" w:rsidR="00066C63" w:rsidRDefault="00066C63"/>
    <w:p w14:paraId="669C7DD0" w14:textId="77777777" w:rsidR="00066C63" w:rsidRDefault="009656F6">
      <w:pPr>
        <w:spacing w:before="360" w:after="180"/>
      </w:pPr>
      <w:r>
        <w:rPr>
          <w:rFonts w:ascii="sans-serif" w:eastAsia="sans-serif" w:hAnsi="sans-serif" w:cs="sans-serif"/>
          <w:color w:val="000000"/>
          <w:sz w:val="44"/>
          <w:szCs w:val="44"/>
        </w:rPr>
        <w:t>SIGNATURES</w:t>
      </w:r>
    </w:p>
    <w:p w14:paraId="669C7DD1" w14:textId="77777777" w:rsidR="00066C63" w:rsidRDefault="009656F6">
      <w:pPr>
        <w:spacing w:before="120"/>
      </w:pPr>
      <w:r>
        <w:rPr>
          <w:rFonts w:ascii="Arial" w:eastAsia="宋体" w:hAnsi="Arial" w:cs="Arial"/>
          <w:color w:val="000000"/>
          <w:sz w:val="17"/>
          <w:szCs w:val="17"/>
        </w:rPr>
        <w:t>Pursuant to the requirements of the Securities Exchange Act of 1934, the r</w:t>
      </w:r>
      <w:r>
        <w:rPr>
          <w:rFonts w:ascii="Arial" w:eastAsia="宋体" w:hAnsi="Arial" w:cs="Arial"/>
          <w:color w:val="000000"/>
          <w:sz w:val="17"/>
          <w:szCs w:val="17"/>
        </w:rPr>
        <w:t>egistrant has duly caused this report to be signed on its behalf by the undersigned, thereunto duly authorized.</w:t>
      </w:r>
    </w:p>
    <w:tbl>
      <w:tblPr>
        <w:tblW w:w="5000" w:type="pct"/>
        <w:tblCellMar>
          <w:top w:w="15" w:type="dxa"/>
          <w:left w:w="15" w:type="dxa"/>
          <w:bottom w:w="15" w:type="dxa"/>
          <w:right w:w="15" w:type="dxa"/>
        </w:tblCellMar>
        <w:tblLook w:val="04A0" w:firstRow="1" w:lastRow="0" w:firstColumn="1" w:lastColumn="0" w:noHBand="0" w:noVBand="1"/>
      </w:tblPr>
      <w:tblGrid>
        <w:gridCol w:w="81"/>
        <w:gridCol w:w="358"/>
        <w:gridCol w:w="36"/>
        <w:gridCol w:w="36"/>
        <w:gridCol w:w="97"/>
        <w:gridCol w:w="36"/>
        <w:gridCol w:w="61"/>
        <w:gridCol w:w="7594"/>
        <w:gridCol w:w="37"/>
      </w:tblGrid>
      <w:tr w:rsidR="00066C63" w14:paraId="669C7DDB" w14:textId="77777777">
        <w:tc>
          <w:tcPr>
            <w:tcW w:w="50" w:type="pct"/>
            <w:shd w:val="clear" w:color="auto" w:fill="auto"/>
          </w:tcPr>
          <w:p w14:paraId="669C7DD2" w14:textId="77777777" w:rsidR="00066C63" w:rsidRDefault="00066C63">
            <w:pPr>
              <w:rPr>
                <w:rFonts w:ascii="宋体"/>
              </w:rPr>
            </w:pPr>
          </w:p>
        </w:tc>
        <w:tc>
          <w:tcPr>
            <w:tcW w:w="222" w:type="pct"/>
            <w:shd w:val="clear" w:color="auto" w:fill="auto"/>
          </w:tcPr>
          <w:p w14:paraId="669C7DD3" w14:textId="77777777" w:rsidR="00066C63" w:rsidRDefault="00066C63">
            <w:pPr>
              <w:rPr>
                <w:rFonts w:ascii="宋体"/>
              </w:rPr>
            </w:pPr>
          </w:p>
        </w:tc>
        <w:tc>
          <w:tcPr>
            <w:tcW w:w="5" w:type="pct"/>
            <w:shd w:val="clear" w:color="auto" w:fill="auto"/>
          </w:tcPr>
          <w:p w14:paraId="669C7DD4" w14:textId="77777777" w:rsidR="00066C63" w:rsidRDefault="00066C63">
            <w:pPr>
              <w:rPr>
                <w:rFonts w:ascii="宋体"/>
              </w:rPr>
            </w:pPr>
          </w:p>
        </w:tc>
        <w:tc>
          <w:tcPr>
            <w:tcW w:w="5" w:type="pct"/>
            <w:shd w:val="clear" w:color="auto" w:fill="auto"/>
          </w:tcPr>
          <w:p w14:paraId="669C7DD5" w14:textId="77777777" w:rsidR="00066C63" w:rsidRDefault="00066C63">
            <w:pPr>
              <w:rPr>
                <w:rFonts w:ascii="宋体"/>
              </w:rPr>
            </w:pPr>
          </w:p>
        </w:tc>
        <w:tc>
          <w:tcPr>
            <w:tcW w:w="90" w:type="pct"/>
            <w:shd w:val="clear" w:color="auto" w:fill="auto"/>
          </w:tcPr>
          <w:p w14:paraId="669C7DD6" w14:textId="77777777" w:rsidR="00066C63" w:rsidRDefault="00066C63">
            <w:pPr>
              <w:rPr>
                <w:rFonts w:ascii="宋体"/>
              </w:rPr>
            </w:pPr>
          </w:p>
        </w:tc>
        <w:tc>
          <w:tcPr>
            <w:tcW w:w="5" w:type="pct"/>
            <w:shd w:val="clear" w:color="auto" w:fill="auto"/>
          </w:tcPr>
          <w:p w14:paraId="669C7DD7" w14:textId="77777777" w:rsidR="00066C63" w:rsidRDefault="00066C63">
            <w:pPr>
              <w:rPr>
                <w:rFonts w:ascii="宋体"/>
              </w:rPr>
            </w:pPr>
          </w:p>
        </w:tc>
        <w:tc>
          <w:tcPr>
            <w:tcW w:w="50" w:type="pct"/>
            <w:shd w:val="clear" w:color="auto" w:fill="auto"/>
          </w:tcPr>
          <w:p w14:paraId="669C7DD8" w14:textId="77777777" w:rsidR="00066C63" w:rsidRDefault="00066C63">
            <w:pPr>
              <w:rPr>
                <w:rFonts w:ascii="宋体"/>
              </w:rPr>
            </w:pPr>
          </w:p>
        </w:tc>
        <w:tc>
          <w:tcPr>
            <w:tcW w:w="4566" w:type="pct"/>
            <w:shd w:val="clear" w:color="auto" w:fill="auto"/>
          </w:tcPr>
          <w:p w14:paraId="669C7DD9" w14:textId="77777777" w:rsidR="00066C63" w:rsidRDefault="00066C63">
            <w:pPr>
              <w:rPr>
                <w:rFonts w:ascii="宋体"/>
              </w:rPr>
            </w:pPr>
          </w:p>
        </w:tc>
        <w:tc>
          <w:tcPr>
            <w:tcW w:w="5" w:type="pct"/>
            <w:shd w:val="clear" w:color="auto" w:fill="auto"/>
          </w:tcPr>
          <w:p w14:paraId="669C7DDA" w14:textId="77777777" w:rsidR="00066C63" w:rsidRDefault="00066C63">
            <w:pPr>
              <w:rPr>
                <w:rFonts w:ascii="宋体"/>
              </w:rPr>
            </w:pPr>
          </w:p>
        </w:tc>
      </w:tr>
      <w:tr w:rsidR="00066C63" w14:paraId="669C7DDE" w14:textId="77777777">
        <w:tc>
          <w:tcPr>
            <w:tcW w:w="0" w:type="auto"/>
            <w:gridSpan w:val="9"/>
            <w:shd w:val="clear" w:color="auto" w:fill="auto"/>
            <w:tcMar>
              <w:top w:w="40" w:type="dxa"/>
              <w:left w:w="20" w:type="dxa"/>
              <w:bottom w:w="40" w:type="dxa"/>
              <w:right w:w="20" w:type="dxa"/>
            </w:tcMar>
            <w:vAlign w:val="bottom"/>
          </w:tcPr>
          <w:p w14:paraId="669C7DDC" w14:textId="77777777" w:rsidR="00066C63" w:rsidRDefault="009656F6">
            <w:pPr>
              <w:textAlignment w:val="bottom"/>
            </w:pPr>
            <w:r>
              <w:rPr>
                <w:rFonts w:ascii="Arial" w:eastAsia="宋体" w:hAnsi="Arial" w:cs="Arial"/>
                <w:b/>
                <w:bCs/>
                <w:color w:val="000000"/>
                <w:sz w:val="17"/>
                <w:szCs w:val="17"/>
              </w:rPr>
              <w:t xml:space="preserve">NIKE, INC. </w:t>
            </w:r>
          </w:p>
          <w:p w14:paraId="669C7DDD" w14:textId="77777777" w:rsidR="00066C63" w:rsidRDefault="009656F6">
            <w:pPr>
              <w:textAlignment w:val="bottom"/>
            </w:pPr>
            <w:r>
              <w:rPr>
                <w:rFonts w:ascii="Arial" w:eastAsia="宋体" w:hAnsi="Arial" w:cs="Arial"/>
                <w:b/>
                <w:bCs/>
                <w:color w:val="000000"/>
                <w:sz w:val="17"/>
                <w:szCs w:val="17"/>
              </w:rPr>
              <w:t>an Oregon Corporation</w:t>
            </w:r>
          </w:p>
        </w:tc>
      </w:tr>
      <w:tr w:rsidR="00066C63" w14:paraId="669C7DE4" w14:textId="77777777">
        <w:tc>
          <w:tcPr>
            <w:tcW w:w="0" w:type="auto"/>
            <w:gridSpan w:val="3"/>
            <w:tcBorders>
              <w:top w:val="single" w:sz="8" w:space="0" w:color="808080"/>
            </w:tcBorders>
            <w:shd w:val="clear" w:color="auto" w:fill="auto"/>
            <w:tcMar>
              <w:top w:w="40" w:type="dxa"/>
              <w:left w:w="20" w:type="dxa"/>
              <w:bottom w:w="40" w:type="dxa"/>
              <w:right w:w="20" w:type="dxa"/>
            </w:tcMar>
          </w:tcPr>
          <w:p w14:paraId="669C7DDF" w14:textId="77777777" w:rsidR="00066C63" w:rsidRDefault="009656F6">
            <w:pPr>
              <w:textAlignment w:val="top"/>
            </w:pPr>
            <w:r>
              <w:rPr>
                <w:rFonts w:ascii="Arial" w:eastAsia="宋体" w:hAnsi="Arial" w:cs="Arial"/>
                <w:color w:val="000000"/>
                <w:sz w:val="17"/>
                <w:szCs w:val="17"/>
              </w:rPr>
              <w:t>By:</w:t>
            </w:r>
          </w:p>
        </w:tc>
        <w:tc>
          <w:tcPr>
            <w:tcW w:w="0" w:type="auto"/>
            <w:gridSpan w:val="3"/>
            <w:tcBorders>
              <w:top w:val="single" w:sz="8" w:space="0" w:color="808080"/>
            </w:tcBorders>
            <w:shd w:val="clear" w:color="auto" w:fill="auto"/>
            <w:tcMar>
              <w:top w:w="0" w:type="dxa"/>
              <w:left w:w="20" w:type="dxa"/>
              <w:bottom w:w="0" w:type="dxa"/>
              <w:right w:w="20" w:type="dxa"/>
            </w:tcMar>
          </w:tcPr>
          <w:p w14:paraId="669C7DE0" w14:textId="77777777" w:rsidR="00066C63" w:rsidRDefault="00066C63">
            <w:pPr>
              <w:rPr>
                <w:rFonts w:ascii="宋体"/>
              </w:rPr>
            </w:pP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669C7DE1" w14:textId="77777777" w:rsidR="00066C63" w:rsidRDefault="009656F6">
            <w:pPr>
              <w:textAlignment w:val="bottom"/>
            </w:pPr>
            <w:r>
              <w:rPr>
                <w:rFonts w:ascii="Arial" w:eastAsia="宋体" w:hAnsi="Arial" w:cs="Arial"/>
                <w:color w:val="000000"/>
                <w:sz w:val="17"/>
                <w:szCs w:val="17"/>
              </w:rPr>
              <w:t>/s/ MATTHEW FRIEND</w:t>
            </w:r>
          </w:p>
          <w:p w14:paraId="669C7DE2" w14:textId="77777777" w:rsidR="00066C63" w:rsidRDefault="009656F6">
            <w:pPr>
              <w:textAlignment w:val="bottom"/>
            </w:pPr>
            <w:r>
              <w:rPr>
                <w:rFonts w:ascii="Arial" w:eastAsia="宋体" w:hAnsi="Arial" w:cs="Arial"/>
                <w:b/>
                <w:bCs/>
                <w:color w:val="000000"/>
                <w:sz w:val="17"/>
                <w:szCs w:val="17"/>
              </w:rPr>
              <w:t>Matthew Friend</w:t>
            </w:r>
          </w:p>
          <w:p w14:paraId="669C7DE3" w14:textId="77777777" w:rsidR="00066C63" w:rsidRDefault="009656F6">
            <w:pPr>
              <w:textAlignment w:val="bottom"/>
            </w:pPr>
            <w:r>
              <w:rPr>
                <w:rFonts w:ascii="Arial" w:eastAsia="宋体" w:hAnsi="Arial" w:cs="Arial"/>
                <w:color w:val="000000"/>
                <w:sz w:val="17"/>
                <w:szCs w:val="17"/>
              </w:rPr>
              <w:t>Chief Financial Officer and Authorized Officer</w:t>
            </w:r>
          </w:p>
        </w:tc>
      </w:tr>
      <w:tr w:rsidR="00066C63" w14:paraId="669C7DE8" w14:textId="77777777">
        <w:tc>
          <w:tcPr>
            <w:tcW w:w="0" w:type="auto"/>
            <w:gridSpan w:val="3"/>
            <w:tcBorders>
              <w:bottom w:val="single" w:sz="8" w:space="0" w:color="808080"/>
            </w:tcBorders>
            <w:shd w:val="clear" w:color="auto" w:fill="auto"/>
            <w:tcMar>
              <w:top w:w="40" w:type="dxa"/>
              <w:left w:w="20" w:type="dxa"/>
              <w:bottom w:w="40" w:type="dxa"/>
              <w:right w:w="20" w:type="dxa"/>
            </w:tcMar>
            <w:vAlign w:val="bottom"/>
          </w:tcPr>
          <w:p w14:paraId="669C7DE5" w14:textId="77777777" w:rsidR="00066C63" w:rsidRDefault="009656F6">
            <w:pPr>
              <w:textAlignment w:val="bottom"/>
            </w:pPr>
            <w:r>
              <w:rPr>
                <w:rFonts w:ascii="Arial" w:eastAsia="宋体" w:hAnsi="Arial" w:cs="Arial"/>
                <w:color w:val="000000"/>
                <w:sz w:val="17"/>
                <w:szCs w:val="17"/>
              </w:rPr>
              <w:t>Date:</w:t>
            </w:r>
          </w:p>
        </w:tc>
        <w:tc>
          <w:tcPr>
            <w:tcW w:w="0" w:type="auto"/>
            <w:gridSpan w:val="3"/>
            <w:tcBorders>
              <w:bottom w:val="single" w:sz="8" w:space="0" w:color="808080"/>
            </w:tcBorders>
            <w:shd w:val="clear" w:color="auto" w:fill="auto"/>
            <w:tcMar>
              <w:top w:w="0" w:type="dxa"/>
              <w:left w:w="20" w:type="dxa"/>
              <w:bottom w:w="0" w:type="dxa"/>
              <w:right w:w="20" w:type="dxa"/>
            </w:tcMar>
          </w:tcPr>
          <w:p w14:paraId="669C7DE6" w14:textId="77777777" w:rsidR="00066C63" w:rsidRDefault="00066C63">
            <w:pPr>
              <w:rPr>
                <w:rFonts w:ascii="宋体"/>
              </w:rPr>
            </w:pPr>
          </w:p>
        </w:tc>
        <w:tc>
          <w:tcPr>
            <w:tcW w:w="0" w:type="auto"/>
            <w:gridSpan w:val="3"/>
            <w:tcBorders>
              <w:bottom w:val="single" w:sz="8" w:space="0" w:color="808080"/>
            </w:tcBorders>
            <w:shd w:val="clear" w:color="auto" w:fill="auto"/>
            <w:tcMar>
              <w:top w:w="40" w:type="dxa"/>
              <w:left w:w="20" w:type="dxa"/>
              <w:bottom w:w="40" w:type="dxa"/>
              <w:right w:w="20" w:type="dxa"/>
            </w:tcMar>
            <w:vAlign w:val="bottom"/>
          </w:tcPr>
          <w:p w14:paraId="669C7DE7" w14:textId="77777777" w:rsidR="00066C63" w:rsidRDefault="009656F6">
            <w:pPr>
              <w:textAlignment w:val="bottom"/>
            </w:pPr>
            <w:r>
              <w:rPr>
                <w:rFonts w:ascii="Arial" w:eastAsia="宋体" w:hAnsi="Arial" w:cs="Arial"/>
                <w:color w:val="000000"/>
                <w:sz w:val="17"/>
                <w:szCs w:val="17"/>
              </w:rPr>
              <w:t>April 2, 2021</w:t>
            </w:r>
          </w:p>
        </w:tc>
      </w:tr>
    </w:tbl>
    <w:p w14:paraId="669C7DE9" w14:textId="77777777" w:rsidR="00066C63" w:rsidRDefault="009656F6">
      <w:pPr>
        <w:spacing w:before="120" w:after="120"/>
        <w:jc w:val="right"/>
      </w:pPr>
      <w:r>
        <w:rPr>
          <w:rFonts w:ascii="Arial" w:eastAsia="宋体" w:hAnsi="Arial" w:cs="Arial"/>
          <w:color w:val="E87722"/>
          <w:sz w:val="17"/>
          <w:szCs w:val="17"/>
        </w:rPr>
        <w:t>49</w:t>
      </w:r>
    </w:p>
    <w:p w14:paraId="669C7DEA" w14:textId="77777777" w:rsidR="00066C63" w:rsidRDefault="009656F6">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669C7E61" wp14:editId="669C7E62">
                <wp:extent cx="635" cy="0"/>
                <wp:effectExtent l="0" t="0" r="0" b="0"/>
                <wp:docPr id="8" name="矩形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VDvO5/wEAABgEAAAOAAAAAAAAAAEA&#10;IAAAADMBAABkcnMvZTJvRG9jLnhtbFBLBQYAAAAABgAGAFkBAACkBQAAAAA=&#10;">
                <v:path/>
                <v:fill on="f" focussize="0,0"/>
                <v:stroke/>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66C63" w14:paraId="669C7DEC" w14:textId="77777777">
        <w:trPr>
          <w:tblCellSpacing w:w="15" w:type="dxa"/>
        </w:trPr>
        <w:tc>
          <w:tcPr>
            <w:tcW w:w="0" w:type="auto"/>
            <w:shd w:val="clear" w:color="auto" w:fill="auto"/>
            <w:vAlign w:val="center"/>
          </w:tcPr>
          <w:p w14:paraId="669C7DEB" w14:textId="77777777" w:rsidR="00066C63" w:rsidRDefault="00066C63">
            <w:pPr>
              <w:rPr>
                <w:rFonts w:ascii="宋体"/>
              </w:rPr>
            </w:pPr>
          </w:p>
        </w:tc>
      </w:tr>
    </w:tbl>
    <w:p w14:paraId="669C7DED" w14:textId="77777777" w:rsidR="00066C63" w:rsidRDefault="00066C6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66C63" w14:paraId="669C7DEF" w14:textId="77777777">
        <w:trPr>
          <w:tblCellSpacing w:w="15" w:type="dxa"/>
        </w:trPr>
        <w:tc>
          <w:tcPr>
            <w:tcW w:w="0" w:type="auto"/>
            <w:shd w:val="clear" w:color="auto" w:fill="auto"/>
            <w:vAlign w:val="center"/>
          </w:tcPr>
          <w:p w14:paraId="669C7DEE" w14:textId="77777777" w:rsidR="00066C63" w:rsidRDefault="00066C63">
            <w:pPr>
              <w:rPr>
                <w:rFonts w:ascii="宋体"/>
              </w:rPr>
            </w:pPr>
          </w:p>
        </w:tc>
      </w:tr>
    </w:tbl>
    <w:p w14:paraId="669C7DF0" w14:textId="77777777" w:rsidR="00066C63" w:rsidRDefault="00066C6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66C63" w14:paraId="669C7DF2" w14:textId="77777777">
        <w:trPr>
          <w:tblCellSpacing w:w="15" w:type="dxa"/>
        </w:trPr>
        <w:tc>
          <w:tcPr>
            <w:tcW w:w="0" w:type="auto"/>
            <w:shd w:val="clear" w:color="auto" w:fill="auto"/>
            <w:vAlign w:val="center"/>
          </w:tcPr>
          <w:p w14:paraId="669C7DF1" w14:textId="77777777" w:rsidR="00066C63" w:rsidRDefault="00066C63">
            <w:pPr>
              <w:rPr>
                <w:rFonts w:ascii="宋体"/>
              </w:rPr>
            </w:pPr>
          </w:p>
        </w:tc>
      </w:tr>
    </w:tbl>
    <w:p w14:paraId="669C7DF3" w14:textId="77777777" w:rsidR="00066C63" w:rsidRDefault="00066C6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66C63" w14:paraId="669C7DF5" w14:textId="77777777">
        <w:trPr>
          <w:tblCellSpacing w:w="15" w:type="dxa"/>
        </w:trPr>
        <w:tc>
          <w:tcPr>
            <w:tcW w:w="0" w:type="auto"/>
            <w:shd w:val="clear" w:color="auto" w:fill="auto"/>
            <w:vAlign w:val="center"/>
          </w:tcPr>
          <w:p w14:paraId="669C7DF4" w14:textId="77777777" w:rsidR="00066C63" w:rsidRDefault="00066C63">
            <w:pPr>
              <w:rPr>
                <w:rFonts w:ascii="宋体"/>
              </w:rPr>
            </w:pPr>
          </w:p>
        </w:tc>
      </w:tr>
    </w:tbl>
    <w:p w14:paraId="669C7DF6" w14:textId="77777777" w:rsidR="00066C63" w:rsidRDefault="009656F6">
      <w:r>
        <w:rPr>
          <w:rFonts w:ascii="宋体" w:eastAsia="宋体" w:hAnsi="宋体" w:cs="宋体"/>
        </w:rPr>
        <w:t xml:space="preserve">Previous Next </w:t>
      </w:r>
    </w:p>
    <w:p w14:paraId="669C7DF7" w14:textId="77777777" w:rsidR="00066C63" w:rsidRDefault="009656F6">
      <w:pPr>
        <w:pStyle w:val="a3"/>
      </w:pPr>
      <w:r>
        <w:t>Settings</w:t>
      </w:r>
    </w:p>
    <w:p w14:paraId="669C7DF8" w14:textId="77777777" w:rsidR="00066C63" w:rsidRDefault="009656F6">
      <w:pPr>
        <w:pStyle w:val="Style4"/>
      </w:pPr>
      <w:r>
        <w:t>窗体顶端</w:t>
      </w:r>
    </w:p>
    <w:p w14:paraId="669C7DF9" w14:textId="77777777" w:rsidR="00066C63" w:rsidRDefault="009656F6">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669C7E63" wp14:editId="669C7E64">
                <wp:extent cx="635" cy="0"/>
                <wp:effectExtent l="0" t="0" r="0" b="0"/>
                <wp:docPr id="9" name="矩形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sTM6c/wEAABgEAAAOAAAAAAAAAAEA&#10;IAAAADMBAABkcnMvZTJvRG9jLnhtbFBLBQYAAAAABgAGAFkBAACkBQAAAAA=&#10;">
                <v:path/>
                <v:fill on="f" focussize="0,0"/>
                <v:stroke/>
                <v:imagedata o:title=""/>
                <o:lock v:ext="edit" aspectratio="t"/>
                <w10:wrap type="none"/>
                <w10:anchorlock/>
              </v:rect>
            </w:pict>
          </mc:Fallback>
        </mc:AlternateContent>
      </w:r>
      <w:r>
        <w:rPr>
          <w:rFonts w:ascii="宋体" w:eastAsia="宋体" w:hAnsi="宋体" w:cs="宋体"/>
        </w:rPr>
        <w:t xml:space="preserve"> </w:t>
      </w:r>
    </w:p>
    <w:p w14:paraId="669C7DFA" w14:textId="77777777" w:rsidR="00066C63" w:rsidRDefault="009656F6">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669C7E65" wp14:editId="669C7E66">
                <wp:extent cx="635" cy="0"/>
                <wp:effectExtent l="0" t="0" r="0" b="0"/>
                <wp:docPr id="10" name="矩形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1By7Q/8B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UHLtD/wEAABoEAAAOAAAAAAAAAAEA&#10;IAAAADMBAABkcnMvZTJvRG9jLnhtbFBLBQYAAAAABgAGAFkBAACkBQAAAAA=&#10;">
                <v:path/>
                <v:fill on="f" focussize="0,0"/>
                <v:stroke/>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to the (Top, or Middle) of the viewer window. This setting will have no use on IE 10, or Safari. </w:t>
      </w:r>
    </w:p>
    <w:p w14:paraId="669C7DFB" w14:textId="77777777" w:rsidR="00066C63" w:rsidRDefault="009656F6">
      <w:r>
        <w:pict w14:anchorId="669C7E67">
          <v:rect id="_x0000_i1075" style="width:415.3pt;height:1.5pt" o:hralign="center" o:hrstd="t" o:hr="t" fillcolor="#a0a0a0" stroked="f"/>
        </w:pict>
      </w:r>
    </w:p>
    <w:p w14:paraId="669C7DFC" w14:textId="77777777" w:rsidR="00066C63" w:rsidRDefault="009656F6">
      <w:r>
        <w:rPr>
          <w:rFonts w:ascii="宋体" w:eastAsia="宋体" w:hAnsi="宋体" w:cs="宋体"/>
        </w:rPr>
        <w:t xml:space="preserve">Tagged Data </w:t>
      </w:r>
    </w:p>
    <w:p w14:paraId="669C7DFD" w14:textId="77777777" w:rsidR="00066C63" w:rsidRDefault="009656F6">
      <w:r>
        <w:rPr>
          <w:rFonts w:ascii="monospace" w:eastAsia="monospace" w:hAnsi="monospace" w:cs="monospace"/>
          <w:noProof/>
        </w:rPr>
        <mc:AlternateContent>
          <mc:Choice Requires="wps">
            <w:drawing>
              <wp:inline distT="0" distB="0" distL="114300" distR="114300" wp14:anchorId="669C7E68" wp14:editId="669C7E69">
                <wp:extent cx="635" cy="0"/>
                <wp:effectExtent l="0" t="0" r="0" b="0"/>
                <wp:docPr id="11" name="矩形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H/dV3gACAAAaBAAADgAAAAAAAAAB&#10;ACAAAAAzAQAAZHJzL2Uyb0RvYy54bWxQSwUGAAAAAAYABgBZAQAApQUAAAAA&#10;">
                <v:path/>
                <v:fill on="f" focussize="0,0"/>
                <v:stroke/>
                <v:imagedata o:title=""/>
                <o:lock v:ext="edit" aspectratio="t"/>
                <w10:wrap type="none"/>
                <w10:anchorlock/>
              </v:rect>
            </w:pict>
          </mc:Fallback>
        </mc:AlternateContent>
      </w:r>
    </w:p>
    <w:p w14:paraId="669C7DFE" w14:textId="77777777" w:rsidR="00066C63" w:rsidRDefault="009656F6">
      <w:r>
        <w:rPr>
          <w:rFonts w:ascii="宋体" w:eastAsia="宋体" w:hAnsi="宋体" w:cs="宋体"/>
        </w:rPr>
        <w:t>Save</w:t>
      </w:r>
    </w:p>
    <w:p w14:paraId="669C7DFF" w14:textId="77777777" w:rsidR="00066C63" w:rsidRDefault="009656F6">
      <w:r>
        <w:rPr>
          <w:rFonts w:ascii="宋体" w:eastAsia="宋体" w:hAnsi="宋体" w:cs="宋体"/>
        </w:rPr>
        <w:t>Reset</w:t>
      </w:r>
    </w:p>
    <w:p w14:paraId="669C7E00" w14:textId="77777777" w:rsidR="00066C63" w:rsidRDefault="009656F6">
      <w:r>
        <w:pict w14:anchorId="669C7E6A">
          <v:rect id="_x0000_i1076" style="width:415.3pt;height:1.5pt" o:hralign="center" o:hrstd="t" o:hr="t" fillcolor="#a0a0a0" stroked="f"/>
        </w:pict>
      </w:r>
    </w:p>
    <w:p w14:paraId="669C7E01" w14:textId="77777777" w:rsidR="00066C63" w:rsidRDefault="009656F6">
      <w:r>
        <w:rPr>
          <w:rFonts w:ascii="宋体" w:eastAsia="宋体" w:hAnsi="宋体" w:cs="宋体"/>
        </w:rPr>
        <w:t xml:space="preserve">Search Results </w:t>
      </w:r>
    </w:p>
    <w:p w14:paraId="669C7E02" w14:textId="77777777" w:rsidR="00066C63" w:rsidRDefault="009656F6">
      <w:r>
        <w:rPr>
          <w:rFonts w:ascii="monospace" w:eastAsia="monospace" w:hAnsi="monospace" w:cs="monospace"/>
          <w:noProof/>
        </w:rPr>
        <mc:AlternateContent>
          <mc:Choice Requires="wps">
            <w:drawing>
              <wp:inline distT="0" distB="0" distL="114300" distR="114300" wp14:anchorId="669C7E6B" wp14:editId="669C7E6C">
                <wp:extent cx="635" cy="0"/>
                <wp:effectExtent l="0" t="0" r="0" b="0"/>
                <wp:docPr id="12" name="矩形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A80XowAC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A80XowACAAAaBAAADgAAAAAAAAAB&#10;ACAAAAAzAQAAZHJzL2Uyb0RvYy54bWxQSwUGAAAAAAYABgBZAQAApQUAAAAA&#10;">
                <v:path/>
                <v:fill on="f" focussize="0,0"/>
                <v:stroke/>
                <v:imagedata o:title=""/>
                <o:lock v:ext="edit" aspectratio="t"/>
                <w10:wrap type="none"/>
                <w10:anchorlock/>
              </v:rect>
            </w:pict>
          </mc:Fallback>
        </mc:AlternateContent>
      </w:r>
    </w:p>
    <w:p w14:paraId="669C7E03" w14:textId="77777777" w:rsidR="00066C63" w:rsidRDefault="009656F6">
      <w:r>
        <w:rPr>
          <w:rFonts w:ascii="宋体" w:eastAsia="宋体" w:hAnsi="宋体" w:cs="宋体"/>
        </w:rPr>
        <w:t>Save</w:t>
      </w:r>
    </w:p>
    <w:p w14:paraId="669C7E04" w14:textId="77777777" w:rsidR="00066C63" w:rsidRDefault="009656F6">
      <w:r>
        <w:rPr>
          <w:rFonts w:ascii="宋体" w:eastAsia="宋体" w:hAnsi="宋体" w:cs="宋体"/>
        </w:rPr>
        <w:t>Reset</w:t>
      </w:r>
    </w:p>
    <w:p w14:paraId="669C7E05" w14:textId="77777777" w:rsidR="00066C63" w:rsidRDefault="009656F6">
      <w:r>
        <w:pict w14:anchorId="669C7E6D">
          <v:rect id="_x0000_i1077" style="width:415.3pt;height:1.5pt" o:hralign="center" o:hrstd="t" o:hr="t" fillcolor="#a0a0a0" stroked="f"/>
        </w:pict>
      </w:r>
    </w:p>
    <w:p w14:paraId="669C7E06" w14:textId="77777777" w:rsidR="00066C63" w:rsidRDefault="009656F6">
      <w:r>
        <w:rPr>
          <w:rFonts w:ascii="宋体" w:eastAsia="宋体" w:hAnsi="宋体" w:cs="宋体"/>
        </w:rPr>
        <w:t xml:space="preserve">Selected Fact </w:t>
      </w:r>
    </w:p>
    <w:p w14:paraId="669C7E07" w14:textId="77777777" w:rsidR="00066C63" w:rsidRDefault="009656F6">
      <w:r>
        <w:rPr>
          <w:rFonts w:ascii="monospace" w:eastAsia="monospace" w:hAnsi="monospace" w:cs="monospace"/>
          <w:noProof/>
        </w:rPr>
        <mc:AlternateContent>
          <mc:Choice Requires="wps">
            <w:drawing>
              <wp:inline distT="0" distB="0" distL="114300" distR="114300" wp14:anchorId="669C7E6E" wp14:editId="669C7E6F">
                <wp:extent cx="635" cy="0"/>
                <wp:effectExtent l="0" t="0" r="0" b="0"/>
                <wp:docPr id="13" name="矩形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yCb5PgACAAAaBAAADgAAAAAAAAAB&#10;ACAAAAAzAQAAZHJzL2Uyb0RvYy54bWxQSwUGAAAAAAYABgBZAQAApQUAAAAA&#10;">
                <v:path/>
                <v:fill on="f" focussize="0,0"/>
                <v:stroke/>
                <v:imagedata o:title=""/>
                <o:lock v:ext="edit" aspectratio="t"/>
                <w10:wrap type="none"/>
                <w10:anchorlock/>
              </v:rect>
            </w:pict>
          </mc:Fallback>
        </mc:AlternateContent>
      </w:r>
    </w:p>
    <w:p w14:paraId="669C7E08" w14:textId="77777777" w:rsidR="00066C63" w:rsidRDefault="009656F6">
      <w:r>
        <w:rPr>
          <w:rFonts w:ascii="宋体" w:eastAsia="宋体" w:hAnsi="宋体" w:cs="宋体"/>
        </w:rPr>
        <w:t>Save</w:t>
      </w:r>
    </w:p>
    <w:p w14:paraId="669C7E09" w14:textId="77777777" w:rsidR="00066C63" w:rsidRDefault="009656F6">
      <w:r>
        <w:rPr>
          <w:rFonts w:ascii="宋体" w:eastAsia="宋体" w:hAnsi="宋体" w:cs="宋体"/>
        </w:rPr>
        <w:t>Reset</w:t>
      </w:r>
    </w:p>
    <w:p w14:paraId="669C7E0A" w14:textId="77777777" w:rsidR="00066C63" w:rsidRDefault="009656F6">
      <w:r>
        <w:pict w14:anchorId="669C7E70">
          <v:rect id="_x0000_i1078" style="width:415.3pt;height:1.5pt" o:hralign="center" o:hrstd="t" o:hr="t" fillcolor="#a0a0a0" stroked="f"/>
        </w:pict>
      </w:r>
    </w:p>
    <w:p w14:paraId="669C7E0B" w14:textId="77777777" w:rsidR="00066C63" w:rsidRDefault="009656F6">
      <w:r>
        <w:rPr>
          <w:rFonts w:ascii="宋体" w:eastAsia="宋体" w:hAnsi="宋体" w:cs="宋体"/>
        </w:rPr>
        <w:t xml:space="preserve">Tag Shading (hover) </w:t>
      </w:r>
    </w:p>
    <w:p w14:paraId="669C7E0C" w14:textId="77777777" w:rsidR="00066C63" w:rsidRDefault="009656F6">
      <w:r>
        <w:rPr>
          <w:rFonts w:ascii="monospace" w:eastAsia="monospace" w:hAnsi="monospace" w:cs="monospace"/>
          <w:noProof/>
        </w:rPr>
        <mc:AlternateContent>
          <mc:Choice Requires="wps">
            <w:drawing>
              <wp:inline distT="0" distB="0" distL="114300" distR="114300" wp14:anchorId="669C7E71" wp14:editId="669C7E72">
                <wp:extent cx="635" cy="0"/>
                <wp:effectExtent l="0" t="0" r="0" b="0"/>
                <wp:docPr id="14" name="矩形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O7mTWQACAAAaBAAADgAAAGRycy9l&#10;Mm9Eb2MueG1srVNLbhsxDN0X6B0E7etx3CZo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O7mTWQACAAAaBAAADgAAAAAAAAAB&#10;ACAAAAAzAQAAZHJzL2Uyb0RvYy54bWxQSwUGAAAAAAYABgBZAQAApQUAAAAA&#10;">
                <v:path/>
                <v:fill on="f" focussize="0,0"/>
                <v:stroke/>
                <v:imagedata o:title=""/>
                <o:lock v:ext="edit" aspectratio="t"/>
                <w10:wrap type="none"/>
                <w10:anchorlock/>
              </v:rect>
            </w:pict>
          </mc:Fallback>
        </mc:AlternateContent>
      </w:r>
    </w:p>
    <w:p w14:paraId="669C7E0D" w14:textId="77777777" w:rsidR="00066C63" w:rsidRDefault="009656F6">
      <w:r>
        <w:rPr>
          <w:rFonts w:ascii="宋体" w:eastAsia="宋体" w:hAnsi="宋体" w:cs="宋体"/>
        </w:rPr>
        <w:t>Save</w:t>
      </w:r>
    </w:p>
    <w:p w14:paraId="669C7E0E" w14:textId="77777777" w:rsidR="00066C63" w:rsidRDefault="009656F6">
      <w:r>
        <w:rPr>
          <w:rFonts w:ascii="宋体" w:eastAsia="宋体" w:hAnsi="宋体" w:cs="宋体"/>
        </w:rPr>
        <w:t>Reset</w:t>
      </w:r>
    </w:p>
    <w:p w14:paraId="669C7E0F" w14:textId="77777777" w:rsidR="00066C63" w:rsidRDefault="009656F6">
      <w:pPr>
        <w:pStyle w:val="Style5"/>
      </w:pPr>
      <w:r>
        <w:t>窗体底端</w:t>
      </w:r>
    </w:p>
    <w:p w14:paraId="669C7E10" w14:textId="77777777" w:rsidR="00066C63" w:rsidRDefault="009656F6">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669C7E73" wp14:editId="669C7E74">
                <wp:extent cx="635" cy="0"/>
                <wp:effectExtent l="0" t="0" r="0" b="0"/>
                <wp:docPr id="6" name="矩形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BKlueV/wEAABgEAAAOAAAAAAAAAAEA&#10;IAAAADMBAABkcnMvZTJvRG9jLnhtbFBLBQYAAAAABgAGAFkBAACkBQAAAAA=&#10;">
                <v:path/>
                <v:fill on="f" focussize="0,0"/>
                <v:stroke/>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66C63" w14:paraId="669C7E12" w14:textId="77777777">
        <w:trPr>
          <w:tblCellSpacing w:w="15" w:type="dxa"/>
        </w:trPr>
        <w:tc>
          <w:tcPr>
            <w:tcW w:w="0" w:type="auto"/>
            <w:shd w:val="clear" w:color="auto" w:fill="auto"/>
            <w:vAlign w:val="center"/>
          </w:tcPr>
          <w:p w14:paraId="669C7E11" w14:textId="77777777" w:rsidR="00066C63" w:rsidRDefault="00066C63">
            <w:pPr>
              <w:rPr>
                <w:rFonts w:ascii="宋体"/>
              </w:rPr>
            </w:pPr>
          </w:p>
        </w:tc>
      </w:tr>
    </w:tbl>
    <w:p w14:paraId="669C7E13" w14:textId="77777777" w:rsidR="00066C63" w:rsidRDefault="00066C6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66C63" w14:paraId="669C7E15" w14:textId="77777777">
        <w:trPr>
          <w:tblCellSpacing w:w="15" w:type="dxa"/>
        </w:trPr>
        <w:tc>
          <w:tcPr>
            <w:tcW w:w="0" w:type="auto"/>
            <w:shd w:val="clear" w:color="auto" w:fill="auto"/>
            <w:vAlign w:val="center"/>
          </w:tcPr>
          <w:p w14:paraId="669C7E14" w14:textId="77777777" w:rsidR="00066C63" w:rsidRDefault="00066C63">
            <w:pPr>
              <w:rPr>
                <w:rFonts w:ascii="宋体"/>
              </w:rPr>
            </w:pPr>
          </w:p>
        </w:tc>
      </w:tr>
    </w:tbl>
    <w:p w14:paraId="669C7E16" w14:textId="77777777" w:rsidR="00066C63" w:rsidRDefault="00066C6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66C63" w14:paraId="669C7E18" w14:textId="77777777">
        <w:trPr>
          <w:tblCellSpacing w:w="15" w:type="dxa"/>
        </w:trPr>
        <w:tc>
          <w:tcPr>
            <w:tcW w:w="0" w:type="auto"/>
            <w:shd w:val="clear" w:color="auto" w:fill="auto"/>
            <w:vAlign w:val="center"/>
          </w:tcPr>
          <w:p w14:paraId="669C7E17" w14:textId="77777777" w:rsidR="00066C63" w:rsidRDefault="00066C63">
            <w:pPr>
              <w:rPr>
                <w:rFonts w:ascii="宋体"/>
              </w:rPr>
            </w:pPr>
          </w:p>
        </w:tc>
      </w:tr>
    </w:tbl>
    <w:p w14:paraId="669C7E19" w14:textId="77777777" w:rsidR="00066C63" w:rsidRDefault="00066C6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66C63" w14:paraId="669C7E1B" w14:textId="77777777">
        <w:trPr>
          <w:tblCellSpacing w:w="15" w:type="dxa"/>
        </w:trPr>
        <w:tc>
          <w:tcPr>
            <w:tcW w:w="0" w:type="auto"/>
            <w:shd w:val="clear" w:color="auto" w:fill="auto"/>
            <w:vAlign w:val="center"/>
          </w:tcPr>
          <w:p w14:paraId="669C7E1A" w14:textId="77777777" w:rsidR="00066C63" w:rsidRDefault="00066C63">
            <w:pPr>
              <w:rPr>
                <w:rFonts w:ascii="宋体"/>
              </w:rPr>
            </w:pPr>
          </w:p>
        </w:tc>
      </w:tr>
    </w:tbl>
    <w:p w14:paraId="669C7E1C" w14:textId="77777777" w:rsidR="00066C63" w:rsidRDefault="009656F6">
      <w:r>
        <w:rPr>
          <w:rFonts w:ascii="宋体" w:eastAsia="宋体" w:hAnsi="宋体" w:cs="宋体"/>
        </w:rPr>
        <w:t xml:space="preserve">Previous Next </w:t>
      </w:r>
    </w:p>
    <w:p w14:paraId="669C7E1D" w14:textId="77777777" w:rsidR="00066C63" w:rsidRDefault="009656F6">
      <w:pPr>
        <w:pStyle w:val="a3"/>
      </w:pPr>
      <w:r>
        <w:t xml:space="preserve">Nested Facts / </w:t>
      </w:r>
    </w:p>
    <w:p w14:paraId="669C7E1E" w14:textId="77777777" w:rsidR="00066C63" w:rsidRDefault="009656F6">
      <w:r>
        <w:rPr>
          <w:rFonts w:ascii="宋体" w:eastAsia="宋体" w:hAnsi="宋体" w:cs="宋体"/>
        </w:rPr>
        <w:t xml:space="preserve">Previous Next </w:t>
      </w:r>
    </w:p>
    <w:p w14:paraId="669C7E1F" w14:textId="77777777" w:rsidR="00066C63" w:rsidRDefault="009656F6">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669C7E75" wp14:editId="669C7E76">
                <wp:extent cx="635" cy="0"/>
                <wp:effectExtent l="0" t="0" r="0" b="0"/>
                <wp:docPr id="7" name="矩形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Az1Nqw/wEAABgEAAAOAAAAAAAAAAEA&#10;IAAAADMBAABkcnMvZTJvRG9jLnhtbFBLBQYAAAAABgAGAFkBAACkBQAAAAA=&#10;">
                <v:path/>
                <v:fill on="f" focussize="0,0"/>
                <v:stroke/>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66C63" w14:paraId="669C7E21" w14:textId="77777777">
        <w:trPr>
          <w:tblCellSpacing w:w="15" w:type="dxa"/>
        </w:trPr>
        <w:tc>
          <w:tcPr>
            <w:tcW w:w="0" w:type="auto"/>
            <w:shd w:val="clear" w:color="auto" w:fill="auto"/>
            <w:vAlign w:val="center"/>
          </w:tcPr>
          <w:p w14:paraId="669C7E20" w14:textId="77777777" w:rsidR="00066C63" w:rsidRDefault="00066C63">
            <w:pPr>
              <w:rPr>
                <w:rFonts w:ascii="宋体"/>
              </w:rPr>
            </w:pPr>
          </w:p>
        </w:tc>
      </w:tr>
    </w:tbl>
    <w:p w14:paraId="669C7E22" w14:textId="77777777" w:rsidR="00066C63" w:rsidRDefault="00066C6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66C63" w14:paraId="669C7E24" w14:textId="77777777">
        <w:trPr>
          <w:tblCellSpacing w:w="15" w:type="dxa"/>
        </w:trPr>
        <w:tc>
          <w:tcPr>
            <w:tcW w:w="0" w:type="auto"/>
            <w:shd w:val="clear" w:color="auto" w:fill="auto"/>
            <w:vAlign w:val="center"/>
          </w:tcPr>
          <w:p w14:paraId="669C7E23" w14:textId="77777777" w:rsidR="00066C63" w:rsidRDefault="00066C63">
            <w:pPr>
              <w:rPr>
                <w:rFonts w:ascii="宋体"/>
              </w:rPr>
            </w:pPr>
          </w:p>
        </w:tc>
      </w:tr>
    </w:tbl>
    <w:p w14:paraId="669C7E25" w14:textId="77777777" w:rsidR="00066C63" w:rsidRDefault="00066C6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66C63" w14:paraId="669C7E27" w14:textId="77777777">
        <w:trPr>
          <w:tblCellSpacing w:w="15" w:type="dxa"/>
        </w:trPr>
        <w:tc>
          <w:tcPr>
            <w:tcW w:w="0" w:type="auto"/>
            <w:shd w:val="clear" w:color="auto" w:fill="auto"/>
            <w:vAlign w:val="center"/>
          </w:tcPr>
          <w:p w14:paraId="669C7E26" w14:textId="77777777" w:rsidR="00066C63" w:rsidRDefault="00066C63">
            <w:pPr>
              <w:rPr>
                <w:rFonts w:ascii="宋体"/>
              </w:rPr>
            </w:pPr>
          </w:p>
        </w:tc>
      </w:tr>
    </w:tbl>
    <w:p w14:paraId="669C7E28" w14:textId="77777777" w:rsidR="00066C63" w:rsidRDefault="00066C6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66C63" w14:paraId="669C7E2A" w14:textId="77777777">
        <w:trPr>
          <w:tblCellSpacing w:w="15" w:type="dxa"/>
        </w:trPr>
        <w:tc>
          <w:tcPr>
            <w:tcW w:w="0" w:type="auto"/>
            <w:shd w:val="clear" w:color="auto" w:fill="auto"/>
            <w:vAlign w:val="center"/>
          </w:tcPr>
          <w:p w14:paraId="669C7E29" w14:textId="77777777" w:rsidR="00066C63" w:rsidRDefault="00066C63">
            <w:pPr>
              <w:rPr>
                <w:rFonts w:ascii="宋体"/>
              </w:rPr>
            </w:pPr>
          </w:p>
        </w:tc>
      </w:tr>
    </w:tbl>
    <w:p w14:paraId="669C7E2B" w14:textId="77777777" w:rsidR="00066C63" w:rsidRDefault="009656F6">
      <w:r>
        <w:rPr>
          <w:rFonts w:ascii="宋体" w:eastAsia="宋体" w:hAnsi="宋体" w:cs="宋体"/>
        </w:rPr>
        <w:t xml:space="preserve">Previous Next </w:t>
      </w:r>
    </w:p>
    <w:p w14:paraId="669C7E2C" w14:textId="77777777" w:rsidR="00066C63" w:rsidRDefault="00066C63"/>
    <w:sectPr w:rsidR="00066C63">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3E247D" w14:textId="77777777" w:rsidR="009656F6" w:rsidRDefault="009656F6" w:rsidP="009656F6">
      <w:r>
        <w:separator/>
      </w:r>
    </w:p>
  </w:endnote>
  <w:endnote w:type="continuationSeparator" w:id="0">
    <w:p w14:paraId="527C474E" w14:textId="77777777" w:rsidR="009656F6" w:rsidRDefault="009656F6" w:rsidP="009656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ans-serif">
    <w:altName w:val="Calibri"/>
    <w:charset w:val="00"/>
    <w:family w:val="auto"/>
    <w:pitch w:val="default"/>
  </w:font>
  <w:font w:name="Arial Narrow">
    <w:panose1 w:val="020B0606020202030204"/>
    <w:charset w:val="00"/>
    <w:family w:val="swiss"/>
    <w:pitch w:val="variable"/>
    <w:sig w:usb0="00000287" w:usb1="00000800" w:usb2="00000000" w:usb3="00000000" w:csb0="0000009F" w:csb1="00000000"/>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9E981" w14:textId="77777777" w:rsidR="009656F6" w:rsidRDefault="009656F6" w:rsidP="009656F6">
      <w:r>
        <w:separator/>
      </w:r>
    </w:p>
  </w:footnote>
  <w:footnote w:type="continuationSeparator" w:id="0">
    <w:p w14:paraId="33E54782" w14:textId="77777777" w:rsidR="009656F6" w:rsidRDefault="009656F6" w:rsidP="009656F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99FB2CA"/>
    <w:rsid w:val="00066C63"/>
    <w:rsid w:val="009656F6"/>
    <w:rsid w:val="299FB2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9C58C5"/>
  <w15:docId w15:val="{8B1B0CAF-EFFE-419B-A2DC-2A26F1786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EastAsia" w:hAnsiTheme="minorEastAsia" w:cs="Times New Roman"/>
      <w:sz w:val="24"/>
      <w:szCs w:val="24"/>
    </w:rPr>
  </w:style>
  <w:style w:type="paragraph" w:styleId="2">
    <w:name w:val="heading 2"/>
    <w:basedOn w:val="a"/>
    <w:next w:val="a"/>
    <w:semiHidden/>
    <w:unhideWhenUsed/>
    <w:qFormat/>
    <w:pP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pBdr>
        <w:top w:val="single" w:sz="18" w:space="0" w:color="FFFFFF"/>
        <w:left w:val="single" w:sz="18" w:space="0" w:color="FFFFFF"/>
        <w:bottom w:val="single" w:sz="18" w:space="0" w:color="FFFFFF"/>
        <w:right w:val="single" w:sz="18" w:space="0" w:color="FFFFFF"/>
      </w:pBd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styleId="a6">
    <w:name w:val="header"/>
    <w:basedOn w:val="a"/>
    <w:link w:val="a7"/>
    <w:rsid w:val="009656F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9656F6"/>
    <w:rPr>
      <w:rFonts w:asciiTheme="minorEastAsia" w:hAnsiTheme="minorEastAsia" w:cs="Times New Roman"/>
      <w:sz w:val="18"/>
      <w:szCs w:val="18"/>
    </w:rPr>
  </w:style>
  <w:style w:type="paragraph" w:styleId="a8">
    <w:name w:val="footer"/>
    <w:basedOn w:val="a"/>
    <w:link w:val="a9"/>
    <w:rsid w:val="009656F6"/>
    <w:pPr>
      <w:tabs>
        <w:tab w:val="center" w:pos="4153"/>
        <w:tab w:val="right" w:pos="8306"/>
      </w:tabs>
      <w:snapToGrid w:val="0"/>
    </w:pPr>
    <w:rPr>
      <w:sz w:val="18"/>
      <w:szCs w:val="18"/>
    </w:rPr>
  </w:style>
  <w:style w:type="character" w:customStyle="1" w:styleId="a9">
    <w:name w:val="页脚 字符"/>
    <w:basedOn w:val="a0"/>
    <w:link w:val="a8"/>
    <w:rsid w:val="009656F6"/>
    <w:rPr>
      <w:rFonts w:asciiTheme="minorEastAsia" w:hAnsiTheme="minorEastAs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www.sec.gov/ix?doc=/Archives/edgar/data/0000320187/000032018721000012/nke-20210228.htm" TargetMode="External"/><Relationship Id="rId117" Type="http://schemas.openxmlformats.org/officeDocument/2006/relationships/hyperlink" Target="https://www.sec.gov/ix?doc=/Archives/edgar/data/0000320187/000032018721000012/nke-20210228.htm" TargetMode="External"/><Relationship Id="rId21" Type="http://schemas.openxmlformats.org/officeDocument/2006/relationships/hyperlink" Target="https://www.sec.gov/ix?doc=/Archives/edgar/data/0000320187/000032018721000012/nke-20210228.htm" TargetMode="External"/><Relationship Id="rId42" Type="http://schemas.openxmlformats.org/officeDocument/2006/relationships/hyperlink" Target="https://www.sec.gov/ix?doc=/Archives/edgar/data/0000320187/000032018721000012/nke-20210228.htm" TargetMode="External"/><Relationship Id="rId47" Type="http://schemas.openxmlformats.org/officeDocument/2006/relationships/hyperlink" Target="https://www.sec.gov/ix?doc=/Archives/edgar/data/0000320187/000032018721000012/nke-20210228.htm" TargetMode="External"/><Relationship Id="rId63" Type="http://schemas.openxmlformats.org/officeDocument/2006/relationships/hyperlink" Target="https://www.sec.gov/ix?doc=/Archives/edgar/data/0000320187/000032018721000012/nke-20210228.htm" TargetMode="External"/><Relationship Id="rId68" Type="http://schemas.openxmlformats.org/officeDocument/2006/relationships/hyperlink" Target="https://www.sec.gov/ix?doc=/Archives/edgar/data/0000320187/000032018721000012/nke-20210228.htm" TargetMode="External"/><Relationship Id="rId84" Type="http://schemas.openxmlformats.org/officeDocument/2006/relationships/hyperlink" Target="https://www.sec.gov/ix?doc=/Archives/edgar/data/0000320187/000032018721000012/nke-20210228.htm" TargetMode="External"/><Relationship Id="rId89" Type="http://schemas.openxmlformats.org/officeDocument/2006/relationships/hyperlink" Target="https://www.sec.gov/ix?doc=/Archives/edgar/data/0000320187/000032018721000012/nke-20210228.htm" TargetMode="External"/><Relationship Id="rId112" Type="http://schemas.openxmlformats.org/officeDocument/2006/relationships/hyperlink" Target="https://www.sec.gov/ix?doc=/Archives/edgar/data/0000320187/000032018721000012/nke-20210228.htm" TargetMode="External"/><Relationship Id="rId16" Type="http://schemas.openxmlformats.org/officeDocument/2006/relationships/hyperlink" Target="https://www.sec.gov/ix?doc=/Archives/edgar/data/0000320187/000032018721000012/nke-20210228.htm" TargetMode="External"/><Relationship Id="rId107" Type="http://schemas.openxmlformats.org/officeDocument/2006/relationships/hyperlink" Target="https://www.sec.gov/ix?doc=/Archives/edgar/data/0000320187/000032018721000012/nke-20210228.htm" TargetMode="External"/><Relationship Id="rId11" Type="http://schemas.openxmlformats.org/officeDocument/2006/relationships/hyperlink" Target="https://www.sec.gov/ix?doc=/Archives/edgar/data/0000320187/000032018721000012/nke-20210228.htm" TargetMode="External"/><Relationship Id="rId32" Type="http://schemas.openxmlformats.org/officeDocument/2006/relationships/hyperlink" Target="https://www.sec.gov/ix?doc=/Archives/edgar/data/0000320187/000032018721000012/nke-20210228.htm" TargetMode="External"/><Relationship Id="rId37" Type="http://schemas.openxmlformats.org/officeDocument/2006/relationships/hyperlink" Target="https://www.sec.gov/ix?doc=/Archives/edgar/data/0000320187/000032018721000012/nke-20210228.htm" TargetMode="External"/><Relationship Id="rId53" Type="http://schemas.openxmlformats.org/officeDocument/2006/relationships/hyperlink" Target="https://www.sec.gov/ix?doc=/Archives/edgar/data/0000320187/000032018721000012/nke-20210228.htm" TargetMode="External"/><Relationship Id="rId58" Type="http://schemas.openxmlformats.org/officeDocument/2006/relationships/hyperlink" Target="https://www.sec.gov/ix?doc=/Archives/edgar/data/0000320187/000032018721000012/nke-20210228.htm" TargetMode="External"/><Relationship Id="rId74" Type="http://schemas.openxmlformats.org/officeDocument/2006/relationships/hyperlink" Target="https://www.sec.gov/ix?doc=/Archives/edgar/data/0000320187/000032018721000012/nke-20210228.htm" TargetMode="External"/><Relationship Id="rId79" Type="http://schemas.openxmlformats.org/officeDocument/2006/relationships/hyperlink" Target="https://www.sec.gov/ix?doc=/Archives/edgar/data/0000320187/000032018721000012/nke-20210228.htm" TargetMode="External"/><Relationship Id="rId102" Type="http://schemas.openxmlformats.org/officeDocument/2006/relationships/hyperlink" Target="https://www.sec.gov/ix?doc=/Archives/edgar/data/0000320187/000032018721000012/nke-20210228.htm" TargetMode="External"/><Relationship Id="rId123" Type="http://schemas.openxmlformats.org/officeDocument/2006/relationships/hyperlink" Target="https://www.sec.gov/Archives/edgar/data/0000320187/000032018721000012/nke-2282021xexhibit312.htm" TargetMode="External"/><Relationship Id="rId128" Type="http://schemas.openxmlformats.org/officeDocument/2006/relationships/theme" Target="theme/theme1.xml"/><Relationship Id="rId5" Type="http://schemas.openxmlformats.org/officeDocument/2006/relationships/endnotes" Target="endnotes.xml"/><Relationship Id="rId90" Type="http://schemas.openxmlformats.org/officeDocument/2006/relationships/hyperlink" Target="https://www.sec.gov/ix?doc=/Archives/edgar/data/0000320187/000032018721000012/nke-20210228.htm" TargetMode="External"/><Relationship Id="rId95" Type="http://schemas.openxmlformats.org/officeDocument/2006/relationships/hyperlink" Target="https://www.sec.gov/ix?doc=/Archives/edgar/data/0000320187/000032018721000012/nke-20210228.htm" TargetMode="External"/><Relationship Id="rId22" Type="http://schemas.openxmlformats.org/officeDocument/2006/relationships/hyperlink" Target="https://www.sec.gov/ix?doc=/Archives/edgar/data/0000320187/000032018721000012/nke-20210228.htm" TargetMode="External"/><Relationship Id="rId27" Type="http://schemas.openxmlformats.org/officeDocument/2006/relationships/hyperlink" Target="https://www.sec.gov/ix?doc=/Archives/edgar/data/0000320187/000032018721000012/nke-20210228.htm" TargetMode="External"/><Relationship Id="rId43" Type="http://schemas.openxmlformats.org/officeDocument/2006/relationships/hyperlink" Target="https://www.sec.gov/ix?doc=/Archives/edgar/data/0000320187/000032018721000012/nke-20210228.htm" TargetMode="External"/><Relationship Id="rId48" Type="http://schemas.openxmlformats.org/officeDocument/2006/relationships/hyperlink" Target="https://www.sec.gov/ix?doc=/Archives/edgar/data/0000320187/000032018721000012/nke-20210228.htm" TargetMode="External"/><Relationship Id="rId64" Type="http://schemas.openxmlformats.org/officeDocument/2006/relationships/hyperlink" Target="https://www.sec.gov/ix?doc=/Archives/edgar/data/0000320187/000032018721000012/nke-20210228.htm" TargetMode="External"/><Relationship Id="rId69" Type="http://schemas.openxmlformats.org/officeDocument/2006/relationships/hyperlink" Target="https://www.sec.gov/ix?doc=/Archives/edgar/data/0000320187/000032018721000012/nke-20210228.htm" TargetMode="External"/><Relationship Id="rId113" Type="http://schemas.openxmlformats.org/officeDocument/2006/relationships/hyperlink" Target="https://www.sec.gov/ix?doc=/Archives/edgar/data/0000320187/000032018721000012/nke-20210228.htm" TargetMode="External"/><Relationship Id="rId118" Type="http://schemas.openxmlformats.org/officeDocument/2006/relationships/hyperlink" Target="http://www.sec.gov/Archives/edgar/data/320187/000032018716000242/nke-11302015xexhibit31.htm" TargetMode="External"/><Relationship Id="rId80" Type="http://schemas.openxmlformats.org/officeDocument/2006/relationships/hyperlink" Target="https://www.sec.gov/ix?doc=/Archives/edgar/data/0000320187/000032018721000012/nke-20210228.htm" TargetMode="External"/><Relationship Id="rId85" Type="http://schemas.openxmlformats.org/officeDocument/2006/relationships/hyperlink" Target="https://www.sec.gov/ix?doc=/Archives/edgar/data/0000320187/000032018721000012/nke-20210228.htm" TargetMode="External"/><Relationship Id="rId12" Type="http://schemas.openxmlformats.org/officeDocument/2006/relationships/hyperlink" Target="https://www.sec.gov/ix?doc=/Archives/edgar/data/0000320187/000032018721000012/nke-20210228.htm" TargetMode="External"/><Relationship Id="rId17" Type="http://schemas.openxmlformats.org/officeDocument/2006/relationships/hyperlink" Target="https://www.sec.gov/ix?doc=/Archives/edgar/data/0000320187/000032018721000012/nke-20210228.htm" TargetMode="External"/><Relationship Id="rId33" Type="http://schemas.openxmlformats.org/officeDocument/2006/relationships/hyperlink" Target="https://www.sec.gov/ix?doc=/Archives/edgar/data/0000320187/000032018721000012/nke-20210228.htm" TargetMode="External"/><Relationship Id="rId38" Type="http://schemas.openxmlformats.org/officeDocument/2006/relationships/hyperlink" Target="https://www.sec.gov/ix?doc=/Archives/edgar/data/0000320187/000032018721000012/nke-20210228.htm" TargetMode="External"/><Relationship Id="rId59" Type="http://schemas.openxmlformats.org/officeDocument/2006/relationships/hyperlink" Target="https://www.sec.gov/ix?doc=/Archives/edgar/data/0000320187/000032018721000012/nke-20210228.htm" TargetMode="External"/><Relationship Id="rId103" Type="http://schemas.openxmlformats.org/officeDocument/2006/relationships/hyperlink" Target="https://www.sec.gov/ix?doc=/Archives/edgar/data/0000320187/000032018721000012/nke-20210228.htm" TargetMode="External"/><Relationship Id="rId108" Type="http://schemas.openxmlformats.org/officeDocument/2006/relationships/hyperlink" Target="https://www.sec.gov/ix?doc=/Archives/edgar/data/0000320187/000032018721000012/nke-20210228.htm" TargetMode="External"/><Relationship Id="rId124" Type="http://schemas.openxmlformats.org/officeDocument/2006/relationships/hyperlink" Target="https://www.sec.gov/Archives/edgar/data/0000320187/000032018721000012/nke-2282021xexhibit321.htm" TargetMode="External"/><Relationship Id="rId54" Type="http://schemas.openxmlformats.org/officeDocument/2006/relationships/hyperlink" Target="https://www.sec.gov/ix?doc=/Archives/edgar/data/0000320187/000032018721000012/nke-20210228.htm" TargetMode="External"/><Relationship Id="rId70" Type="http://schemas.openxmlformats.org/officeDocument/2006/relationships/hyperlink" Target="https://www.sec.gov/ix?doc=/Archives/edgar/data/0000320187/000032018721000012/nke-20210228.htm" TargetMode="External"/><Relationship Id="rId75" Type="http://schemas.openxmlformats.org/officeDocument/2006/relationships/hyperlink" Target="https://www.sec.gov/ix?doc=/Archives/edgar/data/0000320187/000032018721000012/nke-20210228.htm" TargetMode="External"/><Relationship Id="rId91" Type="http://schemas.openxmlformats.org/officeDocument/2006/relationships/hyperlink" Target="https://www.sec.gov/ix?doc=/Archives/edgar/data/0000320187/000032018721000012/nke-20210228.htm" TargetMode="External"/><Relationship Id="rId96" Type="http://schemas.openxmlformats.org/officeDocument/2006/relationships/hyperlink" Target="https://www.sec.gov/ix?doc=/Archives/edgar/data/0000320187/000032018721000012/nke-20210228.htm" TargetMode="External"/><Relationship Id="rId1" Type="http://schemas.openxmlformats.org/officeDocument/2006/relationships/styles" Target="styles.xml"/><Relationship Id="rId23" Type="http://schemas.openxmlformats.org/officeDocument/2006/relationships/hyperlink" Target="https://www.sec.gov/ix?doc=/Archives/edgar/data/0000320187/000032018721000012/nke-20210228.htm" TargetMode="External"/><Relationship Id="rId28" Type="http://schemas.openxmlformats.org/officeDocument/2006/relationships/hyperlink" Target="https://www.sec.gov/ix?doc=/Archives/edgar/data/0000320187/000032018721000012/nke-20210228.htm" TargetMode="External"/><Relationship Id="rId49" Type="http://schemas.openxmlformats.org/officeDocument/2006/relationships/hyperlink" Target="https://www.sec.gov/ix?doc=/Archives/edgar/data/0000320187/000032018721000012/nke-20210228.htm" TargetMode="External"/><Relationship Id="rId114" Type="http://schemas.openxmlformats.org/officeDocument/2006/relationships/hyperlink" Target="https://www.sec.gov/ix?doc=/Archives/edgar/data/0000320187/000032018721000012/nke-20210228.htm" TargetMode="External"/><Relationship Id="rId119" Type="http://schemas.openxmlformats.org/officeDocument/2006/relationships/hyperlink" Target="https://www.sec.gov/Archives/edgar/data/320187/000032018720000029/nkeexhibit31.htm" TargetMode="External"/><Relationship Id="rId44" Type="http://schemas.openxmlformats.org/officeDocument/2006/relationships/hyperlink" Target="https://www.sec.gov/ix?doc=/Archives/edgar/data/0000320187/000032018721000012/nke-20210228.htm" TargetMode="External"/><Relationship Id="rId60" Type="http://schemas.openxmlformats.org/officeDocument/2006/relationships/hyperlink" Target="https://www.sec.gov/ix?doc=/Archives/edgar/data/0000320187/000032018721000012/nke-20210228.htm" TargetMode="External"/><Relationship Id="rId65" Type="http://schemas.openxmlformats.org/officeDocument/2006/relationships/hyperlink" Target="https://www.sec.gov/ix?doc=/Archives/edgar/data/0000320187/000032018721000012/nke-20210228.htm" TargetMode="External"/><Relationship Id="rId81" Type="http://schemas.openxmlformats.org/officeDocument/2006/relationships/hyperlink" Target="https://www.sec.gov/ix?doc=/Archives/edgar/data/0000320187/000032018721000012/nke-20210228.htm" TargetMode="External"/><Relationship Id="rId86" Type="http://schemas.openxmlformats.org/officeDocument/2006/relationships/hyperlink" Target="https://www.sec.gov/ix?doc=/Archives/edgar/data/0000320187/000032018721000012/nke-20210228.htm" TargetMode="External"/><Relationship Id="rId13" Type="http://schemas.openxmlformats.org/officeDocument/2006/relationships/hyperlink" Target="https://www.sec.gov/ix?doc=/Archives/edgar/data/0000320187/000032018721000012/nke-20210228.htm" TargetMode="External"/><Relationship Id="rId18" Type="http://schemas.openxmlformats.org/officeDocument/2006/relationships/hyperlink" Target="https://www.sec.gov/ix?doc=/Archives/edgar/data/0000320187/000032018721000012/nke-20210228.htm" TargetMode="External"/><Relationship Id="rId39" Type="http://schemas.openxmlformats.org/officeDocument/2006/relationships/hyperlink" Target="https://www.sec.gov/ix?doc=/Archives/edgar/data/0000320187/000032018721000012/nke-20210228.htm" TargetMode="External"/><Relationship Id="rId109" Type="http://schemas.openxmlformats.org/officeDocument/2006/relationships/hyperlink" Target="https://www.sec.gov/ix?doc=/Archives/edgar/data/0000320187/000032018721000012/nke-20210228.htm" TargetMode="External"/><Relationship Id="rId34" Type="http://schemas.openxmlformats.org/officeDocument/2006/relationships/hyperlink" Target="https://www.sec.gov/ix?doc=/Archives/edgar/data/0000320187/000032018721000012/nke-20210228.htm" TargetMode="External"/><Relationship Id="rId50" Type="http://schemas.openxmlformats.org/officeDocument/2006/relationships/hyperlink" Target="https://www.sec.gov/ix?doc=/Archives/edgar/data/0000320187/000032018721000012/nke-20210228.htm" TargetMode="External"/><Relationship Id="rId55" Type="http://schemas.openxmlformats.org/officeDocument/2006/relationships/hyperlink" Target="https://www.sec.gov/ix?doc=/Archives/edgar/data/0000320187/000032018721000012/nke-20210228.htm" TargetMode="External"/><Relationship Id="rId76" Type="http://schemas.openxmlformats.org/officeDocument/2006/relationships/hyperlink" Target="https://www.sec.gov/ix?doc=/Archives/edgar/data/0000320187/000032018721000012/nke-20210228.htm" TargetMode="External"/><Relationship Id="rId97" Type="http://schemas.openxmlformats.org/officeDocument/2006/relationships/hyperlink" Target="https://www.sec.gov/ix?doc=/Archives/edgar/data/0000320187/000032018721000012/nke-20210228.htm" TargetMode="External"/><Relationship Id="rId104" Type="http://schemas.openxmlformats.org/officeDocument/2006/relationships/hyperlink" Target="https://www.sec.gov/ix?doc=/Archives/edgar/data/0000320187/000032018721000012/nke-20210228.htm" TargetMode="External"/><Relationship Id="rId120" Type="http://schemas.openxmlformats.org/officeDocument/2006/relationships/hyperlink" Target="http://www.sec.gov/Archives/edgar/data/320187/000032018716000242/nke-11302015xexhibit31.htm" TargetMode="External"/><Relationship Id="rId125" Type="http://schemas.openxmlformats.org/officeDocument/2006/relationships/hyperlink" Target="https://www.sec.gov/Archives/edgar/data/0000320187/000032018721000012/nke-2282021xexhibit322.htm" TargetMode="External"/><Relationship Id="rId7" Type="http://schemas.openxmlformats.org/officeDocument/2006/relationships/hyperlink" Target="https://www.sec.gov/ix?doc=/Archives/edgar/data/0000320187/000032018721000012/nke-20210228.htm" TargetMode="External"/><Relationship Id="rId71" Type="http://schemas.openxmlformats.org/officeDocument/2006/relationships/hyperlink" Target="https://www.sec.gov/ix?doc=/Archives/edgar/data/0000320187/000032018721000012/nke-20210228.htm" TargetMode="External"/><Relationship Id="rId92" Type="http://schemas.openxmlformats.org/officeDocument/2006/relationships/hyperlink" Target="https://www.sec.gov/ix?doc=/Archives/edgar/data/0000320187/000032018721000012/nke-20210228.htm" TargetMode="External"/><Relationship Id="rId2" Type="http://schemas.openxmlformats.org/officeDocument/2006/relationships/settings" Target="settings.xml"/><Relationship Id="rId29" Type="http://schemas.openxmlformats.org/officeDocument/2006/relationships/hyperlink" Target="https://www.sec.gov/ix?doc=/Archives/edgar/data/0000320187/000032018721000012/nke-20210228.htm" TargetMode="External"/><Relationship Id="rId24" Type="http://schemas.openxmlformats.org/officeDocument/2006/relationships/hyperlink" Target="https://www.sec.gov/ix?doc=/Archives/edgar/data/0000320187/000032018721000012/nke-20210228.htm" TargetMode="External"/><Relationship Id="rId40" Type="http://schemas.openxmlformats.org/officeDocument/2006/relationships/hyperlink" Target="https://www.sec.gov/ix?doc=/Archives/edgar/data/0000320187/000032018721000012/nke-20210228.htm" TargetMode="External"/><Relationship Id="rId45" Type="http://schemas.openxmlformats.org/officeDocument/2006/relationships/hyperlink" Target="https://www.sec.gov/ix?doc=/Archives/edgar/data/0000320187/000032018721000012/nke-20210228.htm" TargetMode="External"/><Relationship Id="rId66" Type="http://schemas.openxmlformats.org/officeDocument/2006/relationships/hyperlink" Target="https://www.sec.gov/ix?doc=/Archives/edgar/data/0000320187/000032018721000012/nke-20210228.htm" TargetMode="External"/><Relationship Id="rId87" Type="http://schemas.openxmlformats.org/officeDocument/2006/relationships/hyperlink" Target="https://www.sec.gov/ix?doc=/Archives/edgar/data/0000320187/000032018721000012/nke-20210228.htm" TargetMode="External"/><Relationship Id="rId110" Type="http://schemas.openxmlformats.org/officeDocument/2006/relationships/hyperlink" Target="https://www.sec.gov/ix?doc=/Archives/edgar/data/0000320187/000032018721000012/nke-20210228.htm" TargetMode="External"/><Relationship Id="rId115" Type="http://schemas.openxmlformats.org/officeDocument/2006/relationships/hyperlink" Target="https://www.sec.gov/ix?doc=/Archives/edgar/data/0000320187/000032018721000012/nke-20210228.htm" TargetMode="External"/><Relationship Id="rId61" Type="http://schemas.openxmlformats.org/officeDocument/2006/relationships/hyperlink" Target="https://www.sec.gov/ix?doc=/Archives/edgar/data/0000320187/000032018721000012/nke-20210228.htm" TargetMode="External"/><Relationship Id="rId82" Type="http://schemas.openxmlformats.org/officeDocument/2006/relationships/hyperlink" Target="https://www.sec.gov/ix?doc=/Archives/edgar/data/0000320187/000032018721000012/nke-20210228.htm" TargetMode="External"/><Relationship Id="rId19" Type="http://schemas.openxmlformats.org/officeDocument/2006/relationships/hyperlink" Target="https://www.sec.gov/ix?doc=/Archives/edgar/data/0000320187/000032018721000012/nke-20210228.htm" TargetMode="External"/><Relationship Id="rId14" Type="http://schemas.openxmlformats.org/officeDocument/2006/relationships/hyperlink" Target="https://www.sec.gov/ix?doc=/Archives/edgar/data/0000320187/000032018721000012/nke-20210228.htm" TargetMode="External"/><Relationship Id="rId30" Type="http://schemas.openxmlformats.org/officeDocument/2006/relationships/hyperlink" Target="https://www.sec.gov/ix?doc=/Archives/edgar/data/0000320187/000032018721000012/nke-20210228.htm" TargetMode="External"/><Relationship Id="rId35" Type="http://schemas.openxmlformats.org/officeDocument/2006/relationships/hyperlink" Target="https://www.sec.gov/ix?doc=/Archives/edgar/data/0000320187/000032018721000012/nke-20210228.htm" TargetMode="External"/><Relationship Id="rId56" Type="http://schemas.openxmlformats.org/officeDocument/2006/relationships/hyperlink" Target="https://www.sec.gov/ix?doc=/Archives/edgar/data/0000320187/000032018721000012/nke-20210228.htm" TargetMode="External"/><Relationship Id="rId77" Type="http://schemas.openxmlformats.org/officeDocument/2006/relationships/hyperlink" Target="https://www.sec.gov/ix?doc=/Archives/edgar/data/0000320187/000032018721000012/nke-20210228.htm" TargetMode="External"/><Relationship Id="rId100" Type="http://schemas.openxmlformats.org/officeDocument/2006/relationships/hyperlink" Target="https://www.sec.gov/ix?doc=/Archives/edgar/data/0000320187/000032018721000012/nke-20210228.htm" TargetMode="External"/><Relationship Id="rId105" Type="http://schemas.openxmlformats.org/officeDocument/2006/relationships/hyperlink" Target="https://www.sec.gov/ix?doc=/Archives/edgar/data/0000320187/000032018721000012/nke-20210228.htm" TargetMode="External"/><Relationship Id="rId126" Type="http://schemas.openxmlformats.org/officeDocument/2006/relationships/hyperlink" Target="https://www.sec.gov/ix?doc=/Archives/edgar/data/0000320187/000032018721000012/nke-20210228.htm" TargetMode="External"/><Relationship Id="rId8" Type="http://schemas.openxmlformats.org/officeDocument/2006/relationships/hyperlink" Target="https://www.sec.gov/ix?doc=/Archives/edgar/data/0000320187/000032018721000012/nke-20210228.htm" TargetMode="External"/><Relationship Id="rId51" Type="http://schemas.openxmlformats.org/officeDocument/2006/relationships/hyperlink" Target="https://www.sec.gov/ix?doc=/Archives/edgar/data/0000320187/000032018721000012/nke-20210228.htm" TargetMode="External"/><Relationship Id="rId72" Type="http://schemas.openxmlformats.org/officeDocument/2006/relationships/hyperlink" Target="https://www.sec.gov/ix?doc=/Archives/edgar/data/0000320187/000032018721000012/nke-20210228.htm" TargetMode="External"/><Relationship Id="rId93" Type="http://schemas.openxmlformats.org/officeDocument/2006/relationships/hyperlink" Target="https://www.sec.gov/ix?doc=/Archives/edgar/data/0000320187/000032018721000012/nke-20210228.htm" TargetMode="External"/><Relationship Id="rId98" Type="http://schemas.openxmlformats.org/officeDocument/2006/relationships/hyperlink" Target="https://www.sec.gov/ix?doc=/Archives/edgar/data/0000320187/000032018721000012/nke-20210228.htm" TargetMode="External"/><Relationship Id="rId121" Type="http://schemas.openxmlformats.org/officeDocument/2006/relationships/hyperlink" Target="https://www.sec.gov/Archives/edgar/data/320187/000032018720000029/nkeexhibit31.htm" TargetMode="External"/><Relationship Id="rId3" Type="http://schemas.openxmlformats.org/officeDocument/2006/relationships/webSettings" Target="webSettings.xml"/><Relationship Id="rId25" Type="http://schemas.openxmlformats.org/officeDocument/2006/relationships/hyperlink" Target="https://www.sec.gov/ix?doc=/Archives/edgar/data/0000320187/000032018721000012/nke-20210228.htm" TargetMode="External"/><Relationship Id="rId46" Type="http://schemas.openxmlformats.org/officeDocument/2006/relationships/hyperlink" Target="https://www.sec.gov/ix?doc=/Archives/edgar/data/0000320187/000032018721000012/nke-20210228.htm" TargetMode="External"/><Relationship Id="rId67" Type="http://schemas.openxmlformats.org/officeDocument/2006/relationships/hyperlink" Target="https://www.sec.gov/ix?doc=/Archives/edgar/data/0000320187/000032018721000012/nke-20210228.htm" TargetMode="External"/><Relationship Id="rId116" Type="http://schemas.openxmlformats.org/officeDocument/2006/relationships/hyperlink" Target="https://www.sec.gov/ix?doc=/Archives/edgar/data/0000320187/000032018721000012/nke-20210228.htm" TargetMode="External"/><Relationship Id="rId20" Type="http://schemas.openxmlformats.org/officeDocument/2006/relationships/hyperlink" Target="https://www.sec.gov/ix?doc=/Archives/edgar/data/0000320187/000032018721000012/nke-20210228.htm" TargetMode="External"/><Relationship Id="rId41" Type="http://schemas.openxmlformats.org/officeDocument/2006/relationships/hyperlink" Target="https://www.sec.gov/ix?doc=/Archives/edgar/data/0000320187/000032018721000012/nke-20210228.htm" TargetMode="External"/><Relationship Id="rId62" Type="http://schemas.openxmlformats.org/officeDocument/2006/relationships/hyperlink" Target="https://www.sec.gov/ix?doc=/Archives/edgar/data/0000320187/000032018721000012/nke-20210228.htm" TargetMode="External"/><Relationship Id="rId83" Type="http://schemas.openxmlformats.org/officeDocument/2006/relationships/hyperlink" Target="https://www.sec.gov/ix?doc=/Archives/edgar/data/0000320187/000032018721000012/nke-20210228.htm" TargetMode="External"/><Relationship Id="rId88" Type="http://schemas.openxmlformats.org/officeDocument/2006/relationships/hyperlink" Target="https://www.sec.gov/ix?doc=/Archives/edgar/data/0000320187/000032018721000012/nke-20210228.htm" TargetMode="External"/><Relationship Id="rId111" Type="http://schemas.openxmlformats.org/officeDocument/2006/relationships/hyperlink" Target="https://www.sec.gov/ix?doc=/Archives/edgar/data/0000320187/000032018721000012/nke-20210228.htm" TargetMode="External"/><Relationship Id="rId15" Type="http://schemas.openxmlformats.org/officeDocument/2006/relationships/hyperlink" Target="https://www.sec.gov/ix?doc=/Archives/edgar/data/0000320187/000032018721000012/nke-20210228.htm" TargetMode="External"/><Relationship Id="rId36" Type="http://schemas.openxmlformats.org/officeDocument/2006/relationships/hyperlink" Target="https://www.sec.gov/ix?doc=/Archives/edgar/data/0000320187/000032018721000012/nke-20210228.htm" TargetMode="External"/><Relationship Id="rId57" Type="http://schemas.openxmlformats.org/officeDocument/2006/relationships/hyperlink" Target="https://www.sec.gov/ix?doc=/Archives/edgar/data/0000320187/000032018721000012/nke-20210228.htm" TargetMode="External"/><Relationship Id="rId106" Type="http://schemas.openxmlformats.org/officeDocument/2006/relationships/hyperlink" Target="https://www.sec.gov/ix?doc=/Archives/edgar/data/0000320187/000032018721000012/nke-20210228.htm" TargetMode="External"/><Relationship Id="rId127" Type="http://schemas.openxmlformats.org/officeDocument/2006/relationships/fontTable" Target="fontTable.xml"/><Relationship Id="rId10" Type="http://schemas.openxmlformats.org/officeDocument/2006/relationships/hyperlink" Target="https://www.sec.gov/ix?doc=/Archives/edgar/data/0000320187/000032018721000012/nke-20210228.htm" TargetMode="External"/><Relationship Id="rId31" Type="http://schemas.openxmlformats.org/officeDocument/2006/relationships/hyperlink" Target="https://www.sec.gov/ix?doc=/Archives/edgar/data/0000320187/000032018721000012/nke-20210228.htm" TargetMode="External"/><Relationship Id="rId52" Type="http://schemas.openxmlformats.org/officeDocument/2006/relationships/hyperlink" Target="https://www.sec.gov/ix?doc=/Archives/edgar/data/0000320187/000032018721000012/nke-20210228.htm" TargetMode="External"/><Relationship Id="rId73" Type="http://schemas.openxmlformats.org/officeDocument/2006/relationships/hyperlink" Target="https://www.sec.gov/ix?doc=/Archives/edgar/data/0000320187/000032018721000012/nke-20210228.htm" TargetMode="External"/><Relationship Id="rId78" Type="http://schemas.openxmlformats.org/officeDocument/2006/relationships/hyperlink" Target="https://www.sec.gov/ix?doc=/Archives/edgar/data/0000320187/000032018721000012/nke-20210228.htm" TargetMode="External"/><Relationship Id="rId94" Type="http://schemas.openxmlformats.org/officeDocument/2006/relationships/hyperlink" Target="https://www.sec.gov/ix?doc=/Archives/edgar/data/0000320187/000032018721000012/nke-20210228.htm" TargetMode="External"/><Relationship Id="rId99" Type="http://schemas.openxmlformats.org/officeDocument/2006/relationships/hyperlink" Target="https://www.sec.gov/ix?doc=/Archives/edgar/data/0000320187/000032018721000012/nke-20210228.htm" TargetMode="External"/><Relationship Id="rId101" Type="http://schemas.openxmlformats.org/officeDocument/2006/relationships/hyperlink" Target="https://www.sec.gov/ix?doc=/Archives/edgar/data/0000320187/000032018721000012/nke-20210228.htm" TargetMode="External"/><Relationship Id="rId122" Type="http://schemas.openxmlformats.org/officeDocument/2006/relationships/hyperlink" Target="https://www.sec.gov/Archives/edgar/data/0000320187/000032018721000012/nke-2282021xexhibit311.htm" TargetMode="External"/><Relationship Id="rId4" Type="http://schemas.openxmlformats.org/officeDocument/2006/relationships/footnotes" Target="footnotes.xml"/><Relationship Id="rId9" Type="http://schemas.openxmlformats.org/officeDocument/2006/relationships/hyperlink" Target="https://www.sec.gov/ix?doc=/Archives/edgar/data/0000320187/000032018721000012/nke-20210228.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36913</Words>
  <Characters>210409</Characters>
  <Application>Microsoft Office Word</Application>
  <DocSecurity>0</DocSecurity>
  <Lines>1753</Lines>
  <Paragraphs>493</Paragraphs>
  <ScaleCrop>false</ScaleCrop>
  <Company/>
  <LinksUpToDate>false</LinksUpToDate>
  <CharactersWithSpaces>246829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2023-02-11T21:50:00Z</dcterms:created>
  <dcterms:modified xsi:type="dcterms:W3CDTF">2023-02-13T11:26:00Z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0789435DDDD97A6D219DE7638A766270</vt:lpwstr>
  </property>
</Properties>
</file>